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diagrams/colors1.xml" ContentType="application/vnd.openxmlformats-officedocument.drawingml.diagramColors+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footer3.xml" ContentType="application/vnd.openxmlformats-officedocument.wordprocessingml.footer+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Default Extension="bin" ContentType="application/vnd.openxmlformats-officedocument.oleObject"/>
  <Override PartName="/word/charts/chart89.xml" ContentType="application/vnd.openxmlformats-officedocument.drawingml.chart+xml"/>
  <Override PartName="/word/charts/chart98.xml" ContentType="application/vnd.openxmlformats-officedocument.drawingml.chart+xml"/>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Default Extension="jpeg" ContentType="image/jpeg"/>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footer4.xml" ContentType="application/vnd.openxmlformats-officedocument.wordprocessingml.footer+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charts/chart68.xml" ContentType="application/vnd.openxmlformats-officedocument.drawingml.chart+xml"/>
  <Override PartName="/word/charts/chart79.xml" ContentType="application/vnd.openxmlformats-officedocument.drawingml.chart+xml"/>
  <Default Extension="wmf" ContentType="image/x-wmf"/>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footer5.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76E" w:rsidRPr="00574C4C" w:rsidRDefault="00B9076E" w:rsidP="00B9076E">
      <w:pPr>
        <w:spacing w:after="0" w:line="240" w:lineRule="auto"/>
        <w:rPr>
          <w:rFonts w:ascii="Times New Roman" w:eastAsia="Times New Roman" w:hAnsi="Times New Roman" w:cs="Times New Roman"/>
          <w:sz w:val="28"/>
          <w:szCs w:val="28"/>
        </w:rPr>
      </w:pPr>
      <w:r w:rsidRPr="00574C4C">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page">
              <wp:posOffset>3643630</wp:posOffset>
            </wp:positionH>
            <wp:positionV relativeFrom="page">
              <wp:posOffset>262890</wp:posOffset>
            </wp:positionV>
            <wp:extent cx="671195" cy="641350"/>
            <wp:effectExtent l="19050" t="0" r="0" b="0"/>
            <wp:wrapTopAndBottom/>
            <wp:docPr id="6" name="Рисунок 6"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1"/>
                    <pic:cNvPicPr>
                      <a:picLocks noChangeAspect="1" noChangeArrowheads="1"/>
                    </pic:cNvPicPr>
                  </pic:nvPicPr>
                  <pic:blipFill>
                    <a:blip r:embed="rId8" cstate="print"/>
                    <a:srcRect l="15825" r="73529" b="74850"/>
                    <a:stretch>
                      <a:fillRect/>
                    </a:stretch>
                  </pic:blipFill>
                  <pic:spPr bwMode="auto">
                    <a:xfrm>
                      <a:off x="0" y="0"/>
                      <a:ext cx="671195" cy="641350"/>
                    </a:xfrm>
                    <a:prstGeom prst="rect">
                      <a:avLst/>
                    </a:prstGeom>
                    <a:noFill/>
                    <a:ln w="9525">
                      <a:noFill/>
                      <a:miter lim="800000"/>
                      <a:headEnd/>
                      <a:tailEnd/>
                    </a:ln>
                  </pic:spPr>
                </pic:pic>
              </a:graphicData>
            </a:graphic>
          </wp:anchor>
        </w:drawing>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ЗЕМСКОЕ СОБРАНИЕ</w:t>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БАРДЫМСКОГО МУНИЦИПАЛЬНОГО РАЙОНА</w:t>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ПЕРМСК</w:t>
      </w:r>
      <w:r w:rsidRPr="00574C4C">
        <w:rPr>
          <w:rFonts w:ascii="Times New Roman" w:eastAsia="Times New Roman" w:hAnsi="Times New Roman" w:cs="Times New Roman"/>
          <w:noProof/>
          <w:sz w:val="28"/>
          <w:szCs w:val="28"/>
          <w:lang w:eastAsia="en-US"/>
        </w:rPr>
        <w:t>ОГО</w:t>
      </w:r>
      <w:r w:rsidRPr="00574C4C">
        <w:rPr>
          <w:rFonts w:ascii="Times New Roman" w:eastAsia="Times New Roman" w:hAnsi="Times New Roman" w:cs="Times New Roman"/>
          <w:sz w:val="28"/>
          <w:szCs w:val="28"/>
        </w:rPr>
        <w:t xml:space="preserve"> КРАЯ</w:t>
      </w:r>
    </w:p>
    <w:p w:rsidR="00B9076E" w:rsidRPr="00574C4C" w:rsidRDefault="00B9076E" w:rsidP="00B9076E">
      <w:pPr>
        <w:spacing w:after="0" w:line="240" w:lineRule="auto"/>
        <w:jc w:val="center"/>
        <w:rPr>
          <w:rFonts w:ascii="Times New Roman" w:eastAsia="Times New Roman" w:hAnsi="Times New Roman" w:cs="Times New Roman"/>
          <w:sz w:val="28"/>
          <w:szCs w:val="28"/>
        </w:rPr>
      </w:pPr>
    </w:p>
    <w:p w:rsidR="00B9076E" w:rsidRPr="00AC37BD" w:rsidRDefault="00F11E5C" w:rsidP="00B9076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ДВАДЦАТЬ </w:t>
      </w:r>
      <w:r w:rsidR="00437674">
        <w:rPr>
          <w:rFonts w:ascii="Times New Roman" w:eastAsia="Times New Roman" w:hAnsi="Times New Roman" w:cs="Times New Roman"/>
          <w:color w:val="000000" w:themeColor="text1"/>
          <w:sz w:val="28"/>
          <w:szCs w:val="28"/>
        </w:rPr>
        <w:t xml:space="preserve">ВОСЬМОЕ (ВНЕОЧЕРЕДНОЕ) </w:t>
      </w:r>
      <w:r w:rsidR="00B9076E" w:rsidRPr="00AC37BD">
        <w:rPr>
          <w:rFonts w:ascii="Times New Roman" w:eastAsia="Times New Roman" w:hAnsi="Times New Roman" w:cs="Times New Roman"/>
          <w:color w:val="000000" w:themeColor="text1"/>
          <w:sz w:val="28"/>
          <w:szCs w:val="28"/>
        </w:rPr>
        <w:t>ЗАСЕДАНИ</w:t>
      </w:r>
      <w:r w:rsidR="00136EC4">
        <w:rPr>
          <w:rFonts w:ascii="Times New Roman" w:eastAsia="Times New Roman" w:hAnsi="Times New Roman" w:cs="Times New Roman"/>
          <w:color w:val="000000" w:themeColor="text1"/>
          <w:sz w:val="28"/>
          <w:szCs w:val="28"/>
        </w:rPr>
        <w:t>Е</w:t>
      </w:r>
    </w:p>
    <w:p w:rsidR="00B9076E" w:rsidRPr="00574C4C" w:rsidRDefault="00B9076E" w:rsidP="00B9076E">
      <w:pPr>
        <w:spacing w:after="0" w:line="240" w:lineRule="auto"/>
        <w:jc w:val="center"/>
        <w:rPr>
          <w:rFonts w:ascii="Times New Roman" w:eastAsia="Times New Roman" w:hAnsi="Times New Roman" w:cs="Times New Roman"/>
          <w:sz w:val="28"/>
          <w:szCs w:val="28"/>
        </w:rPr>
      </w:pP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РЕШЕНИЕ</w:t>
      </w:r>
    </w:p>
    <w:p w:rsidR="00B9076E" w:rsidRPr="00574C4C" w:rsidRDefault="00B9076E" w:rsidP="00B9076E">
      <w:pPr>
        <w:spacing w:after="0" w:line="240" w:lineRule="auto"/>
        <w:rPr>
          <w:rFonts w:ascii="Times New Roman" w:eastAsia="Times New Roman" w:hAnsi="Times New Roman" w:cs="Times New Roman"/>
          <w:b/>
          <w:sz w:val="36"/>
          <w:szCs w:val="20"/>
        </w:rPr>
      </w:pPr>
    </w:p>
    <w:p w:rsidR="009F0B4C" w:rsidRDefault="00B9076E" w:rsidP="00B907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37674">
        <w:rPr>
          <w:rFonts w:ascii="Times New Roman" w:eastAsia="Times New Roman" w:hAnsi="Times New Roman" w:cs="Times New Roman"/>
          <w:sz w:val="28"/>
          <w:szCs w:val="28"/>
        </w:rPr>
        <w:t>30</w:t>
      </w:r>
      <w:r w:rsidR="001D788E">
        <w:rPr>
          <w:rFonts w:ascii="Times New Roman" w:eastAsia="Times New Roman" w:hAnsi="Times New Roman" w:cs="Times New Roman"/>
          <w:sz w:val="28"/>
          <w:szCs w:val="28"/>
        </w:rPr>
        <w:t>.0</w:t>
      </w:r>
      <w:r w:rsidR="00437674">
        <w:rPr>
          <w:rFonts w:ascii="Times New Roman" w:eastAsia="Times New Roman" w:hAnsi="Times New Roman" w:cs="Times New Roman"/>
          <w:sz w:val="28"/>
          <w:szCs w:val="28"/>
        </w:rPr>
        <w:t>5</w:t>
      </w:r>
      <w:r w:rsidR="001D788E">
        <w:rPr>
          <w:rFonts w:ascii="Times New Roman" w:eastAsia="Times New Roman" w:hAnsi="Times New Roman" w:cs="Times New Roman"/>
          <w:sz w:val="28"/>
          <w:szCs w:val="28"/>
        </w:rPr>
        <w:t>.2018</w:t>
      </w:r>
      <w:r w:rsidRPr="00574C4C">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1D788E">
        <w:rPr>
          <w:rFonts w:ascii="Times New Roman" w:eastAsia="Times New Roman" w:hAnsi="Times New Roman" w:cs="Times New Roman"/>
          <w:sz w:val="28"/>
          <w:szCs w:val="28"/>
        </w:rPr>
        <w:t xml:space="preserve">                            </w:t>
      </w:r>
      <w:r w:rsidRPr="00574C4C">
        <w:rPr>
          <w:rFonts w:ascii="Times New Roman" w:eastAsia="Times New Roman" w:hAnsi="Times New Roman" w:cs="Times New Roman"/>
          <w:sz w:val="28"/>
          <w:szCs w:val="28"/>
        </w:rPr>
        <w:t xml:space="preserve">№ </w:t>
      </w:r>
      <w:r w:rsidR="008E3709">
        <w:rPr>
          <w:rFonts w:ascii="Times New Roman" w:eastAsia="Times New Roman" w:hAnsi="Times New Roman" w:cs="Times New Roman"/>
          <w:sz w:val="28"/>
          <w:szCs w:val="28"/>
        </w:rPr>
        <w:t>411</w:t>
      </w:r>
    </w:p>
    <w:p w:rsidR="00437674" w:rsidRDefault="00437674" w:rsidP="00B9076E">
      <w:pPr>
        <w:spacing w:after="0" w:line="240" w:lineRule="auto"/>
        <w:rPr>
          <w:rFonts w:ascii="Times New Roman" w:eastAsia="Times New Roman" w:hAnsi="Times New Roman" w:cs="Times New Roman"/>
          <w:sz w:val="28"/>
          <w:szCs w:val="20"/>
        </w:rPr>
      </w:pPr>
    </w:p>
    <w:p w:rsidR="001D788E" w:rsidRPr="00574C4C" w:rsidRDefault="001D788E" w:rsidP="00B9076E">
      <w:pPr>
        <w:spacing w:after="0" w:line="240" w:lineRule="auto"/>
        <w:rPr>
          <w:rFonts w:ascii="Times New Roman" w:eastAsia="Times New Roman" w:hAnsi="Times New Roman" w:cs="Times New Roman"/>
          <w:sz w:val="28"/>
          <w:szCs w:val="20"/>
        </w:rPr>
      </w:pPr>
    </w:p>
    <w:p w:rsidR="00064F30" w:rsidRDefault="00CF141C" w:rsidP="00CF141C">
      <w:pPr>
        <w:spacing w:after="0" w:line="240" w:lineRule="auto"/>
        <w:rPr>
          <w:rFonts w:ascii="Times New Roman" w:hAnsi="Times New Roman" w:cs="Times New Roman"/>
          <w:b/>
          <w:sz w:val="28"/>
          <w:szCs w:val="28"/>
        </w:rPr>
      </w:pPr>
      <w:r w:rsidRPr="00CF141C">
        <w:rPr>
          <w:rFonts w:ascii="Times New Roman" w:hAnsi="Times New Roman" w:cs="Times New Roman"/>
          <w:b/>
          <w:sz w:val="28"/>
          <w:szCs w:val="28"/>
        </w:rPr>
        <w:t>О</w:t>
      </w:r>
      <w:r w:rsidR="00437674">
        <w:rPr>
          <w:rFonts w:ascii="Times New Roman" w:hAnsi="Times New Roman" w:cs="Times New Roman"/>
          <w:b/>
          <w:sz w:val="28"/>
          <w:szCs w:val="28"/>
        </w:rPr>
        <w:t>б</w:t>
      </w:r>
      <w:r w:rsidR="003250B8">
        <w:rPr>
          <w:rFonts w:ascii="Times New Roman" w:hAnsi="Times New Roman" w:cs="Times New Roman"/>
          <w:b/>
          <w:sz w:val="28"/>
          <w:szCs w:val="28"/>
        </w:rPr>
        <w:t xml:space="preserve"> </w:t>
      </w:r>
      <w:r w:rsidR="00437674">
        <w:rPr>
          <w:rFonts w:ascii="Times New Roman" w:hAnsi="Times New Roman" w:cs="Times New Roman"/>
          <w:b/>
          <w:sz w:val="28"/>
          <w:szCs w:val="28"/>
        </w:rPr>
        <w:t xml:space="preserve">утверждении </w:t>
      </w:r>
      <w:r w:rsidR="003250B8">
        <w:rPr>
          <w:rFonts w:ascii="Times New Roman" w:hAnsi="Times New Roman" w:cs="Times New Roman"/>
          <w:b/>
          <w:sz w:val="28"/>
          <w:szCs w:val="28"/>
        </w:rPr>
        <w:t xml:space="preserve">Стратегии </w:t>
      </w:r>
    </w:p>
    <w:p w:rsidR="003250B8" w:rsidRDefault="003250B8" w:rsidP="00CF141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социально-экономического </w:t>
      </w:r>
    </w:p>
    <w:p w:rsidR="00052850" w:rsidRDefault="003250B8" w:rsidP="00CF141C">
      <w:pPr>
        <w:spacing w:after="0" w:line="240" w:lineRule="auto"/>
        <w:rPr>
          <w:rFonts w:ascii="Times New Roman" w:hAnsi="Times New Roman" w:cs="Times New Roman"/>
          <w:b/>
          <w:sz w:val="28"/>
          <w:szCs w:val="28"/>
        </w:rPr>
      </w:pPr>
      <w:r>
        <w:rPr>
          <w:rFonts w:ascii="Times New Roman" w:hAnsi="Times New Roman" w:cs="Times New Roman"/>
          <w:b/>
          <w:sz w:val="28"/>
          <w:szCs w:val="28"/>
        </w:rPr>
        <w:t>развития Бардымского</w:t>
      </w:r>
      <w:r w:rsidR="00E97C6A">
        <w:rPr>
          <w:rFonts w:ascii="Times New Roman" w:hAnsi="Times New Roman" w:cs="Times New Roman"/>
          <w:b/>
          <w:sz w:val="28"/>
          <w:szCs w:val="28"/>
        </w:rPr>
        <w:t xml:space="preserve"> </w:t>
      </w:r>
      <w:r>
        <w:rPr>
          <w:rFonts w:ascii="Times New Roman" w:hAnsi="Times New Roman" w:cs="Times New Roman"/>
          <w:b/>
          <w:sz w:val="28"/>
          <w:szCs w:val="28"/>
        </w:rPr>
        <w:t xml:space="preserve">муниципального </w:t>
      </w:r>
    </w:p>
    <w:p w:rsidR="00B9076E" w:rsidRPr="00CF141C" w:rsidRDefault="003250B8" w:rsidP="00CF141C">
      <w:pPr>
        <w:spacing w:after="0" w:line="240" w:lineRule="auto"/>
        <w:rPr>
          <w:rFonts w:ascii="Times New Roman" w:eastAsia="Times New Roman" w:hAnsi="Times New Roman" w:cs="Times New Roman"/>
          <w:b/>
          <w:bCs/>
          <w:sz w:val="28"/>
          <w:szCs w:val="28"/>
        </w:rPr>
      </w:pPr>
      <w:r>
        <w:rPr>
          <w:rFonts w:ascii="Times New Roman" w:hAnsi="Times New Roman" w:cs="Times New Roman"/>
          <w:b/>
          <w:sz w:val="28"/>
          <w:szCs w:val="28"/>
        </w:rPr>
        <w:t>района на</w:t>
      </w:r>
      <w:r w:rsidR="002D7431">
        <w:rPr>
          <w:rFonts w:ascii="Times New Roman" w:hAnsi="Times New Roman" w:cs="Times New Roman"/>
          <w:b/>
          <w:sz w:val="28"/>
          <w:szCs w:val="28"/>
        </w:rPr>
        <w:t xml:space="preserve"> </w:t>
      </w:r>
      <w:r>
        <w:rPr>
          <w:rFonts w:ascii="Times New Roman" w:hAnsi="Times New Roman" w:cs="Times New Roman"/>
          <w:b/>
          <w:sz w:val="28"/>
          <w:szCs w:val="28"/>
        </w:rPr>
        <w:t>2018-2030 годы</w:t>
      </w:r>
      <w:r w:rsidR="001241D9">
        <w:rPr>
          <w:rFonts w:ascii="Times New Roman" w:hAnsi="Times New Roman" w:cs="Times New Roman"/>
          <w:b/>
          <w:sz w:val="28"/>
          <w:szCs w:val="28"/>
        </w:rPr>
        <w:t xml:space="preserve"> </w:t>
      </w:r>
    </w:p>
    <w:p w:rsidR="00B9076E" w:rsidRDefault="00B9076E" w:rsidP="00B9076E">
      <w:pPr>
        <w:autoSpaceDE w:val="0"/>
        <w:autoSpaceDN w:val="0"/>
        <w:adjustRightInd w:val="0"/>
        <w:spacing w:after="0" w:line="240" w:lineRule="auto"/>
        <w:rPr>
          <w:rFonts w:ascii="Times New Roman" w:eastAsia="Times New Roman" w:hAnsi="Times New Roman" w:cs="Times New Roman"/>
          <w:b/>
          <w:sz w:val="28"/>
          <w:szCs w:val="28"/>
        </w:rPr>
      </w:pPr>
    </w:p>
    <w:p w:rsidR="00052850" w:rsidRPr="00574C4C" w:rsidRDefault="00052850" w:rsidP="00B9076E">
      <w:pPr>
        <w:autoSpaceDE w:val="0"/>
        <w:autoSpaceDN w:val="0"/>
        <w:adjustRightInd w:val="0"/>
        <w:spacing w:after="0" w:line="240" w:lineRule="auto"/>
        <w:rPr>
          <w:rFonts w:ascii="Times New Roman" w:eastAsia="Times New Roman" w:hAnsi="Times New Roman" w:cs="Times New Roman"/>
          <w:b/>
          <w:sz w:val="28"/>
          <w:szCs w:val="28"/>
        </w:rPr>
      </w:pPr>
    </w:p>
    <w:p w:rsidR="00CF141C" w:rsidRPr="00574C4C" w:rsidRDefault="00D5668B" w:rsidP="00CF141C">
      <w:pPr>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соответствии с </w:t>
      </w:r>
      <w:r w:rsidR="00CF141C" w:rsidRPr="00CF141C">
        <w:rPr>
          <w:rFonts w:ascii="Times New Roman" w:hAnsi="Times New Roman" w:cs="Times New Roman"/>
          <w:sz w:val="28"/>
          <w:szCs w:val="28"/>
        </w:rPr>
        <w:t>Федеральным законом от 28</w:t>
      </w:r>
      <w:r w:rsidR="00BE7C22">
        <w:rPr>
          <w:rFonts w:ascii="Times New Roman" w:hAnsi="Times New Roman" w:cs="Times New Roman"/>
          <w:sz w:val="28"/>
          <w:szCs w:val="28"/>
        </w:rPr>
        <w:t>.06.2</w:t>
      </w:r>
      <w:r w:rsidR="00CF141C" w:rsidRPr="00CF141C">
        <w:rPr>
          <w:rFonts w:ascii="Times New Roman" w:hAnsi="Times New Roman" w:cs="Times New Roman"/>
          <w:sz w:val="28"/>
          <w:szCs w:val="28"/>
        </w:rPr>
        <w:t xml:space="preserve">014 № 172-ФЗ </w:t>
      </w:r>
      <w:r w:rsidR="00CF141C" w:rsidRPr="00CF141C">
        <w:rPr>
          <w:rFonts w:ascii="Times New Roman" w:hAnsi="Times New Roman" w:cs="Times New Roman"/>
          <w:sz w:val="28"/>
          <w:szCs w:val="28"/>
        </w:rPr>
        <w:br/>
      </w:r>
      <w:r w:rsidR="00DE2D0E">
        <w:rPr>
          <w:rFonts w:ascii="Times New Roman" w:hAnsi="Times New Roman" w:cs="Times New Roman"/>
          <w:sz w:val="28"/>
          <w:szCs w:val="28"/>
        </w:rPr>
        <w:t>«</w:t>
      </w:r>
      <w:r w:rsidR="00CF141C" w:rsidRPr="00CF141C">
        <w:rPr>
          <w:rFonts w:ascii="Times New Roman" w:hAnsi="Times New Roman" w:cs="Times New Roman"/>
          <w:sz w:val="28"/>
          <w:szCs w:val="28"/>
        </w:rPr>
        <w:t>О стратегическом планировании в Российской Федерации</w:t>
      </w:r>
      <w:r w:rsidR="00DE2D0E">
        <w:rPr>
          <w:rFonts w:ascii="Times New Roman" w:hAnsi="Times New Roman" w:cs="Times New Roman"/>
          <w:sz w:val="28"/>
          <w:szCs w:val="28"/>
        </w:rPr>
        <w:t>»</w:t>
      </w:r>
      <w:r w:rsidR="00CF141C" w:rsidRPr="00CF141C">
        <w:rPr>
          <w:rFonts w:ascii="Times New Roman" w:hAnsi="Times New Roman" w:cs="Times New Roman"/>
          <w:sz w:val="28"/>
          <w:szCs w:val="28"/>
        </w:rPr>
        <w:t>,</w:t>
      </w:r>
      <w:r w:rsidR="00A13D85" w:rsidRPr="00A13D85">
        <w:rPr>
          <w:rFonts w:ascii="Times New Roman" w:hAnsi="Times New Roman" w:cs="Times New Roman"/>
          <w:sz w:val="28"/>
          <w:szCs w:val="28"/>
        </w:rPr>
        <w:t xml:space="preserve"> </w:t>
      </w:r>
      <w:r w:rsidRPr="00CF141C">
        <w:rPr>
          <w:rFonts w:ascii="Times New Roman" w:hAnsi="Times New Roman" w:cs="Times New Roman"/>
          <w:sz w:val="28"/>
          <w:szCs w:val="28"/>
        </w:rPr>
        <w:t xml:space="preserve">Уставом </w:t>
      </w:r>
      <w:r>
        <w:rPr>
          <w:rFonts w:ascii="Times New Roman" w:hAnsi="Times New Roman" w:cs="Times New Roman"/>
          <w:sz w:val="28"/>
          <w:szCs w:val="28"/>
        </w:rPr>
        <w:t xml:space="preserve">Бардымского </w:t>
      </w:r>
      <w:r w:rsidRPr="00CF141C">
        <w:rPr>
          <w:rFonts w:ascii="Times New Roman" w:hAnsi="Times New Roman" w:cs="Times New Roman"/>
          <w:sz w:val="28"/>
          <w:szCs w:val="28"/>
        </w:rPr>
        <w:t>муниципального района</w:t>
      </w:r>
      <w:r w:rsidR="0081565B">
        <w:rPr>
          <w:rFonts w:ascii="Times New Roman" w:hAnsi="Times New Roman" w:cs="Times New Roman"/>
          <w:sz w:val="28"/>
          <w:szCs w:val="28"/>
        </w:rPr>
        <w:t>, решением Земского С</w:t>
      </w:r>
      <w:r>
        <w:rPr>
          <w:rFonts w:ascii="Times New Roman" w:hAnsi="Times New Roman" w:cs="Times New Roman"/>
          <w:sz w:val="28"/>
          <w:szCs w:val="28"/>
        </w:rPr>
        <w:t xml:space="preserve">обрания Бардымского муниципального района от 11.07.2017 № 321 </w:t>
      </w:r>
      <w:r w:rsidR="00DE2D0E">
        <w:rPr>
          <w:rFonts w:ascii="Times New Roman" w:hAnsi="Times New Roman" w:cs="Times New Roman"/>
          <w:sz w:val="28"/>
          <w:szCs w:val="28"/>
        </w:rPr>
        <w:t>«</w:t>
      </w:r>
      <w:r>
        <w:rPr>
          <w:rFonts w:ascii="Times New Roman" w:hAnsi="Times New Roman" w:cs="Times New Roman"/>
          <w:sz w:val="28"/>
          <w:szCs w:val="28"/>
        </w:rPr>
        <w:t>Об утверждении Положения о стратегическом планировании в Бардымском муниципальном районе</w:t>
      </w:r>
      <w:r w:rsidR="00DE2D0E">
        <w:rPr>
          <w:rFonts w:ascii="Times New Roman" w:hAnsi="Times New Roman" w:cs="Times New Roman"/>
          <w:sz w:val="28"/>
          <w:szCs w:val="28"/>
        </w:rPr>
        <w:t>»</w:t>
      </w:r>
      <w:r w:rsidR="002D7431">
        <w:rPr>
          <w:rFonts w:ascii="Times New Roman" w:hAnsi="Times New Roman" w:cs="Times New Roman"/>
          <w:sz w:val="28"/>
          <w:szCs w:val="28"/>
        </w:rPr>
        <w:t xml:space="preserve"> </w:t>
      </w:r>
      <w:r w:rsidR="00CF141C" w:rsidRPr="00574C4C">
        <w:rPr>
          <w:rFonts w:ascii="Times New Roman" w:eastAsia="Times New Roman" w:hAnsi="Times New Roman" w:cs="Times New Roman"/>
          <w:sz w:val="28"/>
          <w:szCs w:val="28"/>
        </w:rPr>
        <w:t>Земское Собрание Бардымского муниципального района</w:t>
      </w:r>
    </w:p>
    <w:p w:rsidR="00CF141C" w:rsidRPr="00574C4C" w:rsidRDefault="00CF141C" w:rsidP="00CF141C">
      <w:pPr>
        <w:spacing w:after="0" w:line="240" w:lineRule="auto"/>
        <w:jc w:val="both"/>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 xml:space="preserve">РЕШАЕТ: </w:t>
      </w:r>
    </w:p>
    <w:p w:rsidR="00CF141C" w:rsidRPr="00CF141C" w:rsidRDefault="00CF141C" w:rsidP="00CF141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F141C">
        <w:rPr>
          <w:rFonts w:ascii="Times New Roman" w:hAnsi="Times New Roman" w:cs="Times New Roman"/>
          <w:sz w:val="28"/>
          <w:szCs w:val="28"/>
        </w:rPr>
        <w:t xml:space="preserve">1. </w:t>
      </w:r>
      <w:r w:rsidR="00437674">
        <w:rPr>
          <w:rFonts w:ascii="Times New Roman" w:hAnsi="Times New Roman" w:cs="Times New Roman"/>
          <w:sz w:val="28"/>
          <w:szCs w:val="28"/>
        </w:rPr>
        <w:t xml:space="preserve">Утвердить </w:t>
      </w:r>
      <w:r w:rsidR="00D5668B">
        <w:rPr>
          <w:rFonts w:ascii="Times New Roman" w:hAnsi="Times New Roman" w:cs="Times New Roman"/>
          <w:sz w:val="28"/>
          <w:szCs w:val="28"/>
        </w:rPr>
        <w:t>Стратегию</w:t>
      </w:r>
      <w:r w:rsidR="003250B8">
        <w:rPr>
          <w:rFonts w:ascii="Times New Roman" w:hAnsi="Times New Roman" w:cs="Times New Roman"/>
          <w:sz w:val="28"/>
          <w:szCs w:val="28"/>
        </w:rPr>
        <w:t xml:space="preserve"> социально-экономического развития Бардымского муниципального района на 2018 – 2030 годы</w:t>
      </w:r>
      <w:r w:rsidR="008E3709">
        <w:rPr>
          <w:rFonts w:ascii="Times New Roman" w:hAnsi="Times New Roman" w:cs="Times New Roman"/>
          <w:sz w:val="28"/>
          <w:szCs w:val="28"/>
        </w:rPr>
        <w:t>.</w:t>
      </w:r>
    </w:p>
    <w:p w:rsidR="00CF141C" w:rsidRPr="00A55770" w:rsidRDefault="00A55770" w:rsidP="00A557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F141C" w:rsidRPr="00CF141C">
        <w:rPr>
          <w:rFonts w:ascii="Times New Roman" w:hAnsi="Times New Roman" w:cs="Times New Roman"/>
          <w:sz w:val="28"/>
          <w:szCs w:val="28"/>
        </w:rPr>
        <w:t xml:space="preserve">2. </w:t>
      </w:r>
      <w:r w:rsidR="00CF141C" w:rsidRPr="00574C4C">
        <w:rPr>
          <w:rFonts w:ascii="Times New Roman" w:eastAsia="Times New Roman" w:hAnsi="Times New Roman" w:cs="Times New Roman"/>
          <w:bCs/>
          <w:sz w:val="28"/>
          <w:szCs w:val="20"/>
        </w:rPr>
        <w:t xml:space="preserve">Настоящее решение </w:t>
      </w:r>
      <w:r w:rsidR="002D7431">
        <w:rPr>
          <w:rFonts w:ascii="Times New Roman" w:eastAsia="Times New Roman" w:hAnsi="Times New Roman" w:cs="Times New Roman"/>
          <w:bCs/>
          <w:sz w:val="28"/>
          <w:szCs w:val="20"/>
        </w:rPr>
        <w:t>опубликовать</w:t>
      </w:r>
      <w:r w:rsidR="006F3566">
        <w:rPr>
          <w:rFonts w:ascii="Times New Roman" w:eastAsia="Times New Roman" w:hAnsi="Times New Roman" w:cs="Times New Roman"/>
          <w:bCs/>
          <w:sz w:val="28"/>
          <w:szCs w:val="20"/>
        </w:rPr>
        <w:t xml:space="preserve"> (разместить)</w:t>
      </w:r>
      <w:r w:rsidR="00CF141C">
        <w:rPr>
          <w:rFonts w:ascii="Times New Roman" w:eastAsia="Times New Roman" w:hAnsi="Times New Roman" w:cs="Times New Roman"/>
          <w:bCs/>
          <w:sz w:val="28"/>
          <w:szCs w:val="20"/>
        </w:rPr>
        <w:t xml:space="preserve"> на официальном сайте А</w:t>
      </w:r>
      <w:r w:rsidR="00CF141C" w:rsidRPr="00574C4C">
        <w:rPr>
          <w:rFonts w:ascii="Times New Roman" w:eastAsia="Times New Roman" w:hAnsi="Times New Roman" w:cs="Times New Roman"/>
          <w:bCs/>
          <w:sz w:val="28"/>
          <w:szCs w:val="20"/>
        </w:rPr>
        <w:t>дминистрации Бар</w:t>
      </w:r>
      <w:r w:rsidR="00CF141C">
        <w:rPr>
          <w:rFonts w:ascii="Times New Roman" w:eastAsia="Times New Roman" w:hAnsi="Times New Roman" w:cs="Times New Roman"/>
          <w:bCs/>
          <w:sz w:val="28"/>
          <w:szCs w:val="20"/>
        </w:rPr>
        <w:t>дымского муниципального района</w:t>
      </w:r>
      <w:r w:rsidR="002D7431">
        <w:rPr>
          <w:rFonts w:ascii="Times New Roman" w:eastAsia="Times New Roman" w:hAnsi="Times New Roman" w:cs="Times New Roman"/>
          <w:bCs/>
          <w:sz w:val="28"/>
          <w:szCs w:val="20"/>
        </w:rPr>
        <w:t xml:space="preserve"> </w:t>
      </w:r>
      <w:r w:rsidR="00CF141C" w:rsidRPr="00574C4C">
        <w:rPr>
          <w:rFonts w:ascii="Times New Roman" w:eastAsia="Times New Roman" w:hAnsi="Times New Roman" w:cs="Times New Roman"/>
          <w:bCs/>
          <w:sz w:val="28"/>
          <w:szCs w:val="20"/>
          <w:lang w:val="en-US"/>
        </w:rPr>
        <w:t>www</w:t>
      </w:r>
      <w:r w:rsidR="00CF141C" w:rsidRPr="00574C4C">
        <w:rPr>
          <w:rFonts w:ascii="Times New Roman" w:eastAsia="Times New Roman" w:hAnsi="Times New Roman" w:cs="Times New Roman"/>
          <w:bCs/>
          <w:sz w:val="28"/>
          <w:szCs w:val="20"/>
        </w:rPr>
        <w:t>.barda-rayon.ru.</w:t>
      </w:r>
    </w:p>
    <w:p w:rsidR="00CF141C" w:rsidRPr="00CF141C" w:rsidRDefault="00437674" w:rsidP="00CF14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F141C" w:rsidRPr="00CF141C">
        <w:rPr>
          <w:rFonts w:ascii="Times New Roman" w:hAnsi="Times New Roman" w:cs="Times New Roman"/>
          <w:sz w:val="28"/>
          <w:szCs w:val="28"/>
        </w:rPr>
        <w:t>. Контроль исполнени</w:t>
      </w:r>
      <w:r w:rsidR="00BE7C22">
        <w:rPr>
          <w:rFonts w:ascii="Times New Roman" w:hAnsi="Times New Roman" w:cs="Times New Roman"/>
          <w:sz w:val="28"/>
          <w:szCs w:val="28"/>
        </w:rPr>
        <w:t xml:space="preserve">я </w:t>
      </w:r>
      <w:r w:rsidR="00CF141C" w:rsidRPr="00CF141C">
        <w:rPr>
          <w:rFonts w:ascii="Times New Roman" w:hAnsi="Times New Roman" w:cs="Times New Roman"/>
          <w:sz w:val="28"/>
          <w:szCs w:val="28"/>
        </w:rPr>
        <w:t xml:space="preserve">решения </w:t>
      </w:r>
      <w:r w:rsidR="00BE7C22">
        <w:rPr>
          <w:rFonts w:ascii="Times New Roman" w:hAnsi="Times New Roman" w:cs="Times New Roman"/>
          <w:sz w:val="28"/>
          <w:szCs w:val="28"/>
        </w:rPr>
        <w:t xml:space="preserve">возложить на </w:t>
      </w:r>
      <w:r w:rsidR="00893941">
        <w:rPr>
          <w:rFonts w:ascii="Times New Roman" w:hAnsi="Times New Roman" w:cs="Times New Roman"/>
          <w:sz w:val="28"/>
          <w:szCs w:val="28"/>
        </w:rPr>
        <w:t>председателя</w:t>
      </w:r>
      <w:r w:rsidR="001073A9">
        <w:rPr>
          <w:rFonts w:ascii="Times New Roman" w:hAnsi="Times New Roman" w:cs="Times New Roman"/>
          <w:sz w:val="28"/>
          <w:szCs w:val="28"/>
        </w:rPr>
        <w:t xml:space="preserve"> комиссии</w:t>
      </w:r>
      <w:r w:rsidR="00893941">
        <w:rPr>
          <w:rFonts w:ascii="Times New Roman" w:hAnsi="Times New Roman" w:cs="Times New Roman"/>
          <w:sz w:val="28"/>
          <w:szCs w:val="28"/>
        </w:rPr>
        <w:t xml:space="preserve"> по экономической политике Сарбаева В.М.</w:t>
      </w:r>
    </w:p>
    <w:p w:rsidR="00CF141C" w:rsidRDefault="00CF141C" w:rsidP="00B9076E">
      <w:pPr>
        <w:spacing w:after="0" w:line="240" w:lineRule="auto"/>
        <w:ind w:firstLine="720"/>
        <w:jc w:val="both"/>
        <w:rPr>
          <w:rFonts w:ascii="Times New Roman" w:eastAsia="Times New Roman" w:hAnsi="Times New Roman" w:cs="Times New Roman"/>
          <w:sz w:val="28"/>
          <w:szCs w:val="28"/>
        </w:rPr>
      </w:pPr>
    </w:p>
    <w:p w:rsidR="00B9076E" w:rsidRPr="00574C4C" w:rsidRDefault="00B9076E" w:rsidP="00B9076E">
      <w:pPr>
        <w:tabs>
          <w:tab w:val="left" w:pos="0"/>
        </w:tabs>
        <w:spacing w:after="0" w:line="240" w:lineRule="auto"/>
        <w:jc w:val="both"/>
        <w:rPr>
          <w:rFonts w:ascii="Times New Roman" w:eastAsia="Times New Roman" w:hAnsi="Times New Roman" w:cs="Times New Roman"/>
          <w:sz w:val="28"/>
          <w:szCs w:val="28"/>
        </w:rPr>
      </w:pPr>
    </w:p>
    <w:p w:rsidR="00B9076E" w:rsidRPr="00574C4C" w:rsidRDefault="00B9076E" w:rsidP="00B9076E">
      <w:pPr>
        <w:tabs>
          <w:tab w:val="left" w:pos="0"/>
        </w:tabs>
        <w:spacing w:after="0" w:line="240" w:lineRule="auto"/>
        <w:jc w:val="both"/>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Председатель Земского Собрания</w:t>
      </w:r>
    </w:p>
    <w:p w:rsidR="00B9076E" w:rsidRPr="00574C4C" w:rsidRDefault="00B9076E" w:rsidP="00B9076E">
      <w:pPr>
        <w:tabs>
          <w:tab w:val="left" w:pos="0"/>
        </w:tabs>
        <w:spacing w:after="0" w:line="240" w:lineRule="auto"/>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 xml:space="preserve">Бардымского муниципального района                      </w:t>
      </w:r>
      <w:r w:rsidR="0031634F">
        <w:rPr>
          <w:rFonts w:ascii="Times New Roman" w:eastAsia="Times New Roman" w:hAnsi="Times New Roman" w:cs="Times New Roman"/>
          <w:sz w:val="28"/>
          <w:szCs w:val="28"/>
        </w:rPr>
        <w:t xml:space="preserve">                              Х.Г.</w:t>
      </w:r>
      <w:r>
        <w:rPr>
          <w:rFonts w:ascii="Times New Roman" w:eastAsia="Times New Roman" w:hAnsi="Times New Roman" w:cs="Times New Roman"/>
          <w:sz w:val="28"/>
          <w:szCs w:val="28"/>
        </w:rPr>
        <w:t>Алапанов</w:t>
      </w:r>
    </w:p>
    <w:p w:rsidR="00B9076E" w:rsidRDefault="00B9076E" w:rsidP="00B9076E">
      <w:pPr>
        <w:tabs>
          <w:tab w:val="left" w:pos="0"/>
        </w:tabs>
        <w:spacing w:after="0" w:line="240" w:lineRule="auto"/>
        <w:jc w:val="both"/>
        <w:rPr>
          <w:rFonts w:ascii="Times New Roman" w:eastAsia="Times New Roman" w:hAnsi="Times New Roman" w:cs="Times New Roman"/>
          <w:sz w:val="28"/>
          <w:szCs w:val="28"/>
        </w:rPr>
      </w:pPr>
    </w:p>
    <w:p w:rsidR="00B9076E" w:rsidRDefault="00B9076E" w:rsidP="00B9076E">
      <w:pPr>
        <w:tabs>
          <w:tab w:val="left" w:pos="0"/>
        </w:tabs>
        <w:spacing w:after="0" w:line="240" w:lineRule="auto"/>
        <w:jc w:val="both"/>
        <w:rPr>
          <w:rFonts w:ascii="Times New Roman" w:eastAsia="Times New Roman" w:hAnsi="Times New Roman" w:cs="Times New Roman"/>
          <w:sz w:val="28"/>
          <w:szCs w:val="28"/>
        </w:rPr>
      </w:pPr>
    </w:p>
    <w:p w:rsidR="00886F09"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Глава муниципального района – </w:t>
      </w:r>
    </w:p>
    <w:p w:rsidR="00BE7C22"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глава Администрации Бардымского</w:t>
      </w:r>
    </w:p>
    <w:p w:rsidR="00BE7C22" w:rsidRPr="00BE7C22"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муниципального района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С.М.Ибраев</w:t>
      </w:r>
    </w:p>
    <w:p w:rsidR="00C82567" w:rsidRDefault="00C82567">
      <w:pPr>
        <w:rPr>
          <w:sz w:val="24"/>
          <w:szCs w:val="24"/>
        </w:rPr>
      </w:pPr>
    </w:p>
    <w:p w:rsidR="001D788E" w:rsidRDefault="008E3709">
      <w:pPr>
        <w:rPr>
          <w:sz w:val="24"/>
          <w:szCs w:val="24"/>
        </w:rPr>
      </w:pPr>
      <w:r>
        <w:rPr>
          <w:sz w:val="24"/>
          <w:szCs w:val="24"/>
        </w:rPr>
        <w:t>01.06.2018</w:t>
      </w:r>
    </w:p>
    <w:p w:rsidR="00CF141C" w:rsidRPr="008E3709" w:rsidRDefault="00157F5C" w:rsidP="008E3709">
      <w:pPr>
        <w:spacing w:after="0" w:line="360" w:lineRule="exact"/>
        <w:ind w:hanging="708"/>
        <w:jc w:val="right"/>
        <w:rPr>
          <w:rFonts w:ascii="Times New Roman" w:hAnsi="Times New Roman" w:cs="Times New Roman"/>
          <w:sz w:val="24"/>
          <w:szCs w:val="24"/>
        </w:rPr>
      </w:pPr>
      <w:r>
        <w:rPr>
          <w:rFonts w:ascii="Times New Roman" w:hAnsi="Times New Roman" w:cs="Times New Roman"/>
          <w:sz w:val="28"/>
          <w:szCs w:val="28"/>
        </w:rPr>
        <w:lastRenderedPageBreak/>
        <w:t xml:space="preserve">     </w:t>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Pr="008E3709">
        <w:rPr>
          <w:rFonts w:ascii="Times New Roman" w:hAnsi="Times New Roman" w:cs="Times New Roman"/>
          <w:sz w:val="24"/>
          <w:szCs w:val="24"/>
        </w:rPr>
        <w:t xml:space="preserve">          </w:t>
      </w:r>
      <w:r w:rsidR="0081565B" w:rsidRPr="008E3709">
        <w:rPr>
          <w:rFonts w:ascii="Times New Roman" w:hAnsi="Times New Roman" w:cs="Times New Roman"/>
          <w:sz w:val="24"/>
          <w:szCs w:val="24"/>
        </w:rPr>
        <w:t>Приложение</w:t>
      </w:r>
    </w:p>
    <w:p w:rsidR="00C82567" w:rsidRPr="008E3709" w:rsidRDefault="00CF141C" w:rsidP="008E3709">
      <w:pPr>
        <w:spacing w:after="0" w:line="240" w:lineRule="exact"/>
        <w:jc w:val="right"/>
        <w:rPr>
          <w:rFonts w:ascii="Times New Roman" w:hAnsi="Times New Roman" w:cs="Times New Roman"/>
          <w:sz w:val="24"/>
          <w:szCs w:val="24"/>
        </w:rPr>
      </w:pP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0081565B" w:rsidRPr="008E3709">
        <w:rPr>
          <w:rFonts w:ascii="Times New Roman" w:hAnsi="Times New Roman" w:cs="Times New Roman"/>
          <w:sz w:val="24"/>
          <w:szCs w:val="24"/>
        </w:rPr>
        <w:t xml:space="preserve">к </w:t>
      </w:r>
      <w:r w:rsidRPr="008E3709">
        <w:rPr>
          <w:rFonts w:ascii="Times New Roman" w:hAnsi="Times New Roman" w:cs="Times New Roman"/>
          <w:sz w:val="24"/>
          <w:szCs w:val="24"/>
        </w:rPr>
        <w:t>решени</w:t>
      </w:r>
      <w:r w:rsidR="0081565B" w:rsidRPr="008E3709">
        <w:rPr>
          <w:rFonts w:ascii="Times New Roman" w:hAnsi="Times New Roman" w:cs="Times New Roman"/>
          <w:sz w:val="24"/>
          <w:szCs w:val="24"/>
        </w:rPr>
        <w:t>ю</w:t>
      </w:r>
      <w:r w:rsidR="00BE7C22" w:rsidRPr="008E3709">
        <w:rPr>
          <w:rFonts w:ascii="Times New Roman" w:hAnsi="Times New Roman" w:cs="Times New Roman"/>
          <w:sz w:val="24"/>
          <w:szCs w:val="24"/>
        </w:rPr>
        <w:t xml:space="preserve"> Земского С</w:t>
      </w:r>
      <w:r w:rsidRPr="008E3709">
        <w:rPr>
          <w:rFonts w:ascii="Times New Roman" w:hAnsi="Times New Roman" w:cs="Times New Roman"/>
          <w:sz w:val="24"/>
          <w:szCs w:val="24"/>
        </w:rPr>
        <w:t xml:space="preserve">обрания </w:t>
      </w:r>
    </w:p>
    <w:p w:rsidR="00C82567" w:rsidRPr="008E3709" w:rsidRDefault="00A13D85" w:rsidP="008E3709">
      <w:pPr>
        <w:spacing w:after="0" w:line="240" w:lineRule="exact"/>
        <w:jc w:val="right"/>
        <w:rPr>
          <w:rFonts w:ascii="Times New Roman" w:hAnsi="Times New Roman" w:cs="Times New Roman"/>
          <w:sz w:val="24"/>
          <w:szCs w:val="24"/>
        </w:rPr>
      </w:pPr>
      <w:r w:rsidRPr="008E3709">
        <w:rPr>
          <w:rFonts w:ascii="Times New Roman" w:hAnsi="Times New Roman" w:cs="Times New Roman"/>
          <w:sz w:val="24"/>
          <w:szCs w:val="24"/>
        </w:rPr>
        <w:t xml:space="preserve">                                                                                 </w:t>
      </w:r>
      <w:r w:rsidR="00CF141C" w:rsidRPr="008E3709">
        <w:rPr>
          <w:rFonts w:ascii="Times New Roman" w:hAnsi="Times New Roman" w:cs="Times New Roman"/>
          <w:sz w:val="24"/>
          <w:szCs w:val="24"/>
        </w:rPr>
        <w:t xml:space="preserve">Бардымского </w:t>
      </w:r>
      <w:r w:rsidR="00C82567" w:rsidRPr="008E3709">
        <w:rPr>
          <w:rFonts w:ascii="Times New Roman" w:hAnsi="Times New Roman" w:cs="Times New Roman"/>
          <w:sz w:val="24"/>
          <w:szCs w:val="24"/>
        </w:rPr>
        <w:t>мун</w:t>
      </w:r>
      <w:r w:rsidR="00CF141C" w:rsidRPr="008E3709">
        <w:rPr>
          <w:rFonts w:ascii="Times New Roman" w:hAnsi="Times New Roman" w:cs="Times New Roman"/>
          <w:sz w:val="24"/>
          <w:szCs w:val="24"/>
        </w:rPr>
        <w:t>и</w:t>
      </w:r>
      <w:r w:rsidR="00C82567" w:rsidRPr="008E3709">
        <w:rPr>
          <w:rFonts w:ascii="Times New Roman" w:hAnsi="Times New Roman" w:cs="Times New Roman"/>
          <w:sz w:val="24"/>
          <w:szCs w:val="24"/>
        </w:rPr>
        <w:t>ци</w:t>
      </w:r>
      <w:r w:rsidR="00CF141C" w:rsidRPr="008E3709">
        <w:rPr>
          <w:rFonts w:ascii="Times New Roman" w:hAnsi="Times New Roman" w:cs="Times New Roman"/>
          <w:sz w:val="24"/>
          <w:szCs w:val="24"/>
        </w:rPr>
        <w:t xml:space="preserve">пального </w:t>
      </w:r>
    </w:p>
    <w:p w:rsidR="00064F30" w:rsidRPr="008E3709" w:rsidRDefault="00A13D85" w:rsidP="008E3709">
      <w:pPr>
        <w:spacing w:after="0" w:line="240" w:lineRule="exact"/>
        <w:jc w:val="right"/>
        <w:rPr>
          <w:rFonts w:ascii="Times New Roman" w:hAnsi="Times New Roman" w:cs="Times New Roman"/>
          <w:sz w:val="24"/>
          <w:szCs w:val="24"/>
        </w:rPr>
      </w:pPr>
      <w:r w:rsidRPr="008E3709">
        <w:rPr>
          <w:rFonts w:ascii="Times New Roman" w:hAnsi="Times New Roman" w:cs="Times New Roman"/>
          <w:sz w:val="24"/>
          <w:szCs w:val="24"/>
        </w:rPr>
        <w:t xml:space="preserve">                                                                                 р</w:t>
      </w:r>
      <w:r w:rsidR="00CF141C" w:rsidRPr="008E3709">
        <w:rPr>
          <w:rFonts w:ascii="Times New Roman" w:hAnsi="Times New Roman" w:cs="Times New Roman"/>
          <w:sz w:val="24"/>
          <w:szCs w:val="24"/>
        </w:rPr>
        <w:t>айона</w:t>
      </w:r>
      <w:r w:rsidR="00530383" w:rsidRPr="008E3709">
        <w:rPr>
          <w:rFonts w:ascii="Times New Roman" w:hAnsi="Times New Roman" w:cs="Times New Roman"/>
          <w:sz w:val="24"/>
          <w:szCs w:val="24"/>
        </w:rPr>
        <w:t xml:space="preserve"> </w:t>
      </w:r>
      <w:r w:rsidR="001D788E" w:rsidRPr="008E3709">
        <w:rPr>
          <w:rFonts w:ascii="Times New Roman" w:hAnsi="Times New Roman" w:cs="Times New Roman"/>
          <w:sz w:val="24"/>
          <w:szCs w:val="24"/>
        </w:rPr>
        <w:t>от</w:t>
      </w:r>
      <w:r w:rsidRPr="008E3709">
        <w:rPr>
          <w:rFonts w:ascii="Times New Roman" w:hAnsi="Times New Roman" w:cs="Times New Roman"/>
          <w:sz w:val="24"/>
          <w:szCs w:val="24"/>
        </w:rPr>
        <w:t xml:space="preserve"> </w:t>
      </w:r>
      <w:r w:rsidR="00157F5C" w:rsidRPr="008E3709">
        <w:rPr>
          <w:rFonts w:ascii="Times New Roman" w:hAnsi="Times New Roman" w:cs="Times New Roman"/>
          <w:sz w:val="24"/>
          <w:szCs w:val="24"/>
        </w:rPr>
        <w:t xml:space="preserve">30 мая </w:t>
      </w:r>
      <w:r w:rsidR="00A55770" w:rsidRPr="008E3709">
        <w:rPr>
          <w:rFonts w:ascii="Times New Roman" w:hAnsi="Times New Roman" w:cs="Times New Roman"/>
          <w:sz w:val="24"/>
          <w:szCs w:val="24"/>
        </w:rPr>
        <w:t>201</w:t>
      </w:r>
      <w:r w:rsidRPr="008E3709">
        <w:rPr>
          <w:rFonts w:ascii="Times New Roman" w:hAnsi="Times New Roman" w:cs="Times New Roman"/>
          <w:sz w:val="24"/>
          <w:szCs w:val="24"/>
        </w:rPr>
        <w:t>8</w:t>
      </w:r>
      <w:r w:rsidR="00A55770" w:rsidRPr="008E3709">
        <w:rPr>
          <w:rFonts w:ascii="Times New Roman" w:hAnsi="Times New Roman" w:cs="Times New Roman"/>
          <w:sz w:val="24"/>
          <w:szCs w:val="24"/>
        </w:rPr>
        <w:t xml:space="preserve"> </w:t>
      </w:r>
      <w:r w:rsidR="00C82567" w:rsidRPr="008E3709">
        <w:rPr>
          <w:rFonts w:ascii="Times New Roman" w:hAnsi="Times New Roman" w:cs="Times New Roman"/>
          <w:sz w:val="24"/>
          <w:szCs w:val="24"/>
        </w:rPr>
        <w:t>№</w:t>
      </w:r>
      <w:r w:rsidR="00157F5C" w:rsidRPr="008E3709">
        <w:rPr>
          <w:rFonts w:ascii="Times New Roman" w:hAnsi="Times New Roman" w:cs="Times New Roman"/>
          <w:sz w:val="24"/>
          <w:szCs w:val="24"/>
        </w:rPr>
        <w:t xml:space="preserve"> </w:t>
      </w:r>
      <w:r w:rsidR="008E3709" w:rsidRPr="008E3709">
        <w:rPr>
          <w:rFonts w:ascii="Times New Roman" w:hAnsi="Times New Roman" w:cs="Times New Roman"/>
          <w:sz w:val="24"/>
          <w:szCs w:val="24"/>
        </w:rPr>
        <w:t>411</w:t>
      </w:r>
    </w:p>
    <w:p w:rsidR="00747DEB" w:rsidRPr="00153E07" w:rsidRDefault="00747DEB" w:rsidP="00153E07">
      <w:pPr>
        <w:spacing w:after="0" w:line="240" w:lineRule="exact"/>
        <w:jc w:val="both"/>
        <w:rPr>
          <w:rFonts w:ascii="Times New Roman" w:hAnsi="Times New Roman" w:cs="Times New Roman"/>
          <w:b/>
          <w:sz w:val="28"/>
          <w:szCs w:val="28"/>
        </w:rPr>
      </w:pPr>
    </w:p>
    <w:p w:rsidR="00CF141C" w:rsidRPr="00153E07" w:rsidRDefault="00064F30" w:rsidP="00157F5C">
      <w:pPr>
        <w:spacing w:after="0" w:line="240" w:lineRule="auto"/>
        <w:jc w:val="center"/>
        <w:rPr>
          <w:rFonts w:ascii="Times New Roman" w:hAnsi="Times New Roman" w:cs="Times New Roman"/>
          <w:b/>
          <w:sz w:val="28"/>
          <w:szCs w:val="28"/>
        </w:rPr>
      </w:pPr>
      <w:r w:rsidRPr="00153E07">
        <w:rPr>
          <w:rFonts w:ascii="Times New Roman" w:hAnsi="Times New Roman" w:cs="Times New Roman"/>
          <w:b/>
          <w:sz w:val="28"/>
          <w:szCs w:val="28"/>
        </w:rPr>
        <w:t>Стратегия социально-экономического развития Бардымского муниципа</w:t>
      </w:r>
      <w:r w:rsidR="00747DEB" w:rsidRPr="00153E07">
        <w:rPr>
          <w:rFonts w:ascii="Times New Roman" w:hAnsi="Times New Roman" w:cs="Times New Roman"/>
          <w:b/>
          <w:sz w:val="28"/>
          <w:szCs w:val="28"/>
        </w:rPr>
        <w:t>льного района на 2018-2030 годы</w:t>
      </w:r>
    </w:p>
    <w:p w:rsidR="00CF141C" w:rsidRPr="00153E07" w:rsidRDefault="00CF141C" w:rsidP="00DD3EEB">
      <w:pPr>
        <w:spacing w:after="0" w:line="240" w:lineRule="auto"/>
        <w:jc w:val="both"/>
        <w:rPr>
          <w:rFonts w:ascii="Times New Roman" w:hAnsi="Times New Roman" w:cs="Times New Roman"/>
          <w:sz w:val="28"/>
          <w:szCs w:val="28"/>
        </w:rPr>
      </w:pPr>
    </w:p>
    <w:p w:rsidR="00064F30" w:rsidRDefault="00064F30" w:rsidP="00DD3EEB">
      <w:pPr>
        <w:pStyle w:val="1"/>
        <w:spacing w:line="240" w:lineRule="auto"/>
      </w:pPr>
      <w:bookmarkStart w:id="0" w:name="_Toc491779060"/>
      <w:bookmarkStart w:id="1" w:name="_Toc494124282"/>
      <w:r w:rsidRPr="00153E07">
        <w:t>1. Оценка социально-экономического развития Бардымского муниципального района</w:t>
      </w:r>
      <w:bookmarkEnd w:id="0"/>
      <w:bookmarkEnd w:id="1"/>
    </w:p>
    <w:p w:rsidR="00153E07" w:rsidRDefault="00153E07" w:rsidP="00DD3EEB">
      <w:pPr>
        <w:pStyle w:val="1"/>
        <w:numPr>
          <w:ilvl w:val="1"/>
          <w:numId w:val="17"/>
        </w:numPr>
        <w:spacing w:line="240" w:lineRule="auto"/>
      </w:pPr>
      <w:bookmarkStart w:id="2" w:name="_Toc491779061"/>
      <w:bookmarkStart w:id="3" w:name="_Toc494124283"/>
      <w:r w:rsidRPr="00153E07">
        <w:t>Бардымский муниципальный район (общая информация)</w:t>
      </w:r>
    </w:p>
    <w:p w:rsidR="00153E07" w:rsidRPr="00153E07" w:rsidRDefault="00153E07" w:rsidP="00DD3EEB">
      <w:pPr>
        <w:pStyle w:val="1"/>
        <w:spacing w:line="240" w:lineRule="auto"/>
      </w:pPr>
      <w:r w:rsidRPr="00153E07">
        <w:tab/>
      </w:r>
      <w:r w:rsidRPr="00153E07">
        <w:tab/>
        <w:t>1.1.1 Краткая информация</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Площадь территории Бардымского муниципального района Пермского края составляет 2403 кв. 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населения района по данным территориального органа Федеральной службы государственной статистики по Пермскому краю на 01.01.2017г. составила 25 291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Средняя плотность населения в Бардымском районе - 12 чел./кв.км.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Административным центром Бардымского муниципального района является село Барда.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Структура площади и численности населения в разрезе сельских поселений представлена в таблице 1.1.</w:t>
      </w:r>
    </w:p>
    <w:p w:rsidR="00153E07" w:rsidRPr="009D0B85" w:rsidRDefault="00153E07" w:rsidP="00DD3EEB">
      <w:pPr>
        <w:spacing w:after="0" w:line="240" w:lineRule="auto"/>
        <w:ind w:firstLine="709"/>
        <w:jc w:val="right"/>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Таблица 1.1</w:t>
      </w:r>
    </w:p>
    <w:p w:rsidR="00153E07" w:rsidRPr="009D0B85" w:rsidRDefault="00153E07" w:rsidP="00DD3EEB">
      <w:pPr>
        <w:spacing w:after="0" w:line="240" w:lineRule="auto"/>
        <w:jc w:val="center"/>
        <w:rPr>
          <w:rFonts w:ascii="Times New Roman" w:eastAsia="Times New Roman" w:hAnsi="Times New Roman" w:cs="Times New Roman"/>
          <w:b/>
          <w:color w:val="000000"/>
          <w:sz w:val="28"/>
          <w:szCs w:val="28"/>
        </w:rPr>
      </w:pPr>
      <w:r w:rsidRPr="009D0B85">
        <w:rPr>
          <w:rFonts w:ascii="Times New Roman" w:eastAsia="Times New Roman" w:hAnsi="Times New Roman" w:cs="Times New Roman"/>
          <w:b/>
          <w:sz w:val="28"/>
          <w:szCs w:val="28"/>
        </w:rPr>
        <w:t>Структура площади и численности населения в разрезе сельских поселений Бардымского муниципального района на 01.01.2017</w:t>
      </w:r>
      <w:r w:rsidR="00157F5C">
        <w:rPr>
          <w:rFonts w:ascii="Times New Roman" w:eastAsia="Times New Roman" w:hAnsi="Times New Roman" w:cs="Times New Roman"/>
          <w:b/>
          <w:sz w:val="28"/>
          <w:szCs w:val="28"/>
        </w:rPr>
        <w:t xml:space="preserve"> </w:t>
      </w:r>
      <w:r w:rsidRPr="009D0B85">
        <w:rPr>
          <w:rFonts w:ascii="Times New Roman" w:eastAsia="Times New Roman" w:hAnsi="Times New Roman" w:cs="Times New Roman"/>
          <w:b/>
          <w:sz w:val="28"/>
          <w:szCs w:val="28"/>
        </w:rPr>
        <w:t>г.</w:t>
      </w:r>
    </w:p>
    <w:tbl>
      <w:tblPr>
        <w:tblW w:w="5000" w:type="pct"/>
        <w:tblLook w:val="04A0"/>
      </w:tblPr>
      <w:tblGrid>
        <w:gridCol w:w="4043"/>
        <w:gridCol w:w="906"/>
        <w:gridCol w:w="1346"/>
        <w:gridCol w:w="1087"/>
        <w:gridCol w:w="1346"/>
        <w:gridCol w:w="1409"/>
      </w:tblGrid>
      <w:tr w:rsidR="00153E07" w:rsidRPr="00153E07" w:rsidTr="00153E07">
        <w:trPr>
          <w:trHeight w:val="300"/>
        </w:trPr>
        <w:tc>
          <w:tcPr>
            <w:tcW w:w="20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Сельское поселение</w:t>
            </w:r>
          </w:p>
        </w:tc>
        <w:tc>
          <w:tcPr>
            <w:tcW w:w="1028"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Площадь</w:t>
            </w:r>
            <w:r w:rsidRPr="00E444CA">
              <w:rPr>
                <w:rStyle w:val="aff2"/>
                <w:rFonts w:ascii="Times New Roman" w:eastAsia="Times New Roman" w:hAnsi="Times New Roman" w:cs="Times New Roman"/>
                <w:b/>
                <w:color w:val="000000"/>
                <w:sz w:val="24"/>
                <w:szCs w:val="24"/>
              </w:rPr>
              <w:footnoteReference w:id="2"/>
            </w:r>
          </w:p>
        </w:tc>
        <w:tc>
          <w:tcPr>
            <w:tcW w:w="1221"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Население на 01.01.2017г.</w:t>
            </w:r>
            <w:r w:rsidRPr="00E444CA">
              <w:rPr>
                <w:rStyle w:val="aff2"/>
                <w:rFonts w:ascii="Times New Roman" w:eastAsia="Times New Roman" w:hAnsi="Times New Roman" w:cs="Times New Roman"/>
                <w:b/>
                <w:color w:val="000000"/>
                <w:sz w:val="24"/>
                <w:szCs w:val="24"/>
              </w:rPr>
              <w:footnoteReference w:id="3"/>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Плотность населения, чел./кв.км.</w:t>
            </w:r>
          </w:p>
        </w:tc>
      </w:tr>
      <w:tr w:rsidR="00153E07" w:rsidRPr="00153E07" w:rsidTr="00153E07">
        <w:trPr>
          <w:trHeight w:val="600"/>
        </w:trPr>
        <w:tc>
          <w:tcPr>
            <w:tcW w:w="2045" w:type="pct"/>
            <w:vMerge/>
            <w:tcBorders>
              <w:top w:val="single" w:sz="4" w:space="0" w:color="auto"/>
              <w:left w:val="single" w:sz="4" w:space="0" w:color="auto"/>
              <w:bottom w:val="single" w:sz="4" w:space="0" w:color="000000"/>
              <w:right w:val="single" w:sz="4" w:space="0" w:color="auto"/>
            </w:tcBorders>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кв.км.</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Удельный вес, %</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человек</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Удельный вес, %</w:t>
            </w: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Бардымское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232,7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9,7%</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9827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38,9%</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42</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Красноярское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103,5</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4,3%</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2249</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8,9%</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22</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Елпачихинское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141,6</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5,9%</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1916</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7,6%</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Сарашевское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242,4</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10,1%</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2487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9,8%</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Березниковское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157,6</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6,6%</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1364</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5,4%</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Бичуринское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204,3</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8,5%</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1652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6,5%</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Брюзлинское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115,8</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4,8%</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792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3,1%</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Тюндюковское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206,0</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8,6%</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1312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5,2%</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Печменское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285,2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11,9%</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1607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6,4%</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Федорковское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211,7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8,8%</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1184</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4,7%</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Новоашапское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164,8</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6,9%</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422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1,7%</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Шермейское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337,5</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14,0%</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479</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1,9%</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Итого</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2403,0</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100%</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25291,0</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100%</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Данные в таблице 1 проранжированы по плотности населения в порядке убывания.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плотности населения в Бардымском муниципальном районе лидируют Бардымское сельское поселение (42 чел./кв.км.), Красноярское сельское поселение (22 чел./кв.км.), Елпачихинское сельское поселение (14 чел./кв.км.), Сарашевское сельское поселение – 10 чел./кв.км, Березниковское сельское поселение – 9 чел./кв.км.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Наименьшая плотность населения наблюдается в Новоашапском (3 чел./кв. км.) и Шермейском (1 чел./кв.км.) сельских поселениях.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структура численности населения в Бардымском муниципальном районе представлена на рисунке 1.1.</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3438525"/>
            <wp:effectExtent l="19050" t="0" r="0" b="0"/>
            <wp:docPr id="21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53E07" w:rsidRPr="00333885"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 Структура численности населения в Бардымском муниципальном районе</w:t>
      </w:r>
    </w:p>
    <w:p w:rsidR="00B51625" w:rsidRPr="00333885" w:rsidRDefault="00B51625" w:rsidP="00DD3EEB">
      <w:pPr>
        <w:spacing w:after="0" w:line="240" w:lineRule="auto"/>
        <w:jc w:val="both"/>
        <w:rPr>
          <w:rFonts w:ascii="Times New Roman" w:eastAsia="Times New Roman" w:hAnsi="Times New Roman" w:cs="Times New Roman"/>
          <w:b/>
          <w:sz w:val="28"/>
          <w:szCs w:val="28"/>
        </w:rPr>
      </w:pPr>
    </w:p>
    <w:p w:rsidR="00153E07" w:rsidRPr="00153E07" w:rsidRDefault="00153E07" w:rsidP="00DD3EEB">
      <w:pPr>
        <w:pStyle w:val="1"/>
        <w:spacing w:line="240" w:lineRule="auto"/>
      </w:pPr>
      <w:r w:rsidRPr="00153E07">
        <w:t>1.1.2 Географическое расположение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расположен на юге Пермского края. По территории Бардымского муниципального района протекают реки Тулва и Барда.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Бардымский муниципальный район граничит с Осинским муниципальным районом на севере, с Кунгурским муниципальным районом - на северо-востоке, с Уинским муниципальным районом - на востоке, с Чернушинским муниципальным районом – на юго-востоке, на юге и юго-западе район граничит с Куединским муниципальным районом, с Еловским муниципальным районом – на западе.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ab/>
      </w:r>
      <w:r w:rsidRPr="00153E07">
        <w:rPr>
          <w:rFonts w:ascii="Times New Roman" w:eastAsia="Times New Roman" w:hAnsi="Times New Roman" w:cs="Times New Roman"/>
          <w:sz w:val="28"/>
          <w:szCs w:val="28"/>
        </w:rPr>
        <w:tab/>
      </w:r>
    </w:p>
    <w:p w:rsidR="00153E07" w:rsidRPr="00153E07" w:rsidRDefault="00153E07" w:rsidP="00DD3EEB">
      <w:pPr>
        <w:pStyle w:val="1"/>
        <w:spacing w:line="240" w:lineRule="auto"/>
      </w:pPr>
      <w:r w:rsidRPr="00153E07">
        <w:t>1.1.3 Природные условия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Почвы в Бардымском муниципальном районе преимущественно суглинистые и дерново-средне- и слабоподзолистые глинистые. Рельеф </w:t>
      </w:r>
      <w:r w:rsidRPr="00153E07">
        <w:rPr>
          <w:rFonts w:ascii="Times New Roman" w:eastAsia="Times New Roman" w:hAnsi="Times New Roman" w:cs="Times New Roman"/>
          <w:sz w:val="28"/>
          <w:szCs w:val="28"/>
        </w:rPr>
        <w:lastRenderedPageBreak/>
        <w:t>территории Бардымского муниципального района преимущественно увалистый. Земли сельскохозяйственного использования занимают почти 40% всей терр</w:t>
      </w:r>
      <w:r w:rsidR="00926062">
        <w:rPr>
          <w:rFonts w:ascii="Times New Roman" w:eastAsia="Times New Roman" w:hAnsi="Times New Roman" w:cs="Times New Roman"/>
          <w:sz w:val="28"/>
          <w:szCs w:val="28"/>
        </w:rPr>
        <w:t xml:space="preserve">итории Бардымского района. На 56,6 </w:t>
      </w:r>
      <w:r w:rsidRPr="00153E07">
        <w:rPr>
          <w:rFonts w:ascii="Times New Roman" w:eastAsia="Times New Roman" w:hAnsi="Times New Roman" w:cs="Times New Roman"/>
          <w:sz w:val="28"/>
          <w:szCs w:val="28"/>
        </w:rPr>
        <w:t xml:space="preserve">% территории Бардымского района расположены лесные массивы.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Массивы лесов в Бардымском муниципальном районе, как правило, некрупные, преимущественно темнохвойные и березовые. На южных склонах реки Тулва расположено большое количество вишенников.</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муниципального района в Бардымском, Красноярском, Брюзлинском, Елпачихинском, Шермейском сельском поселении располагается Тулвинский биологический охотничий заказник, целью которого является сохранение и поддержание численности охотничьих животных.</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Животный мир Тулвинского заказника представлен более чем 30 видами млекопитающих: заяц, барсук, выдра, медведь, норка, енотовидная собака, куница. Более редкими видами представлены равнозубая бурозубка, еж, белка-летяга, рысь, красная полевка, бобр; более чем 110 видами гнездящихся и перелетных птиц; 15 видами рыб: ерш, налим, пескарь, окунь, голавль, елец, плотва.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на территории Бардымского района имеются ботанические памятники природы: Сарашевские дубравы (в ред. Постановления Правительства Пермского края от 20.11.2012 №1320-п) и Куземьяровский орешник (введен Постановлением Правительства Пермского края от 21.07.2009</w:t>
      </w:r>
      <w:r w:rsidR="007555C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 457-п).</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t>1.1.4 Основные показатели социально-экономического развития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показателей социально-экономического развития Бардымского муниципального района в 2011- 2016 гг. представлена в таблице 1.2.</w:t>
      </w:r>
    </w:p>
    <w:p w:rsidR="00153E07" w:rsidRPr="00153E07" w:rsidRDefault="00153E07" w:rsidP="00597C74">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p>
    <w:p w:rsidR="00153E07" w:rsidRDefault="00153E07" w:rsidP="00597C74">
      <w:pPr>
        <w:spacing w:after="0"/>
        <w:jc w:val="center"/>
        <w:rPr>
          <w:rFonts w:ascii="Times New Roman" w:eastAsia="Times New Roman" w:hAnsi="Times New Roman" w:cs="Times New Roman"/>
          <w:b/>
          <w:sz w:val="28"/>
          <w:szCs w:val="28"/>
        </w:rPr>
      </w:pPr>
      <w:r w:rsidRPr="00597C74">
        <w:rPr>
          <w:rFonts w:ascii="Times New Roman" w:eastAsia="Times New Roman" w:hAnsi="Times New Roman" w:cs="Times New Roman"/>
          <w:b/>
          <w:sz w:val="28"/>
          <w:szCs w:val="28"/>
        </w:rPr>
        <w:t>Динамика показателей социально-экономического развития Бардымского муниципального района в 2011- 2016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3"/>
        <w:gridCol w:w="855"/>
        <w:gridCol w:w="1222"/>
        <w:gridCol w:w="1223"/>
        <w:gridCol w:w="1223"/>
        <w:gridCol w:w="1223"/>
        <w:gridCol w:w="1223"/>
        <w:gridCol w:w="1225"/>
      </w:tblGrid>
      <w:tr w:rsidR="00D50C6A" w:rsidRPr="00F405EC" w:rsidTr="00D50C6A">
        <w:trPr>
          <w:trHeight w:val="600"/>
        </w:trPr>
        <w:tc>
          <w:tcPr>
            <w:tcW w:w="959" w:type="pct"/>
            <w:shd w:val="clear" w:color="auto" w:fill="auto"/>
            <w:noWrap/>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Показатели</w:t>
            </w:r>
          </w:p>
        </w:tc>
        <w:tc>
          <w:tcPr>
            <w:tcW w:w="422" w:type="pct"/>
            <w:shd w:val="clear" w:color="auto" w:fill="auto"/>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Единица измерения</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2011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2012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2013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2014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2015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2016 г.</w:t>
            </w:r>
          </w:p>
        </w:tc>
      </w:tr>
      <w:tr w:rsidR="00D50C6A" w:rsidRPr="00D50C6A" w:rsidTr="00D50C6A">
        <w:trPr>
          <w:trHeight w:val="315"/>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Численность постоянного населения на конец года</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143 056 383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143 347 059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143 666 931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146 267 288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146 544 710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146 804 372</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2 631 073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2 634 461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2 636 154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2 637 032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2 634 409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2 632 097</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25431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25555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25172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25251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25291</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Численность населения в трудоспособном возрасте</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87055000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86137000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85162000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85415000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84199000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83224418</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1577789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1557819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1535306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1512495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1484607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1461976</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14124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14237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13840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13530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13011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13114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Уровень безработицы</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lastRenderedPageBreak/>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5,8</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Оборот промышленного производства</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35052633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38220824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40545079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44064239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49107237,3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53228781</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35052645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1063800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1089100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1158200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1217600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1218100</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4,47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7,57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8,31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0,18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8,44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10,29</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Оборот розничной торговли</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19104336,5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21394526,2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23685913,5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26356237,3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27526793,2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28317321,7</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365875,8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401727,1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453294,5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487372,8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478047,5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482929,6</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375,5</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Объем платных услуг населению</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5540654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6036839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6927482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7467521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8050808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8636277</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102887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112432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124279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130984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133268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140123</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Инвестиции в основной капитал (по крупным и средним предприятиям)</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11035652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12586090,39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13450238,18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13902645,25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13897187,72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14639835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144781,5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162241,0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219493,9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207597,1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226213,6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237014,1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141,6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176,2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60,6</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Ввод жилья</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62300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65700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70500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84200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85300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80200</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748,8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825,8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1100</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9,66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13,24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17,60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14,27</w:t>
            </w:r>
          </w:p>
        </w:tc>
      </w:tr>
      <w:tr w:rsidR="00D50C6A" w:rsidRPr="00DD3EEB"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Средняя заработная плата (по крупным и средним предприятиям)</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23369,20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26628,90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33556,2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36798,5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38404,6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41608,4</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18773,3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21820,9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28086,3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30849,3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31956,7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34153,5</w:t>
            </w:r>
          </w:p>
        </w:tc>
      </w:tr>
      <w:tr w:rsidR="00D50C6A" w:rsidRPr="00D50C6A" w:rsidTr="00D50C6A">
        <w:trPr>
          <w:trHeight w:val="33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17956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19038,9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21290,3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23006,1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25060,2</w:t>
            </w:r>
          </w:p>
        </w:tc>
      </w:tr>
      <w:tr w:rsidR="00D50C6A" w:rsidRPr="00D50C6A" w:rsidTr="00D50C6A">
        <w:trPr>
          <w:cantSplit/>
          <w:trHeight w:val="315"/>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Прожиточный минимум в среднем за период</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6368,5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6510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7305,5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8050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9701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9828</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7199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8096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9591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lastRenderedPageBreak/>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7199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8096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9591</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Покупательная способность заработной платы по отношению к прожиточному минимуму</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366,9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409,0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457,1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360,2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380,5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326,0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390,2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381,1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299,4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326,9</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302,9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320,1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314,3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319,6</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Рождаемость</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1 796 629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1 902 084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1 895 822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1 942 683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1 940 579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1 888 729</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37 015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38 931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38 637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38 837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38 761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37 258</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495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411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Смертность</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1 925 720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1 906 335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1 871 809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1 912 347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1 908 541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1 891 015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38 685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37 453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36 966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36 901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37 370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36 369</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465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440</w:t>
            </w:r>
          </w:p>
        </w:tc>
      </w:tr>
      <w:tr w:rsidR="00D50C6A" w:rsidRPr="00DD3EEB"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Объем выбросов вредных веществ в атмосферу от стационарных источников</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19162,3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19630,3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18446,5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17451,9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17295,7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17349,3</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375,16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343,66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367,99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312,49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298,6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308,91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8,117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6,366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13,446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Число зарегистрированных преступлений на десять тысяч жителей</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168,1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149,8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163,0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147,1</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221,9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243,9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196,9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190,3</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180,6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169,6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179,8</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показал, что численность постоянного населения Бардымского муниципального района не имеет выраженной динамики, колебания не превышают 1,5% в год. В целом за исследуемый период времени наблюдается спад численности постоянного населения на 0,5%, это стало следствием общих демографических процессов – уменьшение показателей рождаемости, превышение уровня смертности над рождаемостью, общими миграционными процессами.</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Численность трудоспособного населения Бардымского муниципального района имеет ярко выраженную тенденцию сокращения. Так, за анализируемый период времени произошло изменение данного показателя с 14124 чел. в 2011г. до 13114 чел. в 2016г., или 7,2%. Уровень безработицы в последние годы сократился, что имеет двойственную следственную взаимосвязь – сокращение численности населения в трудоспособном возрасте с одной стороны, общее улучшение экономики района, с другой. При этом стоит отметить, что уровень безработицы в </w:t>
      </w:r>
      <w:r w:rsidRPr="00153E07">
        <w:rPr>
          <w:rFonts w:ascii="Times New Roman" w:eastAsia="Times New Roman" w:hAnsi="Times New Roman" w:cs="Times New Roman"/>
          <w:sz w:val="28"/>
          <w:szCs w:val="28"/>
        </w:rPr>
        <w:lastRenderedPageBreak/>
        <w:t>Бардымском муниципальном районе в течение анализируемого периода времени не превышал среднероссийских показателей, за исключением 2012 года, когда уровень безработицы в среднем по России был на 0,4% ниже, чем в Бардымском муниципальном районе.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рождаемости и смертности населения имеют динамику сокращения, однако показатели смертности выше показателей рождаемости, что оказывает негативное влияние как на демографическую ситуацию в районе, так и на общее экономическое развитие района в целом.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Оборот розничной торговли в Бардымском муниципальном районе в течение анализируемого периода времени практически не изменялся и на конец 2016 года составил 375,5 млн.руб.</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Инвестиции в основной капитал в течение анализируемого периода времени имеют резкую динамику сокращения более, чем в 2 раза по сравнению с 2011 годом.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таким показателям как ввод жилья и размер средней заработной платы, наблюдается положительная динамика, со значительным приростом за последние 5 лет. Зафиксирован прирост более чем в 1,5 раза ввода нового жилья для населения района; на 39% увеличился уровень средней заработной платы и составил 25060,2 рублей на конец 2016 года.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Покупательная способность номинальной заработной платы по отношению к прожиточному минимуму не имеет единой динамики в связи с неравномерностью темпов роста номинальной заработной платы и прожиточного минимума в соответствующие периоды. В целом динамика данного показателя стремится вверх, что является положительным фактором для развития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Объем выбросов вредных веществ в атмосферу от стационарных источников имеет также скачкообразную динамику, что связано с деятельностью Бардымского ЛПУМГ филиала ООО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Газпром Трансгаз Чайковский</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АО НК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Лукойл-Пермь</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которые в соответствующие годы наращивали производство, перекачку газа, благодаря чему увеличивался объем выбросов в атмосферу от стационарных источников. Основным вредным веществом, выбрасываемым данными производствами является метан, имеющий четвертый класс опасности, обладающий наркотическими свойствами и оказывающий влияние на центральную нервную систему.</w:t>
      </w:r>
    </w:p>
    <w:p w:rsid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Число зарегистрированных преступлений на десять тысяч жителей также не имеет единой динамики. Основные пики роста преступности приходятся на 2012, 2013 и 2015 годы. Возможной причиной роста преступности в указанные годы является рост уровня безработицы в 2012 году. В течение анализируемого периода времени в Пермском крае индекс стоимости жизни снизился с 1,05 до 1,01, однако негативным фактором является значение индекса превышающее единицу. При этом в 2012-2013 годах данный индекс составлял 1,06 – 1,04. </w:t>
      </w:r>
    </w:p>
    <w:p w:rsidR="00980ED1" w:rsidRPr="00153E07" w:rsidRDefault="00980ED1"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numPr>
          <w:ilvl w:val="1"/>
          <w:numId w:val="17"/>
        </w:numPr>
        <w:spacing w:line="240" w:lineRule="auto"/>
      </w:pPr>
      <w:r w:rsidRPr="00153E07">
        <w:lastRenderedPageBreak/>
        <w:t>Социально-экономическое развитие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социально-экономического развития Бардымского муниципального района проводится на основании статистических данных за 2011 – 2016 годы.</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443EEA">
      <w:pPr>
        <w:pStyle w:val="1"/>
        <w:spacing w:line="240" w:lineRule="auto"/>
      </w:pPr>
      <w:r w:rsidRPr="00153E07">
        <w:t>1.2.1 Демография</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Согласно данным Федерального органа государственной статистики численность населения Бардымского муниципального района за последние годы изменяется не значительно. Так, на 01.01.2017г. число лиц, проживающих на территории района составило 25 291 человек. Изменение за год - не более 1,5%, что характеризует район как территорию социальной устойчивости.</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2105025"/>
            <wp:effectExtent l="0" t="0" r="0" b="0"/>
            <wp:docPr id="21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3E07" w:rsidRPr="005E128E" w:rsidRDefault="00153E07" w:rsidP="00443EEA">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1.2. Численность населения Бардымского района по данным Федерального органа государственной статистики, чел.</w:t>
      </w:r>
    </w:p>
    <w:p w:rsidR="00DD3EEB" w:rsidRDefault="00DD3EEB" w:rsidP="00443EEA">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данным похозяйственного учета численность населения района</w:t>
      </w:r>
      <w:r w:rsidR="00A13D85">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на </w:t>
      </w:r>
      <w:r w:rsidR="00A13D85">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1.01.2015 года составляла 26 731 человек, что на 1919 человек меньше, чем в предыдущем году. С этого периода наметилась тенденция сокращения населения Бардымского муниципального района. На </w:t>
      </w:r>
      <w:r w:rsidR="00A13D85">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1.01.2017 год население района составило 26466 человек.</w:t>
      </w:r>
    </w:p>
    <w:p w:rsidR="00153E07" w:rsidRPr="00153E07" w:rsidRDefault="00153E07" w:rsidP="00153E07">
      <w:pPr>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2743200"/>
            <wp:effectExtent l="0" t="0" r="0" b="0"/>
            <wp:docPr id="21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3E07" w:rsidRPr="005E128E" w:rsidRDefault="00153E07" w:rsidP="00DD3EEB">
      <w:pPr>
        <w:spacing w:line="240" w:lineRule="auto"/>
        <w:jc w:val="both"/>
        <w:rPr>
          <w:rFonts w:ascii="Times New Roman" w:hAnsi="Times New Roman" w:cs="Times New Roman"/>
          <w:b/>
          <w:noProof/>
          <w:sz w:val="28"/>
          <w:szCs w:val="28"/>
        </w:rPr>
      </w:pPr>
      <w:r w:rsidRPr="005E128E">
        <w:rPr>
          <w:rFonts w:ascii="Times New Roman" w:hAnsi="Times New Roman" w:cs="Times New Roman"/>
          <w:b/>
          <w:noProof/>
          <w:sz w:val="28"/>
          <w:szCs w:val="28"/>
        </w:rPr>
        <w:lastRenderedPageBreak/>
        <w:t>Рисунок 1.3. Численность населения по данным похозяйственного учета,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Данные расхождения связаны с тем, что часть населения Бардымского муниципального района работает и учится за пределами района и в момент переписи населения отсутствовала по месту постоянного проживания. Таким образом, разницу в численности населения между данными Федерального органа государственной статистики по Пермскому краю и данными похозяйственного учета можно отнести к маятниковой миграции (рисунок 1.4).</w:t>
      </w:r>
    </w:p>
    <w:p w:rsidR="00153E07" w:rsidRPr="005E128E" w:rsidRDefault="00153E07" w:rsidP="00DD3EEB">
      <w:pPr>
        <w:spacing w:after="0" w:line="240" w:lineRule="auto"/>
        <w:ind w:firstLine="709"/>
        <w:jc w:val="both"/>
        <w:rPr>
          <w:rFonts w:ascii="Times New Roman" w:hAnsi="Times New Roman" w:cs="Times New Roman"/>
          <w:b/>
          <w:sz w:val="28"/>
          <w:szCs w:val="28"/>
        </w:rPr>
      </w:pPr>
      <w:r w:rsidRPr="00153E07">
        <w:rPr>
          <w:rFonts w:ascii="Times New Roman" w:eastAsia="Times New Roman" w:hAnsi="Times New Roman" w:cs="Times New Roman"/>
          <w:sz w:val="28"/>
          <w:szCs w:val="28"/>
        </w:rPr>
        <w:object w:dxaOrig="9593" w:dyaOrig="5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58.6pt" o:ole="">
            <v:imagedata r:id="rId12" o:title=""/>
          </v:shape>
          <o:OLEObject Type="Embed" ProgID="Excel.Sheet.12" ShapeID="_x0000_i1025" DrawAspect="Content" ObjectID="_1589718551" r:id="rId13"/>
        </w:object>
      </w:r>
      <w:r w:rsidRPr="005E128E">
        <w:rPr>
          <w:rFonts w:ascii="Times New Roman" w:hAnsi="Times New Roman" w:cs="Times New Roman"/>
          <w:b/>
          <w:sz w:val="28"/>
          <w:szCs w:val="28"/>
        </w:rPr>
        <w:t>Рисунок 1.4. Маятниковая миграция в Бардымском муниципальном районе (01.01.2011-01.01.2017</w:t>
      </w:r>
      <w:r w:rsidR="005E128E">
        <w:rPr>
          <w:rFonts w:ascii="Times New Roman" w:hAnsi="Times New Roman" w:cs="Times New Roman"/>
          <w:b/>
          <w:sz w:val="28"/>
          <w:szCs w:val="28"/>
        </w:rPr>
        <w:t xml:space="preserve"> </w:t>
      </w:r>
      <w:r w:rsidRPr="005E128E">
        <w:rPr>
          <w:rFonts w:ascii="Times New Roman" w:hAnsi="Times New Roman" w:cs="Times New Roman"/>
          <w:b/>
          <w:sz w:val="28"/>
          <w:szCs w:val="28"/>
        </w:rPr>
        <w:t>гг.),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половозрастному составу население Бардымского района имеет следующую структуру: 52% женщины, 48% мужчины; трудоспособное население -  52% (13114 человек),моложе трудоспособного возраста –  23% (5704 чел.),старше трудоспособного возраста –  26 % (6473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Существенных изменений за последние года в возрастной структуре населения и структуре по полу не произошло.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последние годы доля пенсионеров, жителей трудоспособного возраста, а также детей в структуре населения практически не изменилась. Наметилась тенденция сокращения трудоспособного населения (на 4,2 % за 6 лет). Причиной данных тенденций выступает миграция населения трудоспособного возраста за пределы района, а также выход трудоспособного населения на пенсию. При сохранении данной динамики в будущем потенциал развития человеческого капитала сократится.</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59475" cy="2289657"/>
            <wp:effectExtent l="0" t="0" r="0" b="0"/>
            <wp:docPr id="212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1.5. Численность населения Бардымского района по возрастному составу,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показателей рождаемости и смертности показал, что в 2016 году произошел резкий спад рождаемости на 14,8%, количество родившихся детей составило 350 человек. Самое большое значение коэффициента рождаемости было зафиксировано 01.01.2014 года, количество родившихся детей составляло 495 человек. Уровень смертности не имеет четкой динамики, отклонения от среднего значения за последние несколько лет не превышает 3%.</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98541" cy="1675181"/>
            <wp:effectExtent l="0" t="0" r="0" b="0"/>
            <wp:docPr id="212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1.6. Коэффициент естественного прироста населения, промилле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Наименьшее число было зафиксировано 01.01.2017 года – 350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Наименьшее количество умерших было зарегистрировано 01.01.2016 года и составило 432 человека, что на 45 человек меньше, чем в предыдущем году.</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762803" cy="1692047"/>
            <wp:effectExtent l="0" t="0" r="0" b="0"/>
            <wp:docPr id="2130"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1.7. Число родившихся/умерших в Бардымском муниципальном районе,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показал, что коэффициент миграционного прироста незначительный, преимущественно находится в отрицательной зоне. Уровень жизни, отсутствие достаточного и разнообразного предложения на рынке труда способствует формированию прогрессирующего потока убывших, за 2011-2016 гг. в среднем в год убывало от 1 до 12% населения района. Причинами миграционного притока служит формирование образа района как территории спокойной и комфортной жизни в преклонном возрасте, и соответственно привлечение пожилых людей. В 2014 году коэффициент миграционного прироста составлял 61 промилле.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86425" cy="2486025"/>
            <wp:effectExtent l="0" t="0" r="0" b="0"/>
            <wp:docPr id="2131"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5E128E">
        <w:rPr>
          <w:rFonts w:ascii="Times New Roman" w:eastAsia="Times New Roman" w:hAnsi="Times New Roman" w:cs="Times New Roman"/>
          <w:b/>
          <w:sz w:val="28"/>
          <w:szCs w:val="28"/>
        </w:rPr>
        <w:t>Рисунок</w:t>
      </w:r>
      <w:r w:rsidRPr="00153E07">
        <w:rPr>
          <w:rFonts w:ascii="Times New Roman" w:eastAsia="Times New Roman" w:hAnsi="Times New Roman" w:cs="Times New Roman"/>
          <w:sz w:val="28"/>
          <w:szCs w:val="28"/>
        </w:rPr>
        <w:t xml:space="preserve"> </w:t>
      </w:r>
      <w:r w:rsidRPr="005E128E">
        <w:rPr>
          <w:rFonts w:ascii="Times New Roman" w:eastAsia="Times New Roman" w:hAnsi="Times New Roman" w:cs="Times New Roman"/>
          <w:b/>
          <w:sz w:val="28"/>
          <w:szCs w:val="28"/>
        </w:rPr>
        <w:t>1.8. Коэффициент миграционного прироста населения, промилле</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9775" cy="2743200"/>
            <wp:effectExtent l="0" t="0" r="0" b="0"/>
            <wp:docPr id="2132"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1.9. Миграционные потоки в Бардымском муниципальном районе,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lastRenderedPageBreak/>
        <w:t>1.2.2 Социальная сфера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муниципальном районе функционируют 25 образовательных организаций: 17 общеобразовательных школ, 3 учреждения дополнительного образования и 5 муниципальных дошкольных образовательных организаций. Все организации имеют бессрочные лицензии на право ведения образовательной деятельности и свидетельство о государственной аккредитации. Кроме того функционируют 5 негосударственных организаций дошкольного образования, 23 структурных подразделения дошкольного образования в школах.</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Основными направлениями в сфере образования Бардымского муниципального района выступают:</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а</w:t>
      </w:r>
      <w:r w:rsidR="00153E07" w:rsidRPr="00153E07">
        <w:rPr>
          <w:rFonts w:ascii="Times New Roman" w:hAnsi="Times New Roman" w:cs="Times New Roman"/>
          <w:sz w:val="28"/>
          <w:szCs w:val="28"/>
        </w:rPr>
        <w:t>ктивная реализация приоритетных проектов и целевых программ краевого и муниципального уровней;</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в</w:t>
      </w:r>
      <w:r w:rsidR="00153E07" w:rsidRPr="00153E07">
        <w:rPr>
          <w:rFonts w:ascii="Times New Roman" w:hAnsi="Times New Roman" w:cs="Times New Roman"/>
          <w:sz w:val="28"/>
          <w:szCs w:val="28"/>
        </w:rPr>
        <w:t>недрение федеральных государственных образовательных стандартов;</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овершенствование системы поддержки одаренных и талантливых детей;</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 xml:space="preserve">нижение очередности в дошкольные образовательные учреждения; </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 xml:space="preserve">нижение доли несовершеннолетних, совершивших правонарушения и преступления; </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w:t>
      </w:r>
      <w:r w:rsidR="00153E07" w:rsidRPr="00153E07">
        <w:rPr>
          <w:rFonts w:ascii="Times New Roman" w:hAnsi="Times New Roman" w:cs="Times New Roman"/>
          <w:sz w:val="28"/>
          <w:szCs w:val="28"/>
        </w:rPr>
        <w:t>азвитие учительского потенциала и привлечение молодых кадров;</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w:t>
      </w:r>
      <w:r w:rsidR="00153E07" w:rsidRPr="00153E07">
        <w:rPr>
          <w:rFonts w:ascii="Times New Roman" w:hAnsi="Times New Roman" w:cs="Times New Roman"/>
          <w:sz w:val="28"/>
          <w:szCs w:val="28"/>
        </w:rPr>
        <w:t>азвитие электронных услуг в системе образования района;</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охранение и развитие этнокультурного содержания образования;</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о</w:t>
      </w:r>
      <w:r w:rsidR="00153E07" w:rsidRPr="00153E07">
        <w:rPr>
          <w:rFonts w:ascii="Times New Roman" w:hAnsi="Times New Roman" w:cs="Times New Roman"/>
          <w:sz w:val="28"/>
          <w:szCs w:val="28"/>
        </w:rPr>
        <w:t>бновление материальной базы образовательных учреждений.</w:t>
      </w:r>
    </w:p>
    <w:p w:rsidR="00153E07" w:rsidRPr="00153E07" w:rsidRDefault="00153E07" w:rsidP="00DD3EEB">
      <w:pPr>
        <w:pStyle w:val="af1"/>
        <w:spacing w:after="160" w:line="240" w:lineRule="auto"/>
        <w:jc w:val="both"/>
        <w:rPr>
          <w:rFonts w:ascii="Times New Roman" w:hAnsi="Times New Roman" w:cs="Times New Roman"/>
          <w:sz w:val="28"/>
          <w:szCs w:val="28"/>
        </w:rPr>
      </w:pPr>
      <w:r w:rsidRPr="00153E07">
        <w:rPr>
          <w:rFonts w:ascii="Times New Roman" w:hAnsi="Times New Roman" w:cs="Times New Roman"/>
          <w:sz w:val="28"/>
          <w:szCs w:val="28"/>
        </w:rPr>
        <w:t>Данные направления нацелены на повышение качества образовательной деятельности в Бардымском муниципальном районе.</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Численность обучающихся в образовательных учреждениях представлена на рисунке 1.10.</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pStyle w:val="af1"/>
        <w:spacing w:after="160" w:line="256" w:lineRule="auto"/>
        <w:ind w:left="0"/>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43650" cy="2838450"/>
            <wp:effectExtent l="0" t="0" r="0" b="0"/>
            <wp:docPr id="2133"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3E07" w:rsidRPr="005E128E" w:rsidRDefault="00153E07" w:rsidP="00DD3EEB">
      <w:pPr>
        <w:pStyle w:val="af1"/>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1.10. Численность обучающихся в образовательных учреждениях, человек</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lastRenderedPageBreak/>
        <w:t>Численность обучающихся в общеобразовательных учреждениях относительно стабильна. Максимального пика число школьников достигло в 2010-2012 году. Увеличение и снижение числа школьников отражает демографическую ситуацию в Бардымском муниципальном районе: увеличение рождаемости и миграционный отток в соответствующие годы.</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Число обучающихся во 2-ю смену составляет больше 10% от числа всех школьников Бардымского района, что говорит о недостаточной обеспеченности школами в районе. Учитывая положительную динамику численности населения района до трудоспособного возраста, в дальнейшем данная проблема обострится.</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19775" cy="2581275"/>
            <wp:effectExtent l="0" t="0" r="0" b="0"/>
            <wp:docPr id="2134"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3E07" w:rsidRPr="005E128E" w:rsidRDefault="00153E07" w:rsidP="00DD3EEB">
      <w:pPr>
        <w:pStyle w:val="af1"/>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1.11. Количество обучающихся во 2 смену, человек</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В настоящее время в Бардымском муниципальном районе действует 17 общеобразовательных школ и, в течение анализируемого периода времени, их количество было неизменным. В 15 школах изучается родной (татарский) язык и родная (татарская) литература. Национальная и этнокультурная составляющие интегрированы в основную образовательную программу образовательных учреждений и реализуются через учебную  деятельность и внеурочную работу.</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4D4D31">
        <w:rPr>
          <w:rFonts w:ascii="Times New Roman" w:hAnsi="Times New Roman" w:cs="Times New Roman"/>
          <w:sz w:val="28"/>
          <w:szCs w:val="28"/>
        </w:rPr>
        <w:t>Количество детских дошкольных организаций с каждым годом увеличивается. Так на 01.01.2017 год было зафиксировано 32 детских сада</w:t>
      </w:r>
      <w:r w:rsidR="00BC6F1F" w:rsidRPr="004D4D31">
        <w:rPr>
          <w:rFonts w:ascii="Times New Roman" w:hAnsi="Times New Roman" w:cs="Times New Roman"/>
          <w:sz w:val="28"/>
          <w:szCs w:val="28"/>
        </w:rPr>
        <w:t xml:space="preserve"> (включая муниципальные детские сады, частные детские сады и структурные подразделения школ)</w:t>
      </w:r>
      <w:r w:rsidRPr="004D4D31">
        <w:rPr>
          <w:rFonts w:ascii="Times New Roman" w:hAnsi="Times New Roman" w:cs="Times New Roman"/>
          <w:sz w:val="28"/>
          <w:szCs w:val="28"/>
        </w:rPr>
        <w:t>, что на 7 единиц больше, чем было зафиксировано на 01.01.2012 года.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1.12 представлена информация о численности детей и количестве мест в детских дошкольных учреждениях.</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05475" cy="2905125"/>
            <wp:effectExtent l="0" t="0" r="0" b="0"/>
            <wp:docPr id="213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3E07" w:rsidRPr="005E128E"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1.12. Численность детей и количество мест в детских дошкольных учреждениях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детских мест в дошкольных организациях увеличивается, а значит, в них есть потребность. Как показано, на рисунке происходит увеличение численности детей в дошкольных организациях. При этом детские сады не заполнены на 100%, т.е. в Бардымском муниципальном районе существует резерв, который будет использован в ближайшее время, учитывая текущую динамику численности населения.</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детей, которая приходится на 100 мест в детских образовательных организациях с 2011 по 2016 год составляла менее 100 человек. Лишь 01.01.2011 года было зафиксировано 104 человека. Охват детей дошкольным образованием с 2010-2016 года не превышал 100%.</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t>1.2.3 Здравоохранение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здравоохранения Бардымского муниципального района представлена ГБУЗ ПК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Бардымская ЦРБ им А.П. Курочкиной</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В состав центральной районной больницы входят: поликлиника, круглосуточный стационар, дневной стационар в стационаре, при поликлинике, отделение СМП, 18 фельдшерско-акушерских пунктов, 3 сельских врачебных амбулатории. </w:t>
      </w:r>
    </w:p>
    <w:p w:rsidR="00C75FBD" w:rsidRDefault="00C75FBD" w:rsidP="009D0B85">
      <w:pPr>
        <w:spacing w:after="0"/>
        <w:ind w:firstLine="709"/>
        <w:jc w:val="right"/>
        <w:rPr>
          <w:rFonts w:ascii="Times New Roman" w:eastAsia="Times New Roman" w:hAnsi="Times New Roman" w:cs="Times New Roman"/>
          <w:sz w:val="28"/>
          <w:szCs w:val="28"/>
        </w:rPr>
      </w:pPr>
    </w:p>
    <w:p w:rsidR="00153E07" w:rsidRPr="00153E07" w:rsidRDefault="00153E07" w:rsidP="009D0B85">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1.3</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Данные о заболеваемости населения Бардымского муниципального района в 2011-2016 гг., чел.</w:t>
      </w:r>
    </w:p>
    <w:tbl>
      <w:tblPr>
        <w:tblW w:w="5000" w:type="pct"/>
        <w:tblLook w:val="04A0"/>
      </w:tblPr>
      <w:tblGrid>
        <w:gridCol w:w="3123"/>
        <w:gridCol w:w="1334"/>
        <w:gridCol w:w="1261"/>
        <w:gridCol w:w="1079"/>
        <w:gridCol w:w="1079"/>
        <w:gridCol w:w="1152"/>
        <w:gridCol w:w="1109"/>
      </w:tblGrid>
      <w:tr w:rsidR="00153E07" w:rsidRPr="00153E07" w:rsidTr="00153E07">
        <w:trPr>
          <w:trHeight w:val="300"/>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Заболеваемость населения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2011</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2012</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2013</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2014</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2015</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2016</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Численность населения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25431</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25249</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25555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25172</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25251</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25291</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Все болезни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39082</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40308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40748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40117</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41009</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40893</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некоторые инфекционные и паразитарные</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913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664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678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642</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800</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815</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C75FBD">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lastRenderedPageBreak/>
              <w:t xml:space="preserve">заболевания </w:t>
            </w:r>
            <w:r w:rsidR="00C75FBD" w:rsidRPr="00E444CA">
              <w:rPr>
                <w:rFonts w:ascii="Times New Roman" w:eastAsia="Times New Roman" w:hAnsi="Times New Roman" w:cs="Times New Roman"/>
                <w:color w:val="000000"/>
                <w:sz w:val="24"/>
                <w:szCs w:val="24"/>
              </w:rPr>
              <w:t>системы органов кровообращения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870</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772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971</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785</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505</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525</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новообразования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499</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522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546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597</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718</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671</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органов дыхания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10118</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10922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10925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11146</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10784</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10840</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мочеполовой системы</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1733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2074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1601</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690</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842</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854</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кожи и подкожной клетчатки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1480</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1483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1189</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1494</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1673</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1598</w:t>
            </w:r>
          </w:p>
        </w:tc>
      </w:tr>
      <w:tr w:rsidR="00153E07" w:rsidRPr="00153E07" w:rsidTr="00153E07">
        <w:trPr>
          <w:trHeight w:val="9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травмы, отравления и некоторые другие последствия внешних причин</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1093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1063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1165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1135</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1365</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1621</w:t>
            </w:r>
          </w:p>
        </w:tc>
      </w:tr>
    </w:tbl>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Заболеваемость населения Бардымского муниципального района в течение 2011-2016</w:t>
      </w:r>
      <w:r w:rsidR="00C75FB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имеет динамику роста. В целом общая заболеваемость жителей района увеличилась на 4,6% при сокращении численности постоянного населения за тот же период на 0,6%.</w:t>
      </w:r>
    </w:p>
    <w:p w:rsidR="00153E07" w:rsidRPr="00153E07" w:rsidRDefault="00153E07" w:rsidP="009D0B85">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1.4</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Динамика заболеваемости населения Бардымского муниципального района в 2011-2016гг., %</w:t>
      </w:r>
    </w:p>
    <w:tbl>
      <w:tblPr>
        <w:tblW w:w="5000" w:type="pct"/>
        <w:tblLayout w:type="fixed"/>
        <w:tblLook w:val="04A0"/>
      </w:tblPr>
      <w:tblGrid>
        <w:gridCol w:w="3869"/>
        <w:gridCol w:w="1044"/>
        <w:gridCol w:w="1044"/>
        <w:gridCol w:w="1046"/>
        <w:gridCol w:w="1044"/>
        <w:gridCol w:w="1044"/>
        <w:gridCol w:w="1046"/>
      </w:tblGrid>
      <w:tr w:rsidR="00153E07" w:rsidRPr="00153E07" w:rsidTr="00153E07">
        <w:trPr>
          <w:trHeight w:val="600"/>
        </w:trPr>
        <w:tc>
          <w:tcPr>
            <w:tcW w:w="1908" w:type="pct"/>
            <w:tcBorders>
              <w:top w:val="single" w:sz="4" w:space="0" w:color="auto"/>
              <w:left w:val="single" w:sz="4" w:space="0" w:color="auto"/>
              <w:bottom w:val="nil"/>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Заболеваемость населения</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2012/ 2011</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2013/ 2012</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2014/ 2013</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2015/ 2014</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2016/ 2015</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2016/ 2011</w:t>
            </w:r>
          </w:p>
        </w:tc>
      </w:tr>
      <w:tr w:rsidR="00153E07" w:rsidRPr="00153E07" w:rsidTr="00153E07">
        <w:trPr>
          <w:trHeight w:val="315"/>
        </w:trPr>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Численность населения, чел.</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1,2</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0,2</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-0,6</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Все болезни</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3,1</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-0,3</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4,6</w:t>
            </w:r>
          </w:p>
        </w:tc>
      </w:tr>
      <w:tr w:rsidR="00153E07" w:rsidRPr="00153E07" w:rsidTr="00153E07">
        <w:trPr>
          <w:trHeight w:val="6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некоторые инфекционные и паразитарные</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-27,3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2,1</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24,6</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-10,7</w:t>
            </w:r>
          </w:p>
        </w:tc>
      </w:tr>
      <w:tr w:rsidR="00153E07" w:rsidRPr="00153E07" w:rsidTr="00153E07">
        <w:trPr>
          <w:trHeight w:val="6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C75FBD"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заболевания системы органов кровообращения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25,8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-35,7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4,0</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-39,7</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новообразования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4,6</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4,6</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9,3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20,3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-6,5</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34,5</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органов дыхания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7,9</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2,0</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0,5</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7,1</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мочеполовой системы</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-22,8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-56,9</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22,0</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1,4</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-50,7</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кожи и подкожной клетчатки</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25,7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12,0</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-4,5</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8,0</w:t>
            </w:r>
          </w:p>
        </w:tc>
      </w:tr>
      <w:tr w:rsidR="00153E07" w:rsidRPr="00153E07" w:rsidTr="00153E07">
        <w:trPr>
          <w:trHeight w:val="9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травмы, отравления и некоторые другие последствия внешних причин</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9,6</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-2,6</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20,3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18,8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48,3</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течение анализируемого периода времени в Бардымском муниципальном районе на 10,7% сократились инфекционные и паразитарные заболевания, на 39,7% - </w:t>
      </w:r>
      <w:r w:rsidR="00C75FBD" w:rsidRPr="00153E07">
        <w:rPr>
          <w:rFonts w:ascii="Times New Roman" w:eastAsia="Times New Roman" w:hAnsi="Times New Roman" w:cs="Times New Roman"/>
          <w:color w:val="000000"/>
          <w:sz w:val="28"/>
          <w:szCs w:val="28"/>
        </w:rPr>
        <w:t xml:space="preserve">заболевания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 Набольшего сокращения достигли заболевания мочеполовой системы – 50,7%.</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Неутешительную динамику имеют травмы, отравления и последствия от внешних причин. Их темп роста с 2011г. по 2016г. составил 48,3%.</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на треть увеличились онкологические заболевания. Их темп роста составил 34,5% в течение анализируемого периода.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Прирост заболеваний кожи и подкожной клетчатки составил 8%, и заболеваний органов дыхания – 7,1%.</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Для понимания причин заболеваемости населения Бардымского муниципального района были рассчитаны коэффициенты корреляции Пирсона.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заболеваниями, оказывающими влияние на численность постоянного населения Бардымского района, являются заболевания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 новообразования, заболевания органов дыхания, кожи и подкожной клетчатки.</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Заболевания органов дыхания имеют наибольшую связь с инфекционными и паразитарными заболеваниями, в частности это туберкулез и пневмония, борьба с  которыми имеет высокую актуальность в Пермском крае. Высокий уровень корреляции данных показателей обеспечивается также влиянием заболеваний ВИЧ на некоторые разновидности туберкулеза.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Онкологические заболевания высоко коррелируют с заболеваниями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Высокую взаимосвязь общая заболеваемость имеет с численностью трудоспособного населения. Наибольшее влияние на сокращение числа трудоспособного населения оказывает рост онкологических заболеваний, а также травмы, отравления и другие последствия от внешних причин. </w:t>
      </w:r>
    </w:p>
    <w:p w:rsidR="00153E07" w:rsidRPr="00153E07" w:rsidRDefault="00153E07" w:rsidP="009D0B85">
      <w:pPr>
        <w:spacing w:after="0"/>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1.5</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Число заболеваний в расчете на одного жителя Бардымского муниципального района в 2011-2016 гг., ед.</w:t>
      </w:r>
    </w:p>
    <w:tbl>
      <w:tblPr>
        <w:tblW w:w="5000" w:type="pct"/>
        <w:tblLook w:val="04A0"/>
      </w:tblPr>
      <w:tblGrid>
        <w:gridCol w:w="3123"/>
        <w:gridCol w:w="1334"/>
        <w:gridCol w:w="1261"/>
        <w:gridCol w:w="1079"/>
        <w:gridCol w:w="1079"/>
        <w:gridCol w:w="1152"/>
        <w:gridCol w:w="1109"/>
      </w:tblGrid>
      <w:tr w:rsidR="00153E07" w:rsidRPr="00153E07" w:rsidTr="00153E07">
        <w:trPr>
          <w:trHeight w:val="300"/>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Заболевания населения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2011</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2012</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2013</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2014</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2015</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2016</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Все болезни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1,54</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некоторые инфекционные и паразитарные</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C75FBD"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заболевания системы органов кровообращения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новообразования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органов дыхания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0,40</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0,44</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мочеполовой системы</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0,07</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кожи и подкожной клетчатки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0,07</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r>
      <w:tr w:rsidR="00153E07" w:rsidRPr="00153E07" w:rsidTr="00153E07">
        <w:trPr>
          <w:trHeight w:val="9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травмы, отравления и некоторые другие последствия внешних причин</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данным таблицы 1.5 видно, что наибольшая заболеваемость относится к органам дыхания. На рисунке 13 представлена структура заболеваний населения Бардымского муниципального района в 2011-2016 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38012" cy="4111472"/>
            <wp:effectExtent l="19050" t="0" r="15088" b="3328"/>
            <wp:docPr id="21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3E07" w:rsidRPr="005E128E"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1.13. Структура заболеваний населения Бардымского муниципального района в 2011-2016 гг.,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социально-значимых заболеваний показал, что в Бардымском муниципальном районе зафиксированы случаи регистрации ВИЧ-инфекций, туберкулеза и алкоголизма.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 период с 20</w:t>
      </w:r>
      <w:r w:rsidR="00C500AF">
        <w:rPr>
          <w:rFonts w:ascii="Times New Roman" w:eastAsia="Times New Roman" w:hAnsi="Times New Roman" w:cs="Times New Roman"/>
          <w:sz w:val="28"/>
          <w:szCs w:val="28"/>
        </w:rPr>
        <w:t>07</w:t>
      </w:r>
      <w:r w:rsidRPr="00153E07">
        <w:rPr>
          <w:rFonts w:ascii="Times New Roman" w:eastAsia="Times New Roman" w:hAnsi="Times New Roman" w:cs="Times New Roman"/>
          <w:sz w:val="28"/>
          <w:szCs w:val="28"/>
        </w:rPr>
        <w:t xml:space="preserve"> по 2015</w:t>
      </w:r>
      <w:r w:rsidR="00C500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выявлено 78 случаев ВИЧ-инфекций, смертность по данным случаям составила 15 человек, или 19,2% от общего числа выявленных. Количественный анализ показал, что до 2007г. отмечались единичные случаи заболевания (до 5 случаев в год), с 2007 года наметился рост заболеваемости. Пик заболеваемости ВИЧ-инфекцией пришелся на 2016 г. – 16 случаев.</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Территориальный анализ дислокации болезни показал, что 35,9% случаев зафиксированы в с. Барда, 8,9%- в с. Куземьярово, 7,7% - в с. Краснояр 1.</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причин распространения ВИЧ-инфекции показал, что лидирующим является половой путь распространения заболевания (60%), второе место – употребление наркотиков - 30 %, и путь заражения не установлен – 10 % заразившихся лиц.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Фактором риска среди населения являются безработные люди – 74%, второе место заняли не квалифицированные рабочие - 16 %, среди них 10 % это водители, 11 % - это осужденные лица.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Чаще всего распространение ВИЧ-инфекции связано с сопутствующими болезнями у пациентов: вирусные гепатиты, преимущественно гепатит С, туберкулез, </w:t>
      </w:r>
      <w:r w:rsidR="00C500AF">
        <w:rPr>
          <w:rFonts w:ascii="Times New Roman" w:eastAsia="Times New Roman" w:hAnsi="Times New Roman" w:cs="Times New Roman"/>
          <w:sz w:val="28"/>
          <w:szCs w:val="28"/>
        </w:rPr>
        <w:t>З</w:t>
      </w:r>
      <w:r w:rsidRPr="00153E07">
        <w:rPr>
          <w:rFonts w:ascii="Times New Roman" w:eastAsia="Times New Roman" w:hAnsi="Times New Roman" w:cs="Times New Roman"/>
          <w:sz w:val="28"/>
          <w:szCs w:val="28"/>
        </w:rPr>
        <w:t>ППП, остальные кожные заболевания, анемии, эндокардит прооперированный, менингоэнцефалит, пневмонии.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Анализ выявления и распространения туберкулеза показал, что ежегодно в Бардымском муниципальном районе выявляется от 11 до 13 случаев заболеваемости данной инфекцией, при этом </w:t>
      </w:r>
      <w:r w:rsidRPr="00153E07">
        <w:rPr>
          <w:rFonts w:ascii="Times New Roman" w:hAnsi="Times New Roman" w:cs="Times New Roman"/>
          <w:sz w:val="28"/>
          <w:szCs w:val="28"/>
        </w:rPr>
        <w:t xml:space="preserve">показатель заболеваемости не превышает 60,0 на 100 тыс. населения. </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По территориальной дислокации случаев выявления инфекции можно выделить следующие деревни: Сюзянь, Танып, Елпачиха, </w:t>
      </w:r>
      <w:r w:rsidRPr="00153E07">
        <w:rPr>
          <w:rFonts w:ascii="Times New Roman" w:hAnsi="Times New Roman" w:cs="Times New Roman"/>
          <w:sz w:val="28"/>
          <w:szCs w:val="28"/>
          <w:lang w:val="en-US"/>
        </w:rPr>
        <w:t>I</w:t>
      </w:r>
      <w:r w:rsidRPr="00153E07">
        <w:rPr>
          <w:rFonts w:ascii="Times New Roman" w:hAnsi="Times New Roman" w:cs="Times New Roman"/>
          <w:sz w:val="28"/>
          <w:szCs w:val="28"/>
        </w:rPr>
        <w:t xml:space="preserve"> и </w:t>
      </w:r>
      <w:r w:rsidRPr="00153E07">
        <w:rPr>
          <w:rFonts w:ascii="Times New Roman" w:hAnsi="Times New Roman" w:cs="Times New Roman"/>
          <w:sz w:val="28"/>
          <w:szCs w:val="28"/>
          <w:lang w:val="en-US"/>
        </w:rPr>
        <w:t>II</w:t>
      </w:r>
      <w:r w:rsidRPr="00153E07">
        <w:rPr>
          <w:rFonts w:ascii="Times New Roman" w:hAnsi="Times New Roman" w:cs="Times New Roman"/>
          <w:sz w:val="28"/>
          <w:szCs w:val="28"/>
        </w:rPr>
        <w:t xml:space="preserve"> Краснояр, УстьТунтор, Тюндюк и районный центр с. Барда.</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Анализ структуры впервые выявленного туберкулеза показал, что чаще всего развивается инфильтративная форма (60%), диссеминированная (15,2 %), очаговая (13,8%).</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Социальный состав пациентов показал, что 61% являются неработающими гражданами.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Социально-значимое заболевание алкоголизм, является одной из основных причин смертности от внешних причин.  Из 35 случаев смерти по внешним причинам, 7 случаев смерти вызваны убийством, 16 – самоубийством, 1 –ДТП, каждое из которых связано с употреблением алкоголя. Также зафиксировано 34 случая смерти по причини цирроза печени.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В Бардымском муниципальном районе запланированы и проводятся мероприятия, направленные на сокращение заболеваемости среди населения района, к ним относятся:</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1. Формирование здорового образа жизни населения района путем пропаганды занятий физической культурой и спортом, повышения доступности спортивной инфраструктуры, формирования навыков здорового питания.</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2. Профилактика заболеваемости и первичной инвалидности населения путем пропаганды, приездов центров здоровья в район, проведение дополнительной диспансеризации работающего населения, охват диспансерным наблюдением больных и мониторинг эффективности профилактических мероприятий, в первую очередь среди больных сердечно-сосудистого и онкологического профиля. </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3. Снижение младенческой и детской смертности путем оказания медицинской помощи женщинам и детям, выполнения стандарта наблюдения детей первого года жизни, решением кадровых вопросов с педиатрами, акушер –гинекологами.</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4. Снижение смертности в трудоспособном возрасте путем реализации краевой программы </w:t>
      </w:r>
      <w:r w:rsidR="00DE2D0E">
        <w:rPr>
          <w:rFonts w:ascii="Times New Roman" w:hAnsi="Times New Roman" w:cs="Times New Roman"/>
          <w:sz w:val="28"/>
          <w:szCs w:val="28"/>
        </w:rPr>
        <w:t>«</w:t>
      </w:r>
      <w:r w:rsidRPr="00153E07">
        <w:rPr>
          <w:rFonts w:ascii="Times New Roman" w:hAnsi="Times New Roman" w:cs="Times New Roman"/>
          <w:sz w:val="28"/>
          <w:szCs w:val="28"/>
        </w:rPr>
        <w:t>Совершенствование интенсивной терапии при неотложных состояниях на 2014-2016 годы</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153E07" w:rsidRPr="00153E07" w:rsidRDefault="00153E07" w:rsidP="00DD3E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5. Повышение доступности и качества медицинской помощи путем мероприятий по рациональному размещению, строительству фельдшерско-акушерских пунктов на территории района, использование передвижного фельдшерско-акушерского пункта.</w:t>
      </w:r>
    </w:p>
    <w:p w:rsidR="00153E07" w:rsidRPr="00153E07" w:rsidRDefault="004878A9" w:rsidP="00DD3EE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Число больничных коек </w:t>
      </w:r>
      <w:r w:rsidR="00153E07" w:rsidRPr="00153E07">
        <w:rPr>
          <w:rFonts w:ascii="Times New Roman" w:eastAsia="Times New Roman" w:hAnsi="Times New Roman" w:cs="Times New Roman"/>
          <w:sz w:val="28"/>
          <w:szCs w:val="28"/>
        </w:rPr>
        <w:t xml:space="preserve">с 2010 по 2016 года постепенно сокращается. Так, на 01.01.2017 года было зафиксировано 69 мест, что на 54 меньше, чем 01.01.2011 (123 мест). Число коек, необходимых в районе, зависит от многих факторов, </w:t>
      </w:r>
      <w:r w:rsidR="00153E07" w:rsidRPr="00153E07">
        <w:rPr>
          <w:rFonts w:ascii="Times New Roman" w:eastAsia="Times New Roman" w:hAnsi="Times New Roman" w:cs="Times New Roman"/>
          <w:sz w:val="28"/>
          <w:szCs w:val="28"/>
        </w:rPr>
        <w:lastRenderedPageBreak/>
        <w:t>включая структуру заболеваемости и наличия альтернативных мест оказания медицинской помощи.</w:t>
      </w:r>
    </w:p>
    <w:p w:rsidR="00153E07" w:rsidRPr="00153E07" w:rsidRDefault="00153E07" w:rsidP="00153E07">
      <w:pPr>
        <w:spacing w:after="0"/>
        <w:jc w:val="both"/>
        <w:rPr>
          <w:rFonts w:ascii="Times New Roman" w:hAnsi="Times New Roman" w:cs="Times New Roman"/>
          <w:b/>
          <w:color w:val="000000"/>
          <w:sz w:val="28"/>
          <w:szCs w:val="28"/>
        </w:rPr>
      </w:pPr>
      <w:r w:rsidRPr="00153E07">
        <w:rPr>
          <w:rFonts w:ascii="Times New Roman" w:hAnsi="Times New Roman" w:cs="Times New Roman"/>
          <w:b/>
          <w:noProof/>
          <w:color w:val="000000"/>
          <w:sz w:val="28"/>
          <w:szCs w:val="28"/>
        </w:rPr>
        <w:drawing>
          <wp:inline distT="0" distB="0" distL="0" distR="0">
            <wp:extent cx="6248400" cy="2124075"/>
            <wp:effectExtent l="0" t="0" r="0" b="0"/>
            <wp:docPr id="213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1.14. Число больничных коек, единиц</w:t>
      </w:r>
    </w:p>
    <w:p w:rsidR="00153E07" w:rsidRPr="00153E07" w:rsidRDefault="00153E07" w:rsidP="00822D2E">
      <w:pPr>
        <w:spacing w:after="0" w:line="240" w:lineRule="auto"/>
        <w:ind w:firstLine="709"/>
        <w:jc w:val="both"/>
        <w:rPr>
          <w:rFonts w:ascii="Times New Roman" w:hAnsi="Times New Roman" w:cs="Times New Roman"/>
          <w:b/>
          <w:color w:val="000000"/>
          <w:sz w:val="28"/>
          <w:szCs w:val="28"/>
        </w:rPr>
      </w:pPr>
      <w:r w:rsidRPr="00153E07">
        <w:rPr>
          <w:rFonts w:ascii="Times New Roman" w:eastAsia="Times New Roman" w:hAnsi="Times New Roman" w:cs="Times New Roman"/>
          <w:sz w:val="28"/>
          <w:szCs w:val="28"/>
        </w:rPr>
        <w:t xml:space="preserve">Однако, как показано на рисунке 15 количество врачей постепенно увеличивается (01.01.2017 – 60 человек), а численность медперсонала в период с 01.01.2015-01.01.2017 сократилась на 18 человек (01.01.2017 г. – 158 человек). </w:t>
      </w:r>
    </w:p>
    <w:p w:rsidR="00153E07" w:rsidRPr="00153E07" w:rsidRDefault="00153E07" w:rsidP="00153E07">
      <w:pPr>
        <w:spacing w:after="0"/>
        <w:jc w:val="both"/>
        <w:rPr>
          <w:rFonts w:ascii="Times New Roman" w:hAnsi="Times New Roman" w:cs="Times New Roman"/>
          <w:b/>
          <w:color w:val="000000"/>
          <w:sz w:val="28"/>
          <w:szCs w:val="28"/>
        </w:rPr>
      </w:pPr>
      <w:r w:rsidRPr="00153E07">
        <w:rPr>
          <w:rFonts w:ascii="Times New Roman" w:hAnsi="Times New Roman" w:cs="Times New Roman"/>
          <w:b/>
          <w:noProof/>
          <w:color w:val="000000"/>
          <w:sz w:val="28"/>
          <w:szCs w:val="28"/>
        </w:rPr>
        <w:drawing>
          <wp:inline distT="0" distB="0" distL="0" distR="0">
            <wp:extent cx="6315075" cy="2657475"/>
            <wp:effectExtent l="0" t="0" r="0" b="0"/>
            <wp:docPr id="213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1.15. Численность врачей и среднего медперсонала, единиц</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Общая заболеваемость на 1000 человек на 01.01.2017 год составляет 1622 человека. Изменения произошли в 2013 году, общая заболеваемость за год сократилась с 1578 человек до 1528 человек.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1.16 представлена информация о первичной заболеваемости населения Бардымского муниципального района.</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857875" cy="2828925"/>
            <wp:effectExtent l="0" t="0" r="0" b="0"/>
            <wp:docPr id="2139"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3E07" w:rsidRPr="005E128E" w:rsidRDefault="00153E07" w:rsidP="00443EEA">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1.16. Первичная заболеваемость населения, случаев на 1000 человек населения</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Дети в возрасте до 14 лет и подростки (15-17 лет) болеют чаще, чем взрослые люди.</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Число заболеваний, впервые выявленных за год, больше всего зафиксировано у детей в возрасте от 0-4 лет, меньше всего зафиксировано у населения старше 17 лет. </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младенческой смертности показал, неоднозначную динамику. На протяжении 2012, 2014, 2016гг. наблюдались значительные скачки роста младенческой смертности. Так, за 2016 год младенческая смертность возросла в 4 раза, по сравнению с предыдущим годом и составила 22,7 промилле (рисунок 1.17).</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15075" cy="2276475"/>
            <wp:effectExtent l="0" t="0" r="0" b="0"/>
            <wp:docPr id="2140"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3E07" w:rsidRPr="005E128E" w:rsidRDefault="00153E07" w:rsidP="00822D2E">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 xml:space="preserve">Рисунок 1.17. </w:t>
      </w:r>
      <w:r w:rsidRPr="005E128E">
        <w:rPr>
          <w:rFonts w:ascii="Times New Roman" w:hAnsi="Times New Roman" w:cs="Times New Roman"/>
          <w:b/>
          <w:bCs/>
          <w:sz w:val="28"/>
          <w:szCs w:val="28"/>
        </w:rPr>
        <w:t>Младенческая смертность, промилле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bCs/>
          <w:sz w:val="28"/>
          <w:szCs w:val="28"/>
        </w:rPr>
        <w:t>Обеспеченность медицинским персоналом и больничными койками в Бардымском муниципальном районе представлена на рисунке 1.18.</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315075" cy="3362325"/>
            <wp:effectExtent l="0" t="0" r="0" b="0"/>
            <wp:docPr id="214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3E07" w:rsidRPr="005E128E" w:rsidRDefault="00153E07" w:rsidP="00822D2E">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 xml:space="preserve">Рисунок 1.18. </w:t>
      </w:r>
      <w:r w:rsidRPr="005E128E">
        <w:rPr>
          <w:rFonts w:ascii="Times New Roman" w:hAnsi="Times New Roman" w:cs="Times New Roman"/>
          <w:b/>
          <w:bCs/>
          <w:sz w:val="28"/>
          <w:szCs w:val="28"/>
        </w:rPr>
        <w:t>Обеспеченность медицинским персоналом и больничными койками в Бардымском муниципальном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больничных коек совпадает с обеспеченностью врачами на 10 000 человек. Немного сокращается обеспеченность, средним медицинским персоналом начиная с 2013 года. Так, за 2016 год обеспеченность средним медицинским персоналом на 10000 человек населения составляла 65,3 единицы.</w:t>
      </w:r>
    </w:p>
    <w:p w:rsidR="00DC026A" w:rsidRDefault="00DC026A" w:rsidP="00822D2E">
      <w:pPr>
        <w:pStyle w:val="1"/>
        <w:spacing w:line="240" w:lineRule="auto"/>
      </w:pPr>
    </w:p>
    <w:p w:rsidR="00153E07" w:rsidRDefault="00153E07" w:rsidP="00822D2E">
      <w:pPr>
        <w:pStyle w:val="1"/>
        <w:spacing w:line="240" w:lineRule="auto"/>
      </w:pPr>
      <w:r w:rsidRPr="00153E07">
        <w:t>1.2.4 Культура. Досуг. Физкультура и туризм</w:t>
      </w:r>
    </w:p>
    <w:p w:rsidR="00354B46" w:rsidRPr="00D06ABC" w:rsidRDefault="00354B46" w:rsidP="00354B46">
      <w:pPr>
        <w:spacing w:after="0" w:line="240" w:lineRule="auto"/>
        <w:ind w:firstLine="708"/>
        <w:jc w:val="both"/>
        <w:rPr>
          <w:rFonts w:ascii="Times New Roman" w:hAnsi="Times New Roman"/>
          <w:sz w:val="28"/>
          <w:szCs w:val="28"/>
        </w:rPr>
      </w:pPr>
      <w:r w:rsidRPr="00D34FD6">
        <w:rPr>
          <w:rFonts w:ascii="Times New Roman" w:hAnsi="Times New Roman"/>
          <w:sz w:val="28"/>
          <w:szCs w:val="28"/>
        </w:rPr>
        <w:t>Отрасль «культура»</w:t>
      </w:r>
      <w:r w:rsidRPr="00D06ABC">
        <w:rPr>
          <w:rFonts w:ascii="Times New Roman" w:hAnsi="Times New Roman"/>
          <w:sz w:val="28"/>
          <w:szCs w:val="28"/>
        </w:rPr>
        <w:t xml:space="preserve"> Бардымского муниципального района представлена сетью организаций. В 12 сельских поселени</w:t>
      </w:r>
      <w:r>
        <w:rPr>
          <w:rFonts w:ascii="Times New Roman" w:hAnsi="Times New Roman"/>
          <w:sz w:val="28"/>
          <w:szCs w:val="28"/>
        </w:rPr>
        <w:t>й района функционируе</w:t>
      </w:r>
      <w:r w:rsidRPr="00D06ABC">
        <w:rPr>
          <w:rFonts w:ascii="Times New Roman" w:hAnsi="Times New Roman"/>
          <w:sz w:val="28"/>
          <w:szCs w:val="28"/>
        </w:rPr>
        <w:t xml:space="preserve">т 33 учреждения культуры, в том числе 2 публичные библиотеки, действуют районный краеведческий музей, детская школа искусств. </w:t>
      </w:r>
    </w:p>
    <w:p w:rsidR="00354B46" w:rsidRDefault="00354B46" w:rsidP="00354B46">
      <w:pPr>
        <w:spacing w:after="0" w:line="240" w:lineRule="auto"/>
        <w:ind w:firstLine="708"/>
        <w:jc w:val="both"/>
        <w:rPr>
          <w:rFonts w:ascii="Times New Roman" w:hAnsi="Times New Roman"/>
          <w:sz w:val="28"/>
          <w:szCs w:val="28"/>
        </w:rPr>
      </w:pPr>
      <w:r w:rsidRPr="00D06ABC">
        <w:rPr>
          <w:rFonts w:ascii="Times New Roman" w:hAnsi="Times New Roman"/>
          <w:sz w:val="28"/>
          <w:szCs w:val="28"/>
        </w:rPr>
        <w:t xml:space="preserve">Всего в учреждениях культуры района (ДШИ, ЦБС, КДУ, районный музей) работают 278 человек, из них специалистов 140 человек. </w:t>
      </w:r>
    </w:p>
    <w:p w:rsidR="00354B46" w:rsidRPr="00596C94" w:rsidRDefault="00354B46" w:rsidP="00354B46">
      <w:pPr>
        <w:spacing w:after="0" w:line="240" w:lineRule="auto"/>
        <w:ind w:firstLine="708"/>
        <w:jc w:val="both"/>
        <w:rPr>
          <w:rFonts w:ascii="Times New Roman" w:hAnsi="Times New Roman"/>
          <w:sz w:val="28"/>
          <w:szCs w:val="28"/>
        </w:rPr>
      </w:pPr>
      <w:r w:rsidRPr="00596C94">
        <w:rPr>
          <w:rFonts w:ascii="Times New Roman" w:hAnsi="Times New Roman"/>
          <w:sz w:val="28"/>
          <w:szCs w:val="28"/>
        </w:rPr>
        <w:t>По итогам 2017 года в районе всего проведено 5322 мероприятий</w:t>
      </w:r>
      <w:r>
        <w:rPr>
          <w:rFonts w:ascii="Times New Roman" w:hAnsi="Times New Roman"/>
          <w:sz w:val="28"/>
          <w:szCs w:val="28"/>
        </w:rPr>
        <w:t xml:space="preserve">. </w:t>
      </w:r>
      <w:r w:rsidRPr="00596C94">
        <w:rPr>
          <w:rFonts w:ascii="Times New Roman" w:hAnsi="Times New Roman"/>
          <w:sz w:val="28"/>
          <w:szCs w:val="28"/>
        </w:rPr>
        <w:t>Общая посещаемость составила 306001 человек, мероприятия на платной основе посетило 22256 человек.</w:t>
      </w:r>
    </w:p>
    <w:p w:rsidR="00354B46" w:rsidRPr="00D06ABC" w:rsidRDefault="00354B46" w:rsidP="00354B46">
      <w:pPr>
        <w:spacing w:after="0" w:line="240" w:lineRule="auto"/>
        <w:jc w:val="both"/>
        <w:rPr>
          <w:rFonts w:ascii="Times New Roman" w:hAnsi="Times New Roman"/>
          <w:sz w:val="28"/>
          <w:szCs w:val="28"/>
        </w:rPr>
      </w:pPr>
      <w:r w:rsidRPr="00D06ABC">
        <w:rPr>
          <w:rFonts w:ascii="Times New Roman" w:eastAsia="SimSun" w:hAnsi="Times New Roman"/>
          <w:sz w:val="28"/>
          <w:szCs w:val="28"/>
          <w:lang w:eastAsia="ar-SA"/>
        </w:rPr>
        <w:t xml:space="preserve"> </w:t>
      </w:r>
      <w:r w:rsidRPr="00D06ABC">
        <w:rPr>
          <w:rFonts w:ascii="Times New Roman" w:eastAsia="SimSun" w:hAnsi="Times New Roman"/>
          <w:sz w:val="28"/>
          <w:szCs w:val="28"/>
          <w:lang w:eastAsia="ar-SA"/>
        </w:rPr>
        <w:tab/>
      </w:r>
      <w:r w:rsidRPr="00D06ABC">
        <w:rPr>
          <w:rFonts w:ascii="Times New Roman" w:hAnsi="Times New Roman"/>
          <w:sz w:val="28"/>
          <w:szCs w:val="28"/>
        </w:rPr>
        <w:t xml:space="preserve"> Количество любительских объединений и кружков художественной самодеятельности составляет 203 чел., число участников в них</w:t>
      </w:r>
      <w:r>
        <w:rPr>
          <w:rFonts w:ascii="Times New Roman" w:hAnsi="Times New Roman"/>
          <w:sz w:val="28"/>
          <w:szCs w:val="28"/>
        </w:rPr>
        <w:t xml:space="preserve"> </w:t>
      </w:r>
      <w:r w:rsidRPr="00D06ABC">
        <w:rPr>
          <w:rFonts w:ascii="Times New Roman" w:hAnsi="Times New Roman"/>
          <w:sz w:val="28"/>
          <w:szCs w:val="28"/>
        </w:rPr>
        <w:t>2554</w:t>
      </w:r>
      <w:r>
        <w:rPr>
          <w:rFonts w:ascii="Times New Roman" w:hAnsi="Times New Roman"/>
          <w:sz w:val="28"/>
          <w:szCs w:val="28"/>
        </w:rPr>
        <w:t xml:space="preserve"> </w:t>
      </w:r>
      <w:r w:rsidRPr="00D06ABC">
        <w:rPr>
          <w:rFonts w:ascii="Times New Roman" w:hAnsi="Times New Roman"/>
          <w:sz w:val="28"/>
          <w:szCs w:val="28"/>
        </w:rPr>
        <w:t xml:space="preserve">чел.).  </w:t>
      </w:r>
    </w:p>
    <w:p w:rsidR="00354B46" w:rsidRDefault="00354B46" w:rsidP="00354B46">
      <w:pPr>
        <w:spacing w:after="0" w:line="240" w:lineRule="auto"/>
        <w:ind w:firstLine="708"/>
        <w:jc w:val="both"/>
        <w:rPr>
          <w:rFonts w:ascii="Times New Roman" w:hAnsi="Times New Roman"/>
          <w:sz w:val="28"/>
          <w:szCs w:val="28"/>
        </w:rPr>
      </w:pPr>
      <w:r w:rsidRPr="00D06ABC">
        <w:rPr>
          <w:rFonts w:ascii="Times New Roman" w:hAnsi="Times New Roman"/>
          <w:sz w:val="28"/>
          <w:szCs w:val="28"/>
        </w:rPr>
        <w:t>Ежегодно творческие коллективы и отдельные участники достойно представляют наш район в краевых, межрегиональных, всероссийских мероприятиях, конкурсах и фестивалях и занимают призовые места.</w:t>
      </w:r>
    </w:p>
    <w:p w:rsidR="00354B46" w:rsidRPr="00A54438" w:rsidRDefault="00354B46" w:rsidP="00354B46">
      <w:pPr>
        <w:pStyle w:val="Default"/>
        <w:ind w:firstLine="708"/>
        <w:jc w:val="both"/>
        <w:rPr>
          <w:i/>
          <w:sz w:val="28"/>
          <w:szCs w:val="28"/>
        </w:rPr>
      </w:pPr>
      <w:r w:rsidRPr="00A54438">
        <w:rPr>
          <w:sz w:val="28"/>
          <w:szCs w:val="28"/>
        </w:rPr>
        <w:t>В течении 2017 года количество людей с ОВЗ, получающих услуги в учреждениях культуры составляет 30302 человек.</w:t>
      </w:r>
    </w:p>
    <w:p w:rsidR="00354B46" w:rsidRPr="005072A8" w:rsidRDefault="00354B46" w:rsidP="00354B46">
      <w:pPr>
        <w:spacing w:after="0" w:line="240" w:lineRule="auto"/>
        <w:jc w:val="both"/>
        <w:rPr>
          <w:rFonts w:ascii="Times New Roman" w:hAnsi="Times New Roman"/>
          <w:sz w:val="28"/>
          <w:szCs w:val="28"/>
          <w:shd w:val="clear" w:color="auto" w:fill="FFFFFF"/>
        </w:rPr>
      </w:pPr>
      <w:r w:rsidRPr="00A54438">
        <w:rPr>
          <w:rFonts w:ascii="Times New Roman" w:hAnsi="Times New Roman"/>
          <w:sz w:val="28"/>
          <w:szCs w:val="28"/>
        </w:rPr>
        <w:t xml:space="preserve"> </w:t>
      </w:r>
      <w:r>
        <w:rPr>
          <w:rFonts w:ascii="Times New Roman" w:hAnsi="Times New Roman"/>
          <w:sz w:val="28"/>
          <w:szCs w:val="28"/>
        </w:rPr>
        <w:t xml:space="preserve"> </w:t>
      </w:r>
      <w:r>
        <w:rPr>
          <w:b/>
          <w:i/>
          <w:shd w:val="clear" w:color="auto" w:fill="FFFFFF"/>
        </w:rPr>
        <w:t xml:space="preserve"> </w:t>
      </w:r>
      <w:r>
        <w:rPr>
          <w:b/>
          <w:i/>
          <w:shd w:val="clear" w:color="auto" w:fill="FFFFFF"/>
        </w:rPr>
        <w:tab/>
      </w:r>
      <w:r w:rsidRPr="005072A8">
        <w:rPr>
          <w:rFonts w:ascii="Times New Roman" w:hAnsi="Times New Roman"/>
          <w:sz w:val="28"/>
          <w:szCs w:val="28"/>
          <w:shd w:val="clear" w:color="auto" w:fill="FFFFFF"/>
        </w:rPr>
        <w:t>Вход в здания культурно-досуговых</w:t>
      </w:r>
      <w:r>
        <w:rPr>
          <w:rFonts w:ascii="Times New Roman" w:hAnsi="Times New Roman"/>
          <w:sz w:val="28"/>
          <w:szCs w:val="28"/>
          <w:shd w:val="clear" w:color="auto" w:fill="FFFFFF"/>
        </w:rPr>
        <w:t xml:space="preserve"> учреждений</w:t>
      </w:r>
      <w:r w:rsidRPr="005072A8">
        <w:rPr>
          <w:rFonts w:ascii="Times New Roman" w:hAnsi="Times New Roman"/>
          <w:sz w:val="28"/>
          <w:szCs w:val="28"/>
          <w:shd w:val="clear" w:color="auto" w:fill="FFFFFF"/>
        </w:rPr>
        <w:t xml:space="preserve"> для маломобильных</w:t>
      </w:r>
      <w:r>
        <w:rPr>
          <w:rFonts w:ascii="Times New Roman" w:hAnsi="Times New Roman"/>
          <w:sz w:val="28"/>
          <w:szCs w:val="28"/>
          <w:shd w:val="clear" w:color="auto" w:fill="FFFFFF"/>
        </w:rPr>
        <w:t xml:space="preserve"> групп населения </w:t>
      </w:r>
      <w:r w:rsidRPr="005072A8">
        <w:rPr>
          <w:rFonts w:ascii="Times New Roman" w:hAnsi="Times New Roman"/>
          <w:sz w:val="28"/>
          <w:szCs w:val="28"/>
          <w:shd w:val="clear" w:color="auto" w:fill="FFFFFF"/>
        </w:rPr>
        <w:t>доступен, но для инвалидов по слуху, зрению, опорно-двигательному аппарату – специального оборудова</w:t>
      </w:r>
      <w:r>
        <w:rPr>
          <w:rFonts w:ascii="Times New Roman" w:hAnsi="Times New Roman"/>
          <w:sz w:val="28"/>
          <w:szCs w:val="28"/>
          <w:shd w:val="clear" w:color="auto" w:fill="FFFFFF"/>
        </w:rPr>
        <w:t>ния в большинстве КДУ отсутствуе</w:t>
      </w:r>
      <w:r w:rsidRPr="005072A8">
        <w:rPr>
          <w:rFonts w:ascii="Times New Roman" w:hAnsi="Times New Roman"/>
          <w:sz w:val="28"/>
          <w:szCs w:val="28"/>
          <w:shd w:val="clear" w:color="auto" w:fill="FFFFFF"/>
        </w:rPr>
        <w:t>т.</w:t>
      </w:r>
    </w:p>
    <w:p w:rsidR="00354B46" w:rsidRPr="005072A8" w:rsidRDefault="00354B46" w:rsidP="00354B46">
      <w:pPr>
        <w:spacing w:after="0" w:line="240" w:lineRule="auto"/>
        <w:jc w:val="both"/>
        <w:rPr>
          <w:rFonts w:ascii="Times New Roman" w:hAnsi="Times New Roman"/>
          <w:sz w:val="28"/>
          <w:szCs w:val="28"/>
          <w:shd w:val="clear" w:color="auto" w:fill="FFFFFF"/>
        </w:rPr>
      </w:pPr>
      <w:r w:rsidRPr="005072A8">
        <w:rPr>
          <w:rFonts w:ascii="Times New Roman" w:hAnsi="Times New Roman"/>
          <w:sz w:val="28"/>
          <w:szCs w:val="28"/>
          <w:shd w:val="clear" w:color="auto" w:fill="FFFFFF"/>
        </w:rPr>
        <w:lastRenderedPageBreak/>
        <w:tab/>
        <w:t xml:space="preserve">На сегодняшний день имеется «бегущая строка» в комплекте в Печменском КДК, установлен </w:t>
      </w:r>
      <w:r>
        <w:rPr>
          <w:rFonts w:ascii="Times New Roman" w:hAnsi="Times New Roman"/>
          <w:sz w:val="28"/>
          <w:szCs w:val="28"/>
          <w:shd w:val="clear" w:color="auto" w:fill="FFFFFF"/>
        </w:rPr>
        <w:t>пандус в Красноярском КДК</w:t>
      </w:r>
      <w:r w:rsidRPr="005072A8">
        <w:rPr>
          <w:rFonts w:ascii="Times New Roman" w:hAnsi="Times New Roman"/>
          <w:sz w:val="28"/>
          <w:szCs w:val="28"/>
          <w:shd w:val="clear" w:color="auto" w:fill="FFFFFF"/>
        </w:rPr>
        <w:t xml:space="preserve">, Бардымском ЦКД. </w:t>
      </w:r>
    </w:p>
    <w:p w:rsidR="00354B46" w:rsidRPr="005072A8" w:rsidRDefault="00354B46" w:rsidP="00354B46">
      <w:pPr>
        <w:spacing w:after="0" w:line="240" w:lineRule="auto"/>
        <w:jc w:val="both"/>
        <w:rPr>
          <w:rFonts w:ascii="Times New Roman" w:hAnsi="Times New Roman"/>
          <w:sz w:val="28"/>
          <w:szCs w:val="28"/>
          <w:shd w:val="clear" w:color="auto" w:fill="FFFFFF"/>
        </w:rPr>
      </w:pPr>
      <w:r w:rsidRPr="005072A8">
        <w:rPr>
          <w:rFonts w:ascii="Times New Roman" w:hAnsi="Times New Roman"/>
          <w:sz w:val="28"/>
          <w:szCs w:val="28"/>
          <w:shd w:val="clear" w:color="auto" w:fill="FFFFFF"/>
        </w:rPr>
        <w:tab/>
        <w:t>Доля доступных для мало</w:t>
      </w:r>
      <w:r>
        <w:rPr>
          <w:rFonts w:ascii="Times New Roman" w:hAnsi="Times New Roman"/>
          <w:sz w:val="28"/>
          <w:szCs w:val="28"/>
          <w:shd w:val="clear" w:color="auto" w:fill="FFFFFF"/>
        </w:rPr>
        <w:t>моби</w:t>
      </w:r>
      <w:r w:rsidRPr="005072A8">
        <w:rPr>
          <w:rFonts w:ascii="Times New Roman" w:hAnsi="Times New Roman"/>
          <w:sz w:val="28"/>
          <w:szCs w:val="28"/>
          <w:shd w:val="clear" w:color="auto" w:fill="FFFFFF"/>
        </w:rPr>
        <w:t>льных групп населения объектов культуры от общего объектов культуры на территории Бардымского муниципального района составляет 52,08</w:t>
      </w:r>
      <w:r>
        <w:rPr>
          <w:rFonts w:ascii="Times New Roman" w:hAnsi="Times New Roman"/>
          <w:sz w:val="28"/>
          <w:szCs w:val="28"/>
          <w:shd w:val="clear" w:color="auto" w:fill="FFFFFF"/>
        </w:rPr>
        <w:t xml:space="preserve"> </w:t>
      </w:r>
      <w:r w:rsidRPr="005072A8">
        <w:rPr>
          <w:rFonts w:ascii="Times New Roman" w:hAnsi="Times New Roman"/>
          <w:sz w:val="28"/>
          <w:szCs w:val="28"/>
          <w:shd w:val="clear" w:color="auto" w:fill="FFFFFF"/>
        </w:rPr>
        <w:t>%.</w:t>
      </w:r>
    </w:p>
    <w:p w:rsidR="00354B46" w:rsidRDefault="00354B46" w:rsidP="00354B46">
      <w:pPr>
        <w:spacing w:after="0" w:line="240" w:lineRule="auto"/>
        <w:ind w:firstLine="708"/>
        <w:jc w:val="both"/>
        <w:rPr>
          <w:rFonts w:ascii="Times New Roman" w:hAnsi="Times New Roman"/>
          <w:sz w:val="28"/>
          <w:szCs w:val="28"/>
        </w:rPr>
      </w:pPr>
      <w:r w:rsidRPr="005072A8">
        <w:rPr>
          <w:rFonts w:ascii="Times New Roman" w:hAnsi="Times New Roman"/>
          <w:sz w:val="28"/>
          <w:szCs w:val="28"/>
        </w:rPr>
        <w:t>В большинстве клубных учреждений для установки, переоборудования пандусов, противоскользящего покрытия, приобретения аудиовизуальных, информационно-справочных систем нет финансовых средств.</w:t>
      </w:r>
    </w:p>
    <w:p w:rsidR="00354B46" w:rsidRPr="00D34FD6" w:rsidRDefault="00354B46" w:rsidP="00354B46">
      <w:pPr>
        <w:spacing w:after="0" w:line="240" w:lineRule="auto"/>
        <w:jc w:val="both"/>
        <w:rPr>
          <w:rFonts w:ascii="Times New Roman" w:hAnsi="Times New Roman"/>
          <w:sz w:val="28"/>
          <w:szCs w:val="28"/>
        </w:rPr>
      </w:pPr>
      <w:r>
        <w:rPr>
          <w:rFonts w:ascii="Times New Roman" w:hAnsi="Times New Roman"/>
          <w:sz w:val="28"/>
          <w:szCs w:val="28"/>
        </w:rPr>
        <w:tab/>
        <w:t>На сегодняшний день м</w:t>
      </w:r>
      <w:r w:rsidRPr="00D34FD6">
        <w:rPr>
          <w:rFonts w:ascii="Times New Roman" w:hAnsi="Times New Roman"/>
          <w:sz w:val="28"/>
          <w:szCs w:val="28"/>
        </w:rPr>
        <w:t>униципальное бюджетное учреждение культуры «Бардымская ЦБС» объединяет центральную и детскую библиотеки. 19 библиотек являются структурными подразделениями культурно - досуговых учреждений и не имеют правового статуса.</w:t>
      </w:r>
    </w:p>
    <w:p w:rsidR="00354B46" w:rsidRDefault="00354B46" w:rsidP="00354B46">
      <w:pPr>
        <w:spacing w:after="0" w:line="240" w:lineRule="auto"/>
        <w:ind w:firstLine="708"/>
        <w:jc w:val="both"/>
        <w:rPr>
          <w:rFonts w:ascii="Times New Roman" w:eastAsia="Times New Roman" w:hAnsi="Times New Roman"/>
          <w:sz w:val="28"/>
          <w:szCs w:val="28"/>
        </w:rPr>
      </w:pPr>
      <w:r w:rsidRPr="00D06ABC">
        <w:rPr>
          <w:rFonts w:ascii="Times New Roman" w:eastAsia="Times New Roman" w:hAnsi="Times New Roman"/>
          <w:sz w:val="28"/>
          <w:szCs w:val="28"/>
        </w:rPr>
        <w:t xml:space="preserve">Штатная численность учреждения составляет 16 человек. </w:t>
      </w:r>
    </w:p>
    <w:p w:rsidR="00354B46" w:rsidRPr="00B91400" w:rsidRDefault="00354B46" w:rsidP="00354B46">
      <w:pPr>
        <w:spacing w:after="0" w:line="240" w:lineRule="auto"/>
        <w:jc w:val="both"/>
        <w:rPr>
          <w:rFonts w:ascii="Times New Roman" w:hAnsi="Times New Roman"/>
          <w:sz w:val="28"/>
          <w:szCs w:val="28"/>
        </w:rPr>
      </w:pPr>
      <w:r>
        <w:rPr>
          <w:rFonts w:ascii="Times New Roman" w:eastAsia="Times New Roman" w:hAnsi="Times New Roman"/>
          <w:sz w:val="28"/>
          <w:szCs w:val="28"/>
        </w:rPr>
        <w:t xml:space="preserve"> </w:t>
      </w:r>
      <w:r>
        <w:rPr>
          <w:sz w:val="28"/>
          <w:szCs w:val="28"/>
        </w:rPr>
        <w:t xml:space="preserve"> </w:t>
      </w:r>
      <w:r>
        <w:rPr>
          <w:sz w:val="28"/>
          <w:szCs w:val="28"/>
        </w:rPr>
        <w:tab/>
      </w:r>
      <w:r w:rsidRPr="00B91400">
        <w:rPr>
          <w:rFonts w:ascii="Times New Roman" w:hAnsi="Times New Roman"/>
          <w:sz w:val="28"/>
          <w:szCs w:val="28"/>
        </w:rPr>
        <w:t>На основании Свода годовых сведений об общедоступных (публичных) библиотеках системы Минкультуры России за 2017 год</w:t>
      </w:r>
      <w:r>
        <w:rPr>
          <w:rFonts w:ascii="Times New Roman" w:hAnsi="Times New Roman"/>
          <w:sz w:val="28"/>
          <w:szCs w:val="28"/>
        </w:rPr>
        <w:t>,</w:t>
      </w:r>
      <w:r w:rsidRPr="00B91400">
        <w:rPr>
          <w:rFonts w:ascii="Times New Roman" w:hAnsi="Times New Roman"/>
          <w:sz w:val="28"/>
          <w:szCs w:val="28"/>
        </w:rPr>
        <w:t xml:space="preserve"> доля населения, охваченная услугами библиотечного обслуживания, составляет 55</w:t>
      </w:r>
      <w:r>
        <w:rPr>
          <w:rFonts w:ascii="Times New Roman" w:hAnsi="Times New Roman"/>
          <w:sz w:val="28"/>
          <w:szCs w:val="28"/>
        </w:rPr>
        <w:t xml:space="preserve"> </w:t>
      </w:r>
      <w:r w:rsidRPr="00B91400">
        <w:rPr>
          <w:rFonts w:ascii="Times New Roman" w:hAnsi="Times New Roman"/>
          <w:sz w:val="28"/>
          <w:szCs w:val="28"/>
        </w:rPr>
        <w:t xml:space="preserve">%. </w:t>
      </w:r>
    </w:p>
    <w:p w:rsidR="00354B46" w:rsidRPr="00D06ABC" w:rsidRDefault="00354B46" w:rsidP="00354B46">
      <w:pPr>
        <w:pStyle w:val="aff5"/>
        <w:ind w:firstLine="708"/>
        <w:jc w:val="both"/>
        <w:rPr>
          <w:szCs w:val="28"/>
        </w:rPr>
      </w:pPr>
      <w:r>
        <w:rPr>
          <w:szCs w:val="28"/>
        </w:rPr>
        <w:t xml:space="preserve"> </w:t>
      </w:r>
      <w:r w:rsidRPr="00D06ABC">
        <w:rPr>
          <w:szCs w:val="28"/>
        </w:rPr>
        <w:t xml:space="preserve">Доля компьютеризированных и имеющих доступ в сеть </w:t>
      </w:r>
      <w:r w:rsidRPr="00D06ABC">
        <w:rPr>
          <w:szCs w:val="28"/>
          <w:lang w:val="en-US"/>
        </w:rPr>
        <w:t>Internet</w:t>
      </w:r>
      <w:r w:rsidRPr="00D06ABC">
        <w:rPr>
          <w:szCs w:val="28"/>
        </w:rPr>
        <w:t xml:space="preserve"> библиотек, </w:t>
      </w:r>
      <w:r w:rsidRPr="00D06ABC">
        <w:rPr>
          <w:bCs/>
          <w:szCs w:val="28"/>
        </w:rPr>
        <w:t>составляет 50</w:t>
      </w:r>
      <w:r>
        <w:rPr>
          <w:bCs/>
          <w:szCs w:val="28"/>
        </w:rPr>
        <w:t xml:space="preserve"> </w:t>
      </w:r>
      <w:r w:rsidRPr="00D06ABC">
        <w:rPr>
          <w:bCs/>
          <w:szCs w:val="28"/>
        </w:rPr>
        <w:t xml:space="preserve">% </w:t>
      </w:r>
      <w:r w:rsidRPr="00D06ABC">
        <w:rPr>
          <w:szCs w:val="28"/>
        </w:rPr>
        <w:t>от общего числа библиотек в районе.</w:t>
      </w:r>
    </w:p>
    <w:p w:rsidR="00354B46" w:rsidRPr="00D06ABC" w:rsidRDefault="00354B46" w:rsidP="00354B46">
      <w:pPr>
        <w:pStyle w:val="msonormalbullet2gifbullet1gif"/>
        <w:spacing w:before="0" w:beforeAutospacing="0" w:after="0" w:afterAutospacing="0"/>
        <w:ind w:firstLine="709"/>
        <w:contextualSpacing/>
        <w:jc w:val="both"/>
        <w:rPr>
          <w:sz w:val="28"/>
          <w:szCs w:val="28"/>
        </w:rPr>
      </w:pPr>
      <w:r>
        <w:rPr>
          <w:bCs/>
          <w:sz w:val="28"/>
          <w:szCs w:val="28"/>
        </w:rPr>
        <w:t xml:space="preserve"> </w:t>
      </w:r>
      <w:r w:rsidRPr="00D06ABC">
        <w:rPr>
          <w:sz w:val="28"/>
          <w:szCs w:val="28"/>
        </w:rPr>
        <w:t xml:space="preserve">Наблюдается ежегодное перевыполнение плановых показателей </w:t>
      </w:r>
      <w:r>
        <w:rPr>
          <w:sz w:val="28"/>
          <w:szCs w:val="28"/>
        </w:rPr>
        <w:t xml:space="preserve">по книговыдаче </w:t>
      </w:r>
      <w:r w:rsidRPr="00D06ABC">
        <w:rPr>
          <w:sz w:val="28"/>
          <w:szCs w:val="28"/>
        </w:rPr>
        <w:t>в среднем на 3 % и составляет 120311экземпляров.</w:t>
      </w:r>
    </w:p>
    <w:p w:rsidR="00354B46" w:rsidRPr="00D06ABC" w:rsidRDefault="00354B46" w:rsidP="00354B46">
      <w:pPr>
        <w:spacing w:after="0" w:line="240" w:lineRule="auto"/>
        <w:ind w:firstLine="709"/>
        <w:jc w:val="both"/>
        <w:rPr>
          <w:rFonts w:ascii="Times New Roman" w:eastAsia="Times New Roman" w:hAnsi="Times New Roman"/>
          <w:bCs/>
          <w:sz w:val="28"/>
          <w:szCs w:val="28"/>
        </w:rPr>
      </w:pPr>
      <w:r w:rsidRPr="00D06ABC">
        <w:rPr>
          <w:rFonts w:ascii="Times New Roman" w:eastAsia="Times New Roman" w:hAnsi="Times New Roman"/>
          <w:bCs/>
          <w:sz w:val="28"/>
          <w:szCs w:val="28"/>
        </w:rPr>
        <w:t>Обновление книжных фондов библиотек района остается низкой и  составляет 3485</w:t>
      </w:r>
      <w:r>
        <w:rPr>
          <w:rFonts w:ascii="Times New Roman" w:eastAsia="Times New Roman" w:hAnsi="Times New Roman"/>
          <w:bCs/>
          <w:sz w:val="28"/>
          <w:szCs w:val="28"/>
        </w:rPr>
        <w:t xml:space="preserve"> </w:t>
      </w:r>
      <w:r w:rsidRPr="00D06ABC">
        <w:rPr>
          <w:rFonts w:ascii="Times New Roman" w:eastAsia="Times New Roman" w:hAnsi="Times New Roman"/>
          <w:bCs/>
          <w:sz w:val="28"/>
          <w:szCs w:val="28"/>
        </w:rPr>
        <w:t>экз. в год, при нормативе 4000 экз.</w:t>
      </w:r>
    </w:p>
    <w:p w:rsidR="00354B46" w:rsidRPr="00424D82" w:rsidRDefault="00354B46" w:rsidP="00354B46">
      <w:pPr>
        <w:spacing w:after="0" w:line="240" w:lineRule="auto"/>
        <w:ind w:firstLine="709"/>
        <w:jc w:val="both"/>
        <w:rPr>
          <w:rFonts w:ascii="Times New Roman" w:hAnsi="Times New Roman"/>
          <w:sz w:val="28"/>
          <w:szCs w:val="28"/>
          <w:lang w:eastAsia="ar-SA"/>
        </w:rPr>
      </w:pPr>
      <w:r>
        <w:rPr>
          <w:rFonts w:ascii="Times New Roman" w:hAnsi="Times New Roman"/>
          <w:sz w:val="28"/>
          <w:szCs w:val="28"/>
        </w:rPr>
        <w:t xml:space="preserve"> </w:t>
      </w:r>
      <w:r w:rsidRPr="00424D82">
        <w:rPr>
          <w:rFonts w:ascii="Times New Roman" w:hAnsi="Times New Roman"/>
          <w:sz w:val="28"/>
          <w:szCs w:val="28"/>
          <w:lang w:eastAsia="ar-SA"/>
        </w:rPr>
        <w:t>На текущий период основным направлением развития библиотечного дела остаются информатизация библиотечных учреждений, развитие сводного библиотечно-информационного ресурса, совершенствование библиотечных услуг.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экземпляров книг в библиотечном фонде за 2011 год сократилось почти в 1,5 раза. Так на 01.01.2011 года было зафиксировано 436160 экземпляров на 1000 человек, а 01.01.2012 года уже 261750 экземпляров. На 01.01.2017 года библиотечный фонд составил 239 188 экземпляров. Данные анализа свидетельствуют об отсутствии интереса со стороны жителей района к услугам библиотек, устаревании библиотечного фонда, низкой скорости его обновления (рисунок 1.19).</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74028" cy="1499616"/>
            <wp:effectExtent l="0" t="0" r="0" b="0"/>
            <wp:docPr id="2142"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1.19. </w:t>
      </w:r>
      <w:r w:rsidRPr="005E128E">
        <w:rPr>
          <w:rFonts w:ascii="Times New Roman" w:hAnsi="Times New Roman" w:cs="Times New Roman"/>
          <w:b/>
          <w:bCs/>
          <w:sz w:val="28"/>
          <w:szCs w:val="28"/>
        </w:rPr>
        <w:t>Библиотечный фонд, количество экземпляров на 1000 человек</w:t>
      </w:r>
    </w:p>
    <w:p w:rsidR="00354B46" w:rsidRDefault="00354B46" w:rsidP="00354B46">
      <w:pPr>
        <w:pStyle w:val="a8"/>
        <w:shd w:val="clear" w:color="auto" w:fill="FFFFFF"/>
        <w:spacing w:before="0" w:beforeAutospacing="0" w:after="0" w:afterAutospacing="0"/>
        <w:jc w:val="both"/>
        <w:textAlignment w:val="baseline"/>
        <w:rPr>
          <w:sz w:val="28"/>
          <w:szCs w:val="28"/>
        </w:rPr>
      </w:pPr>
      <w:r>
        <w:rPr>
          <w:sz w:val="28"/>
          <w:szCs w:val="28"/>
        </w:rPr>
        <w:tab/>
      </w:r>
      <w:r w:rsidRPr="00D06ABC">
        <w:rPr>
          <w:sz w:val="28"/>
          <w:szCs w:val="28"/>
        </w:rPr>
        <w:t>В Бардымском районе существует 1 музей со статусом юридического лица - муниципальное бюджетное учреждение культуры «Бардымский районный краеведческий музей». В учреждении работают 3 специалиста.</w:t>
      </w:r>
    </w:p>
    <w:p w:rsidR="00354B46" w:rsidRPr="00354B46" w:rsidRDefault="00354B46" w:rsidP="00354B46">
      <w:pPr>
        <w:pStyle w:val="111"/>
        <w:tabs>
          <w:tab w:val="left" w:pos="398"/>
          <w:tab w:val="left" w:pos="425"/>
        </w:tabs>
        <w:spacing w:line="240" w:lineRule="auto"/>
        <w:ind w:firstLine="397"/>
        <w:rPr>
          <w:rFonts w:ascii="Times New Roman" w:hAnsi="Times New Roman"/>
        </w:rPr>
      </w:pPr>
      <w:r w:rsidRPr="00D06ABC">
        <w:rPr>
          <w:rFonts w:ascii="Times New Roman" w:hAnsi="Times New Roman" w:cs="Times New Roman"/>
        </w:rPr>
        <w:lastRenderedPageBreak/>
        <w:tab/>
      </w:r>
      <w:r w:rsidRPr="00D06ABC">
        <w:rPr>
          <w:rFonts w:ascii="Times New Roman" w:hAnsi="Times New Roman" w:cs="Times New Roman"/>
        </w:rPr>
        <w:tab/>
      </w:r>
      <w:r w:rsidRPr="00D06ABC">
        <w:rPr>
          <w:rFonts w:ascii="Times New Roman" w:hAnsi="Times New Roman" w:cs="Times New Roman"/>
        </w:rPr>
        <w:tab/>
      </w:r>
      <w:r>
        <w:rPr>
          <w:rFonts w:ascii="Times New Roman" w:hAnsi="Times New Roman" w:cs="Times New Roman"/>
        </w:rPr>
        <w:t xml:space="preserve"> </w:t>
      </w:r>
      <w:r w:rsidRPr="00354B46">
        <w:rPr>
          <w:rFonts w:ascii="Times New Roman" w:eastAsia="SimSun" w:hAnsi="Times New Roman"/>
          <w:lang w:eastAsia="ar-SA"/>
        </w:rPr>
        <w:t>За отчетный период районный музей посетили более 9367 человек. За 12 месяцев 2017 года музеем проведено 46 выставок, 229 экскурсий, 18 массовых мероприятий.</w:t>
      </w:r>
    </w:p>
    <w:p w:rsidR="00354B46" w:rsidRPr="00D06ABC" w:rsidRDefault="00354B46" w:rsidP="00354B46">
      <w:pPr>
        <w:spacing w:after="0" w:line="240" w:lineRule="auto"/>
        <w:jc w:val="both"/>
        <w:rPr>
          <w:rFonts w:ascii="Times New Roman" w:eastAsia="Times New Roman" w:hAnsi="Times New Roman"/>
          <w:sz w:val="28"/>
          <w:szCs w:val="28"/>
        </w:rPr>
      </w:pPr>
      <w:r w:rsidRPr="00D06ABC">
        <w:rPr>
          <w:rFonts w:ascii="Times New Roman" w:hAnsi="Times New Roman"/>
          <w:sz w:val="28"/>
          <w:szCs w:val="28"/>
        </w:rPr>
        <w:tab/>
      </w:r>
      <w:r w:rsidRPr="00D06ABC">
        <w:rPr>
          <w:rFonts w:ascii="Times New Roman" w:eastAsia="Times New Roman" w:hAnsi="Times New Roman"/>
          <w:sz w:val="28"/>
          <w:szCs w:val="28"/>
        </w:rPr>
        <w:t>На 01.01.2018</w:t>
      </w:r>
      <w:r>
        <w:rPr>
          <w:rFonts w:ascii="Times New Roman" w:eastAsia="Times New Roman" w:hAnsi="Times New Roman"/>
          <w:sz w:val="28"/>
          <w:szCs w:val="28"/>
        </w:rPr>
        <w:t xml:space="preserve"> </w:t>
      </w:r>
      <w:r w:rsidRPr="00D06ABC">
        <w:rPr>
          <w:rFonts w:ascii="Times New Roman" w:eastAsia="Times New Roman" w:hAnsi="Times New Roman"/>
          <w:sz w:val="28"/>
          <w:szCs w:val="28"/>
        </w:rPr>
        <w:t xml:space="preserve">г. общий фонд составляет 7698 ед. хр., в т.ч. основной фонд – 5557 ед. хр., </w:t>
      </w:r>
      <w:r w:rsidRPr="00D06ABC">
        <w:rPr>
          <w:rFonts w:ascii="Times New Roman" w:hAnsi="Times New Roman"/>
          <w:sz w:val="28"/>
          <w:szCs w:val="28"/>
        </w:rPr>
        <w:t>научно-вспомогательный</w:t>
      </w:r>
      <w:r w:rsidRPr="00D06ABC">
        <w:rPr>
          <w:rFonts w:ascii="Times New Roman" w:eastAsia="Times New Roman" w:hAnsi="Times New Roman"/>
          <w:sz w:val="28"/>
          <w:szCs w:val="28"/>
        </w:rPr>
        <w:t xml:space="preserve"> фонд – 2141 ед. хр. С 2009 года в музее внедряется комплексная автоматизированная музейная информационная система «КАМИС». За это время в электронный каталог занесен весь музейный фонд.</w:t>
      </w:r>
    </w:p>
    <w:p w:rsidR="00354B46" w:rsidRPr="00D06ABC" w:rsidRDefault="00354B46" w:rsidP="00354B46">
      <w:pPr>
        <w:spacing w:after="0" w:line="240" w:lineRule="auto"/>
        <w:ind w:firstLine="397"/>
        <w:jc w:val="both"/>
        <w:rPr>
          <w:rFonts w:ascii="Times New Roman" w:hAnsi="Times New Roman"/>
          <w:sz w:val="28"/>
          <w:szCs w:val="28"/>
        </w:rPr>
      </w:pPr>
      <w:r w:rsidRPr="00D06ABC">
        <w:rPr>
          <w:rFonts w:ascii="Times New Roman" w:eastAsia="Times New Roman" w:hAnsi="Times New Roman"/>
          <w:sz w:val="28"/>
          <w:szCs w:val="28"/>
        </w:rPr>
        <w:tab/>
      </w:r>
      <w:r>
        <w:rPr>
          <w:rFonts w:ascii="Times New Roman" w:eastAsia="Times New Roman" w:hAnsi="Times New Roman"/>
          <w:sz w:val="28"/>
          <w:szCs w:val="28"/>
        </w:rPr>
        <w:t xml:space="preserve"> </w:t>
      </w:r>
      <w:r w:rsidRPr="00D06ABC">
        <w:rPr>
          <w:rFonts w:ascii="Times New Roman" w:hAnsi="Times New Roman"/>
          <w:sz w:val="28"/>
          <w:szCs w:val="28"/>
        </w:rPr>
        <w:t xml:space="preserve"> Районный краеведческий музей включен</w:t>
      </w:r>
      <w:r>
        <w:rPr>
          <w:rFonts w:ascii="Times New Roman" w:hAnsi="Times New Roman"/>
          <w:sz w:val="28"/>
          <w:szCs w:val="28"/>
        </w:rPr>
        <w:t xml:space="preserve"> </w:t>
      </w:r>
      <w:r w:rsidRPr="00D06ABC">
        <w:rPr>
          <w:rFonts w:ascii="Times New Roman" w:hAnsi="Times New Roman"/>
          <w:sz w:val="28"/>
          <w:szCs w:val="28"/>
        </w:rPr>
        <w:t>в туристически</w:t>
      </w:r>
      <w:r>
        <w:rPr>
          <w:rFonts w:ascii="Times New Roman" w:hAnsi="Times New Roman"/>
          <w:sz w:val="28"/>
          <w:szCs w:val="28"/>
        </w:rPr>
        <w:t xml:space="preserve">й </w:t>
      </w:r>
      <w:r w:rsidRPr="00D06ABC">
        <w:rPr>
          <w:rFonts w:ascii="Times New Roman" w:hAnsi="Times New Roman"/>
          <w:sz w:val="28"/>
          <w:szCs w:val="28"/>
        </w:rPr>
        <w:t>маршрут</w:t>
      </w:r>
      <w:r>
        <w:rPr>
          <w:rFonts w:ascii="Times New Roman" w:hAnsi="Times New Roman"/>
          <w:sz w:val="28"/>
          <w:szCs w:val="28"/>
        </w:rPr>
        <w:t xml:space="preserve"> </w:t>
      </w:r>
      <w:r w:rsidRPr="00D06ABC">
        <w:rPr>
          <w:rFonts w:ascii="Times New Roman" w:hAnsi="Times New Roman"/>
          <w:sz w:val="28"/>
          <w:szCs w:val="28"/>
        </w:rPr>
        <w:t xml:space="preserve"> региональных туристических фирм. </w:t>
      </w:r>
    </w:p>
    <w:p w:rsidR="00354B46" w:rsidRPr="009D4368" w:rsidRDefault="00354B46" w:rsidP="00354B46">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 </w:t>
      </w:r>
      <w:r w:rsidRPr="009D4368">
        <w:rPr>
          <w:rFonts w:ascii="Times New Roman" w:eastAsia="SimSun" w:hAnsi="Times New Roman"/>
          <w:sz w:val="28"/>
          <w:szCs w:val="28"/>
          <w:lang w:eastAsia="ar-SA"/>
        </w:rPr>
        <w:t xml:space="preserve">Важнейшим условием успешной музейной деятельности является </w:t>
      </w:r>
      <w:r w:rsidRPr="009D4368">
        <w:rPr>
          <w:rFonts w:ascii="Times New Roman" w:hAnsi="Times New Roman"/>
          <w:sz w:val="28"/>
          <w:szCs w:val="28"/>
        </w:rPr>
        <w:t>сохранение и пополнение музейного фонда, повышение доступности и качества музейных услуг.</w:t>
      </w:r>
    </w:p>
    <w:p w:rsidR="00926062" w:rsidRPr="00926062" w:rsidRDefault="00926062" w:rsidP="00926062">
      <w:pPr>
        <w:tabs>
          <w:tab w:val="left" w:pos="8364"/>
        </w:tabs>
        <w:suppressAutoHyphens/>
        <w:autoSpaceDE w:val="0"/>
        <w:spacing w:after="0" w:line="240" w:lineRule="auto"/>
        <w:ind w:firstLine="709"/>
        <w:jc w:val="both"/>
        <w:rPr>
          <w:rFonts w:ascii="Times New Roman" w:hAnsi="Times New Roman"/>
          <w:sz w:val="28"/>
          <w:szCs w:val="28"/>
          <w:lang w:eastAsia="ar-SA"/>
        </w:rPr>
      </w:pPr>
      <w:r w:rsidRPr="00926062">
        <w:rPr>
          <w:rFonts w:ascii="Times New Roman" w:hAnsi="Times New Roman"/>
          <w:b/>
          <w:kern w:val="1"/>
          <w:sz w:val="28"/>
          <w:szCs w:val="28"/>
        </w:rPr>
        <w:t>Физическая культура и спорт.</w:t>
      </w:r>
      <w:r w:rsidRPr="00926062">
        <w:rPr>
          <w:rFonts w:ascii="Times New Roman" w:hAnsi="Times New Roman"/>
          <w:sz w:val="28"/>
          <w:szCs w:val="28"/>
          <w:lang w:eastAsia="ar-SA"/>
        </w:rPr>
        <w:t xml:space="preserve"> Физкультурно-оздоровительные и спортивные услуги на территории Бардымского муниципального района оказывают управление культуры Администрации Бардымского муниципального района и МОУ ДОД «Детско-юношеская спортивная школа». </w:t>
      </w:r>
    </w:p>
    <w:p w:rsidR="00926062" w:rsidRPr="00926062" w:rsidRDefault="00926062" w:rsidP="00926062">
      <w:pPr>
        <w:tabs>
          <w:tab w:val="left" w:pos="8364"/>
        </w:tabs>
        <w:suppressAutoHyphens/>
        <w:autoSpaceDE w:val="0"/>
        <w:spacing w:after="0" w:line="240" w:lineRule="auto"/>
        <w:ind w:firstLine="709"/>
        <w:jc w:val="both"/>
        <w:rPr>
          <w:rFonts w:ascii="Times New Roman" w:hAnsi="Times New Roman"/>
          <w:sz w:val="28"/>
          <w:szCs w:val="28"/>
          <w:lang w:eastAsia="ar-SA"/>
        </w:rPr>
      </w:pPr>
      <w:r w:rsidRPr="00926062">
        <w:rPr>
          <w:rFonts w:ascii="Times New Roman" w:hAnsi="Times New Roman"/>
          <w:sz w:val="28"/>
          <w:szCs w:val="28"/>
          <w:lang w:eastAsia="ar-SA"/>
        </w:rPr>
        <w:t>Физическое воспитание в дошкольных организациях проводится в режиме учебного дня. Основной формой занятий с детьми является утренняя гимнастика, физкультурные занятия, подвижные игры, оздоровительные прогулки на свежем воздухе</w:t>
      </w:r>
      <w:r>
        <w:rPr>
          <w:rFonts w:ascii="Times New Roman" w:hAnsi="Times New Roman"/>
          <w:sz w:val="28"/>
          <w:szCs w:val="28"/>
          <w:lang w:eastAsia="ar-SA"/>
        </w:rPr>
        <w:t>.</w:t>
      </w:r>
    </w:p>
    <w:p w:rsidR="00926062" w:rsidRPr="00926062" w:rsidRDefault="00926062" w:rsidP="00926062">
      <w:pPr>
        <w:tabs>
          <w:tab w:val="left" w:pos="8364"/>
        </w:tabs>
        <w:suppressAutoHyphens/>
        <w:autoSpaceDE w:val="0"/>
        <w:spacing w:after="0" w:line="240" w:lineRule="auto"/>
        <w:ind w:firstLine="709"/>
        <w:jc w:val="both"/>
        <w:rPr>
          <w:rFonts w:ascii="Times New Roman" w:hAnsi="Times New Roman"/>
          <w:sz w:val="28"/>
          <w:szCs w:val="28"/>
          <w:lang w:eastAsia="ar-SA"/>
        </w:rPr>
      </w:pPr>
      <w:r w:rsidRPr="00926062">
        <w:rPr>
          <w:rFonts w:ascii="Times New Roman" w:hAnsi="Times New Roman"/>
          <w:sz w:val="28"/>
          <w:szCs w:val="28"/>
          <w:lang w:eastAsia="ar-SA"/>
        </w:rPr>
        <w:t xml:space="preserve"> С целью развития детско-юношеского спорта в Бардымском муниципальном районе работает МОУ ДОД «Детско-юношеская спортивная школа». Спортивная школа развивает различные вида спорта. </w:t>
      </w:r>
      <w:r>
        <w:rPr>
          <w:rFonts w:ascii="Times New Roman" w:hAnsi="Times New Roman"/>
          <w:sz w:val="28"/>
          <w:szCs w:val="28"/>
          <w:lang w:eastAsia="ar-SA"/>
        </w:rPr>
        <w:t>Р</w:t>
      </w:r>
      <w:r w:rsidRPr="00926062">
        <w:rPr>
          <w:rFonts w:ascii="Times New Roman" w:hAnsi="Times New Roman"/>
          <w:sz w:val="28"/>
          <w:szCs w:val="28"/>
          <w:lang w:eastAsia="ar-SA"/>
        </w:rPr>
        <w:t>аботают 12</w:t>
      </w:r>
      <w:r>
        <w:rPr>
          <w:rFonts w:ascii="Times New Roman" w:hAnsi="Times New Roman"/>
          <w:sz w:val="28"/>
          <w:szCs w:val="28"/>
          <w:lang w:eastAsia="ar-SA"/>
        </w:rPr>
        <w:t xml:space="preserve"> </w:t>
      </w:r>
      <w:r w:rsidRPr="00926062">
        <w:rPr>
          <w:rFonts w:ascii="Times New Roman" w:hAnsi="Times New Roman"/>
          <w:sz w:val="28"/>
          <w:szCs w:val="28"/>
          <w:lang w:eastAsia="ar-SA"/>
        </w:rPr>
        <w:t xml:space="preserve"> штатных  тренеров и 50 совместителей. В 12 сельских поселениях работают 6 инструкторов по спорту, проводят соревнования и готовят команды для участия в районных соревнованиях.</w:t>
      </w:r>
    </w:p>
    <w:p w:rsidR="00926062" w:rsidRDefault="00926062" w:rsidP="00926062">
      <w:pPr>
        <w:tabs>
          <w:tab w:val="left" w:pos="180"/>
          <w:tab w:val="left" w:pos="720"/>
          <w:tab w:val="left" w:pos="8364"/>
        </w:tabs>
        <w:suppressAutoHyphens/>
        <w:autoSpaceDE w:val="0"/>
        <w:snapToGrid w:val="0"/>
        <w:spacing w:after="0" w:line="240" w:lineRule="auto"/>
        <w:ind w:firstLine="709"/>
        <w:jc w:val="both"/>
        <w:rPr>
          <w:rFonts w:ascii="Times New Roman" w:hAnsi="Times New Roman"/>
          <w:sz w:val="28"/>
          <w:szCs w:val="28"/>
          <w:lang w:eastAsia="ar-SA"/>
        </w:rPr>
      </w:pPr>
      <w:r w:rsidRPr="00926062">
        <w:rPr>
          <w:rFonts w:ascii="Times New Roman" w:hAnsi="Times New Roman"/>
          <w:sz w:val="28"/>
          <w:szCs w:val="28"/>
          <w:lang w:eastAsia="ar-SA"/>
        </w:rPr>
        <w:t>В 2017 году состоялось</w:t>
      </w:r>
      <w:r>
        <w:rPr>
          <w:rFonts w:ascii="Times New Roman" w:hAnsi="Times New Roman"/>
          <w:sz w:val="28"/>
          <w:szCs w:val="28"/>
          <w:lang w:eastAsia="ar-SA"/>
        </w:rPr>
        <w:t xml:space="preserve"> открытие физкультурно-оздоровительного комплекса с бассейном «Батыр». Ежедневно оказываются услуги по развитию  плавания, силовых видов спорта, игровых видов спорта. На базе ФОК проводится районные и краевые соревнования по различным видам спорта.</w:t>
      </w:r>
    </w:p>
    <w:p w:rsidR="00926062" w:rsidRPr="00F964E9" w:rsidRDefault="00926062" w:rsidP="00926062">
      <w:pPr>
        <w:tabs>
          <w:tab w:val="left" w:pos="180"/>
          <w:tab w:val="left" w:pos="720"/>
          <w:tab w:val="left" w:pos="8364"/>
        </w:tabs>
        <w:suppressAutoHyphens/>
        <w:autoSpaceDE w:val="0"/>
        <w:snapToGrid w:val="0"/>
        <w:spacing w:after="0" w:line="240" w:lineRule="auto"/>
        <w:ind w:firstLine="709"/>
        <w:jc w:val="both"/>
        <w:rPr>
          <w:rFonts w:ascii="Times New Roman" w:hAnsi="Times New Roman"/>
          <w:b/>
          <w:kern w:val="1"/>
          <w:sz w:val="28"/>
          <w:szCs w:val="28"/>
        </w:rPr>
      </w:pPr>
      <w:r>
        <w:rPr>
          <w:rFonts w:ascii="Times New Roman" w:hAnsi="Times New Roman"/>
          <w:sz w:val="28"/>
          <w:szCs w:val="28"/>
          <w:lang w:eastAsia="ar-SA"/>
        </w:rPr>
        <w:t xml:space="preserve"> Ежегодно в Бардымском муниципальном районе проводится спартакиада района по 10 видам спорта, команда района ежегодно участвует в краевых сельских «Спортивных Играх», являются чемпионами и призерами в соревнованиях по гиревому спорту, настольному теннису, футболу и шахматам.</w:t>
      </w:r>
    </w:p>
    <w:p w:rsidR="00153E07" w:rsidRPr="00153E07" w:rsidRDefault="00153E07" w:rsidP="00822D2E">
      <w:pPr>
        <w:spacing w:line="240" w:lineRule="auto"/>
        <w:ind w:firstLine="709"/>
        <w:jc w:val="both"/>
        <w:rPr>
          <w:rFonts w:ascii="Times New Roman" w:hAnsi="Times New Roman" w:cs="Times New Roman"/>
          <w:bCs/>
          <w:sz w:val="28"/>
          <w:szCs w:val="28"/>
        </w:rPr>
      </w:pPr>
      <w:r w:rsidRPr="00153E07">
        <w:rPr>
          <w:rFonts w:ascii="Times New Roman" w:eastAsia="Times New Roman" w:hAnsi="Times New Roman" w:cs="Times New Roman"/>
          <w:sz w:val="28"/>
          <w:szCs w:val="28"/>
        </w:rPr>
        <w:t>На начало 2017</w:t>
      </w:r>
      <w:r w:rsidR="0092606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г. в районе функционировало 26 детских оздоровительных учреждений и лагерей. </w:t>
      </w:r>
      <w:r w:rsidRPr="00153E07">
        <w:rPr>
          <w:rFonts w:ascii="Times New Roman" w:hAnsi="Times New Roman" w:cs="Times New Roman"/>
          <w:bCs/>
          <w:sz w:val="28"/>
          <w:szCs w:val="28"/>
        </w:rPr>
        <w:t xml:space="preserve">Численность детей, отдохнувших в лагерях, представлена на рисунке 1.20. </w:t>
      </w:r>
    </w:p>
    <w:p w:rsidR="00153E07" w:rsidRPr="00153E07" w:rsidRDefault="00153E07" w:rsidP="00153E07">
      <w:pPr>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29350" cy="2743200"/>
            <wp:effectExtent l="0" t="0" r="0" b="0"/>
            <wp:docPr id="21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3E07"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1.20. </w:t>
      </w:r>
      <w:r w:rsidRPr="005E128E">
        <w:rPr>
          <w:rFonts w:ascii="Times New Roman" w:hAnsi="Times New Roman" w:cs="Times New Roman"/>
          <w:b/>
          <w:bCs/>
          <w:sz w:val="28"/>
          <w:szCs w:val="28"/>
        </w:rPr>
        <w:t>Численность детей, отдохнувших в лагерях, чел.</w:t>
      </w:r>
    </w:p>
    <w:p w:rsidR="00822D2E" w:rsidRDefault="00822D2E" w:rsidP="00822D2E">
      <w:pPr>
        <w:pStyle w:val="1"/>
        <w:spacing w:line="240" w:lineRule="auto"/>
      </w:pPr>
    </w:p>
    <w:p w:rsidR="00153E07" w:rsidRPr="00153E07" w:rsidRDefault="00153E07" w:rsidP="00822D2E">
      <w:pPr>
        <w:pStyle w:val="1"/>
        <w:spacing w:line="240" w:lineRule="auto"/>
      </w:pPr>
      <w:r w:rsidRPr="00153E07">
        <w:t>1.2.5 Социальная защита населения</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Структурный анализ показал, что доля граждан пожилого возраста в общей численности населения района составляет 25,6%.</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пенсионеров с каждым годом возрастает, динамика представлена на рисунке 22. За 6 лет прирост численности граждан старше пенсионного возраста составил 34,2%.</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2733675"/>
            <wp:effectExtent l="0" t="0" r="0" b="0"/>
            <wp:docPr id="2144"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1.22. </w:t>
      </w:r>
      <w:r w:rsidRPr="005E128E">
        <w:rPr>
          <w:rFonts w:ascii="Times New Roman" w:hAnsi="Times New Roman" w:cs="Times New Roman"/>
          <w:b/>
          <w:bCs/>
          <w:sz w:val="28"/>
          <w:szCs w:val="28"/>
        </w:rPr>
        <w:t>Численность пенсионеров, человек</w:t>
      </w:r>
    </w:p>
    <w:p w:rsidR="00443EEA" w:rsidRDefault="00443EEA"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уровня финансового благосостояния граждан пенсионного возраста показал, что на 1 января 2017 года средний размер пенсий составил 10456 рублей 96 копеек, индексация за 6 лет составила 19,9%, что ниже среднегодового уровня инфляции за анализируемый период времени. </w:t>
      </w:r>
    </w:p>
    <w:p w:rsidR="00153E07" w:rsidRPr="00153E07" w:rsidRDefault="00153E07" w:rsidP="00153E07">
      <w:pPr>
        <w:spacing w:after="0"/>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67450" cy="2686050"/>
            <wp:effectExtent l="0" t="0" r="0" b="0"/>
            <wp:docPr id="2145"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1.23. </w:t>
      </w:r>
      <w:r w:rsidRPr="005E128E">
        <w:rPr>
          <w:rFonts w:ascii="Times New Roman" w:hAnsi="Times New Roman" w:cs="Times New Roman"/>
          <w:b/>
          <w:bCs/>
          <w:sz w:val="28"/>
          <w:szCs w:val="28"/>
        </w:rPr>
        <w:t>Средний размер месячных пенсий на конец года, руб.</w:t>
      </w:r>
    </w:p>
    <w:p w:rsidR="00153E07" w:rsidRPr="00153E07" w:rsidRDefault="00153E07" w:rsidP="00153E07">
      <w:pPr>
        <w:spacing w:after="160" w:line="256" w:lineRule="auto"/>
        <w:jc w:val="both"/>
        <w:rPr>
          <w:rFonts w:ascii="Times New Roman" w:hAnsi="Times New Roman" w:cs="Times New Roman"/>
          <w:bCs/>
          <w:sz w:val="28"/>
          <w:szCs w:val="28"/>
        </w:rPr>
      </w:pPr>
      <w:r w:rsidRPr="00153E07">
        <w:rPr>
          <w:rFonts w:ascii="Times New Roman" w:hAnsi="Times New Roman" w:cs="Times New Roman"/>
          <w:bCs/>
          <w:noProof/>
          <w:sz w:val="28"/>
          <w:szCs w:val="28"/>
        </w:rPr>
        <w:drawing>
          <wp:inline distT="0" distB="0" distL="0" distR="0">
            <wp:extent cx="6124575" cy="3040380"/>
            <wp:effectExtent l="0" t="0" r="0" b="0"/>
            <wp:docPr id="214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bCs/>
          <w:sz w:val="28"/>
          <w:szCs w:val="28"/>
        </w:rPr>
        <w:t>Рисунок 1.24. Демографическая нагрузка в Бардымском муниципальном районе</w:t>
      </w:r>
    </w:p>
    <w:p w:rsidR="004878A9" w:rsidRDefault="004878A9"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Отношение числа пенсионеров к числу трудоспособного населения с каждым годом становится больше, что говорит о росте демографической нагрузки. Таким образом, наблюдается неутешительная тенденция старения населения в Бардымском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Число семей, которые состоят на учете, как нуждающиеся в жилых помещениях уменьшается с каждым годом в среднем на 2-3 семьи. В начале 2017г. было зафиксировано 320 семей, что на 20 семей меньше, по сравнению с 01.01.2011 г.</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81675" cy="2752725"/>
            <wp:effectExtent l="0" t="0" r="0" b="0"/>
            <wp:docPr id="2147"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1.25. </w:t>
      </w:r>
      <w:r w:rsidRPr="005E128E">
        <w:rPr>
          <w:rFonts w:ascii="Times New Roman" w:hAnsi="Times New Roman" w:cs="Times New Roman"/>
          <w:b/>
          <w:bCs/>
          <w:sz w:val="28"/>
          <w:szCs w:val="28"/>
        </w:rPr>
        <w:t>Число семей, стоящих на учете, как нуждающихся в жилых помещениях, единиц</w:t>
      </w:r>
    </w:p>
    <w:p w:rsidR="00DC026A" w:rsidRDefault="00DC026A" w:rsidP="00822D2E">
      <w:pPr>
        <w:pStyle w:val="1"/>
        <w:spacing w:line="240" w:lineRule="auto"/>
      </w:pPr>
    </w:p>
    <w:p w:rsidR="00153E07" w:rsidRPr="00153E07" w:rsidRDefault="00B51625" w:rsidP="00822D2E">
      <w:pPr>
        <w:pStyle w:val="1"/>
        <w:spacing w:line="240" w:lineRule="auto"/>
      </w:pPr>
      <w:r w:rsidRPr="00333885">
        <w:tab/>
      </w:r>
      <w:r w:rsidRPr="00333885">
        <w:tab/>
      </w:r>
      <w:r w:rsidR="00153E07" w:rsidRPr="00153E07">
        <w:t>1.2.6 Общественная безопасность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Пик количества зарегистрированных преступлений на 10000 человек населения Бардымского района приходился на 2012 и 2015 годы, в эти годы было зарегистрировано 190 и 196 преступлений соответственно. </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81675" cy="2466975"/>
            <wp:effectExtent l="0" t="0" r="0" b="0"/>
            <wp:docPr id="2148"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1.26. </w:t>
      </w:r>
      <w:r w:rsidRPr="005E128E">
        <w:rPr>
          <w:rFonts w:ascii="Times New Roman" w:hAnsi="Times New Roman" w:cs="Times New Roman"/>
          <w:b/>
          <w:bCs/>
          <w:sz w:val="28"/>
          <w:szCs w:val="28"/>
        </w:rPr>
        <w:t>Количество зарегистрированных преступлений на 10000 чел. населения, ед.</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1.27 представлены показатели детской преступности в Бардымском муниципальном районе.</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81675" cy="3171825"/>
            <wp:effectExtent l="0" t="0" r="0" b="0"/>
            <wp:docPr id="2149"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bCs/>
          <w:sz w:val="28"/>
          <w:szCs w:val="28"/>
        </w:rPr>
        <w:t>Рисунок 1.27. Детская преступность, кол-во зарегистрированных преступлений совершенных несовершеннолетними на 10000 человек населения, ед.</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Самое большое количество зарегистрированных преступлений, совершенных несовершеннолетними на 10000 человек населения было зафиксировано по итогам 2015 года, и составляло 6,1 единиц.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Учитывая скачкообразную динамику данного показателя, был проведен корреляционный анализ для выявления наличия взаимосвязи между детской преступностью и количеством мест проведения культурного и спортивного досуга несовершеннолетних жителей района.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Корреляционный анализ показал зависимост</w:t>
      </w:r>
      <w:r w:rsidR="009D0B85">
        <w:rPr>
          <w:rFonts w:ascii="Times New Roman" w:eastAsia="Times New Roman" w:hAnsi="Times New Roman" w:cs="Times New Roman"/>
          <w:sz w:val="28"/>
          <w:szCs w:val="28"/>
        </w:rPr>
        <w:t>ь</w:t>
      </w:r>
      <w:r w:rsidRPr="00153E07">
        <w:rPr>
          <w:rFonts w:ascii="Times New Roman" w:eastAsia="Times New Roman" w:hAnsi="Times New Roman" w:cs="Times New Roman"/>
          <w:sz w:val="28"/>
          <w:szCs w:val="28"/>
        </w:rPr>
        <w:t xml:space="preserve"> между такими показателями как детская преступность и количество спортивных объектов. </w:t>
      </w:r>
      <w:r w:rsidR="00BE7256">
        <w:rPr>
          <w:rFonts w:ascii="Times New Roman" w:eastAsia="Times New Roman" w:hAnsi="Times New Roman" w:cs="Times New Roman"/>
          <w:sz w:val="28"/>
          <w:szCs w:val="28"/>
        </w:rPr>
        <w:t xml:space="preserve">Имеется </w:t>
      </w:r>
      <w:r w:rsidRPr="00153E07">
        <w:rPr>
          <w:rFonts w:ascii="Times New Roman" w:eastAsia="Times New Roman" w:hAnsi="Times New Roman" w:cs="Times New Roman"/>
          <w:sz w:val="28"/>
          <w:szCs w:val="28"/>
        </w:rPr>
        <w:t xml:space="preserve"> синергетический эффект от количества введенных спортивных объектов, популяризации спорта, появление разнообразных видов спорта, </w:t>
      </w:r>
      <w:r w:rsidR="00BE7256">
        <w:rPr>
          <w:rFonts w:ascii="Times New Roman" w:eastAsia="Times New Roman" w:hAnsi="Times New Roman" w:cs="Times New Roman"/>
          <w:sz w:val="28"/>
          <w:szCs w:val="28"/>
        </w:rPr>
        <w:t xml:space="preserve">который оказывает </w:t>
      </w:r>
      <w:r w:rsidRPr="00153E07">
        <w:rPr>
          <w:rFonts w:ascii="Times New Roman" w:eastAsia="Times New Roman" w:hAnsi="Times New Roman" w:cs="Times New Roman"/>
          <w:sz w:val="28"/>
          <w:szCs w:val="28"/>
        </w:rPr>
        <w:t>существенное влияние на</w:t>
      </w:r>
      <w:r w:rsidR="00BE7256">
        <w:rPr>
          <w:rFonts w:ascii="Times New Roman" w:eastAsia="Times New Roman" w:hAnsi="Times New Roman" w:cs="Times New Roman"/>
          <w:sz w:val="28"/>
          <w:szCs w:val="28"/>
        </w:rPr>
        <w:t xml:space="preserve"> снижение</w:t>
      </w:r>
      <w:r w:rsidRPr="00153E07">
        <w:rPr>
          <w:rFonts w:ascii="Times New Roman" w:eastAsia="Times New Roman" w:hAnsi="Times New Roman" w:cs="Times New Roman"/>
          <w:sz w:val="28"/>
          <w:szCs w:val="28"/>
        </w:rPr>
        <w:t xml:space="preserve"> уров</w:t>
      </w:r>
      <w:r w:rsidR="00BE7256">
        <w:rPr>
          <w:rFonts w:ascii="Times New Roman" w:eastAsia="Times New Roman" w:hAnsi="Times New Roman" w:cs="Times New Roman"/>
          <w:sz w:val="28"/>
          <w:szCs w:val="28"/>
        </w:rPr>
        <w:t xml:space="preserve">ня </w:t>
      </w:r>
      <w:r w:rsidRPr="00153E07">
        <w:rPr>
          <w:rFonts w:ascii="Times New Roman" w:eastAsia="Times New Roman" w:hAnsi="Times New Roman" w:cs="Times New Roman"/>
          <w:sz w:val="28"/>
          <w:szCs w:val="28"/>
        </w:rPr>
        <w:t>преступности.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наблюдается обратно пропорциональное влияние количества посадочных мест (вместимости) в клубах, домах культуры, а также библиотечного фонда на уровень детской и общей преступности. Таким образом, сокращение вместимости объектов культуры оказывает заметное влияние на рост преступности в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района функционирует филиал Краевого политехнического колледжа. Одной из проблем является отсутствие у колледжа общежития для студентов. Иногородние студенты вынуждены арендовать частное жилье, и проводить свободное время без надзора со стороны взрослых. Отсутствие контроля и надзора со стороны родителей и педагогического персонала, наличие свободного времени при несформированном здоровом образе жизни приводит к приобщению молодёжи к асоциальному образу жизни и косвенному росту преступности.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целом по детской преступности динамика неутешительна, так как наблюдается тенденция ее роста, что говорит о необходимости строительства и вводу дополнительных спортивных и культурных объектов, общежития для Краевого политехнического колледжа, увеличении библиотечного фонда, популяризации культуры, искусства и здорового образа жизни среди молодёжи.</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4878A9" w:rsidRPr="00153E07" w:rsidRDefault="004878A9" w:rsidP="00822D2E">
      <w:pPr>
        <w:pStyle w:val="1"/>
        <w:spacing w:line="240" w:lineRule="auto"/>
      </w:pPr>
      <w:r w:rsidRPr="00153E07">
        <w:t>1.2.7 Инфраструктурная сфера. Транспортная инфраструктура.</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протяжении последних 6 лет протяженность дорог общего пользования местного значения неуклонно растет.</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автодорог общего пользования местного значения, которая не отвечает нормативным требованиям, постепенно сокращается. На начало 2017 года доля автодорог общего пользования местного значения, которая не отвечает нормативным требованиям, составила 27,4%, что на 41,48% меньше, по сравнению с 2010 годом. </w:t>
      </w:r>
    </w:p>
    <w:p w:rsidR="004878A9" w:rsidRPr="00153E07" w:rsidRDefault="004878A9" w:rsidP="004878A9">
      <w:pPr>
        <w:spacing w:after="0"/>
        <w:ind w:firstLine="709"/>
        <w:jc w:val="both"/>
        <w:rPr>
          <w:rFonts w:ascii="Times New Roman" w:eastAsia="Times New Roman" w:hAnsi="Times New Roman" w:cs="Times New Roman"/>
          <w:sz w:val="28"/>
          <w:szCs w:val="28"/>
        </w:rPr>
      </w:pP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91200" cy="2743200"/>
            <wp:effectExtent l="0" t="0" r="0" b="0"/>
            <wp:docPr id="2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878A9" w:rsidRPr="00BA103D" w:rsidRDefault="004878A9" w:rsidP="00822D2E">
      <w:pPr>
        <w:spacing w:after="0" w:line="240" w:lineRule="auto"/>
        <w:jc w:val="both"/>
        <w:rPr>
          <w:rFonts w:ascii="Times New Roman" w:eastAsia="Times New Roman" w:hAnsi="Times New Roman" w:cs="Times New Roman"/>
          <w:b/>
          <w:sz w:val="28"/>
          <w:szCs w:val="28"/>
        </w:rPr>
      </w:pPr>
      <w:r w:rsidRPr="00BA103D">
        <w:rPr>
          <w:rFonts w:ascii="Times New Roman" w:eastAsia="Times New Roman" w:hAnsi="Times New Roman" w:cs="Times New Roman"/>
          <w:b/>
          <w:sz w:val="28"/>
          <w:szCs w:val="28"/>
        </w:rPr>
        <w:t>Рисунок 1.28. Доля автодорог общего пользования местного значения, не отвечающих нормативным требованиям,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освещенных сельских улиц</w:t>
      </w:r>
      <w:r>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в Бардымском районе в 2016 году составила 73%. Значительное изменение было отмечено в 2015 г., рост на 7,8%, в последующие годы темпы работ по освещению улиц были невысоки.</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72150" cy="2743200"/>
            <wp:effectExtent l="19050" t="0" r="19050" b="0"/>
            <wp:docPr id="2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878A9" w:rsidRDefault="004878A9" w:rsidP="00822D2E">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Рисунок 1.29</w:t>
      </w:r>
      <w:r w:rsidRPr="00BA103D">
        <w:rPr>
          <w:rFonts w:ascii="Times New Roman" w:hAnsi="Times New Roman" w:cs="Times New Roman"/>
          <w:b/>
          <w:sz w:val="28"/>
          <w:szCs w:val="28"/>
        </w:rPr>
        <w:t>. Доля освещенных улиц %</w:t>
      </w:r>
    </w:p>
    <w:p w:rsidR="004878A9" w:rsidRDefault="004878A9" w:rsidP="00822D2E">
      <w:pPr>
        <w:pStyle w:val="1"/>
        <w:spacing w:line="240" w:lineRule="auto"/>
      </w:pPr>
      <w:r w:rsidRPr="00153E07">
        <w:t>1.2.8 Градостроительство. Инженерная инфраструктура</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Совокупность всех жилых помещений, находящихся на территории Бардымского муниципального района с каждым годом растет. Так на 01.01.2011 год жилищный фонд составлял 624,8 тысяч квадратных метров, а уже на 01.01.2017 год он составлял 681,3 тысячи квадратных метров.</w:t>
      </w:r>
    </w:p>
    <w:p w:rsidR="004878A9" w:rsidRPr="00153E07" w:rsidRDefault="004878A9" w:rsidP="004878A9">
      <w:pPr>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48400" cy="2371725"/>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78A9" w:rsidRPr="00BA103D" w:rsidRDefault="004878A9" w:rsidP="00822D2E">
      <w:pPr>
        <w:spacing w:line="240" w:lineRule="auto"/>
        <w:jc w:val="both"/>
        <w:rPr>
          <w:rFonts w:ascii="Times New Roman" w:eastAsiaTheme="minorHAnsi" w:hAnsi="Times New Roman" w:cs="Times New Roman"/>
          <w:b/>
          <w:sz w:val="28"/>
          <w:szCs w:val="28"/>
          <w:lang w:eastAsia="en-US"/>
        </w:rPr>
      </w:pPr>
      <w:r w:rsidRPr="00BA103D">
        <w:rPr>
          <w:rFonts w:ascii="Times New Roman" w:hAnsi="Times New Roman" w:cs="Times New Roman"/>
          <w:b/>
          <w:sz w:val="28"/>
          <w:szCs w:val="28"/>
        </w:rPr>
        <w:t xml:space="preserve">Рисунок 1.30. </w:t>
      </w:r>
      <w:r w:rsidRPr="00BA103D">
        <w:rPr>
          <w:rFonts w:ascii="Times New Roman" w:eastAsiaTheme="minorHAnsi" w:hAnsi="Times New Roman" w:cs="Times New Roman"/>
          <w:b/>
          <w:sz w:val="28"/>
          <w:szCs w:val="28"/>
          <w:lang w:eastAsia="en-US"/>
        </w:rPr>
        <w:t>Жилищный фонд, тыс. кв. метров</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Площадь жилых помещений в аварийных домах, находящихся в общей площади жилищного фонда района, в период с 01.01.2011-01.01.2017 года не превышала 1,23%. В 2016 году была зафиксирована самая маленькая доля аварийного жилья -  0,3%.</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91200" cy="2657475"/>
            <wp:effectExtent l="0" t="0" r="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878A9" w:rsidRPr="00BA103D" w:rsidRDefault="004878A9" w:rsidP="00822D2E">
      <w:pPr>
        <w:spacing w:line="240" w:lineRule="auto"/>
        <w:jc w:val="both"/>
        <w:rPr>
          <w:rFonts w:ascii="Times New Roman" w:eastAsiaTheme="minorHAnsi" w:hAnsi="Times New Roman" w:cs="Times New Roman"/>
          <w:b/>
          <w:sz w:val="28"/>
          <w:szCs w:val="28"/>
          <w:lang w:eastAsia="en-US"/>
        </w:rPr>
      </w:pPr>
      <w:r w:rsidRPr="00BA103D">
        <w:rPr>
          <w:rFonts w:ascii="Times New Roman" w:hAnsi="Times New Roman" w:cs="Times New Roman"/>
          <w:b/>
          <w:sz w:val="28"/>
          <w:szCs w:val="28"/>
        </w:rPr>
        <w:t xml:space="preserve">Рисунок 1.31. </w:t>
      </w:r>
      <w:r w:rsidRPr="00BA103D">
        <w:rPr>
          <w:rFonts w:ascii="Times New Roman" w:eastAsiaTheme="minorHAnsi" w:hAnsi="Times New Roman" w:cs="Times New Roman"/>
          <w:b/>
          <w:sz w:val="28"/>
          <w:szCs w:val="28"/>
          <w:lang w:eastAsia="en-US"/>
        </w:rPr>
        <w:t>Площадь жилых помещений в аварийных домах в общей площади жилищного фонда, %</w:t>
      </w:r>
    </w:p>
    <w:p w:rsidR="004878A9" w:rsidRPr="00153E07" w:rsidRDefault="004878A9" w:rsidP="004878A9">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743200"/>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78A9" w:rsidRPr="00BA103D" w:rsidRDefault="004878A9" w:rsidP="00822D2E">
      <w:pPr>
        <w:spacing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Рисунок 1.32</w:t>
      </w:r>
      <w:r w:rsidRPr="00BA103D">
        <w:rPr>
          <w:rFonts w:ascii="Times New Roman" w:hAnsi="Times New Roman" w:cs="Times New Roman"/>
          <w:b/>
          <w:sz w:val="28"/>
          <w:szCs w:val="28"/>
          <w:lang w:eastAsia="en-US"/>
        </w:rPr>
        <w:t>. Общая площадь жилых помещений в расчете на одного жителя, кв. м.</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Необходимо отдельно отметить муниципальный фонд. Так,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составляют 18%. При этом наиболее остро стоит вопрос по ремонту Мостовинского, 1 Красноярского сельских клубов, Новоашапского, Бичуринского, Тюндюковского, Ишимовского сельских Домов культуры.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Существует проблема обеспеченности учреждений культуры и спорта специальным оборудованием для маломобильных групп населения, инвалидов по слуху, зрению, опорно-двигательному аппарату. Доля доступных для </w:t>
      </w:r>
      <w:r w:rsidRPr="00153E07">
        <w:rPr>
          <w:rFonts w:ascii="Times New Roman" w:eastAsia="Times New Roman" w:hAnsi="Times New Roman" w:cs="Times New Roman"/>
          <w:sz w:val="28"/>
          <w:szCs w:val="28"/>
        </w:rPr>
        <w:lastRenderedPageBreak/>
        <w:t>маломобильных групп населения объектов культуры от общего объектов культуры на территории Бардымского муниципального района составляет 52,08%.</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Общая площадь жилых помещений в расчете на одного жителя с каждым годом показывает положительную динамику. Так, на 01.01.2011 года она составляла 24,4 квадратных метров, на 01.01.2017 год - 26,9</w:t>
      </w:r>
      <w:r>
        <w:rPr>
          <w:rFonts w:ascii="Times New Roman" w:eastAsia="Times New Roman" w:hAnsi="Times New Roman" w:cs="Times New Roman"/>
          <w:sz w:val="28"/>
          <w:szCs w:val="28"/>
        </w:rPr>
        <w:t xml:space="preserve"> квадратных метра</w:t>
      </w:r>
      <w:r w:rsidRPr="00153E07">
        <w:rPr>
          <w:rFonts w:ascii="Times New Roman" w:eastAsia="Times New Roman" w:hAnsi="Times New Roman" w:cs="Times New Roman"/>
          <w:sz w:val="28"/>
          <w:szCs w:val="28"/>
        </w:rPr>
        <w:t>.</w:t>
      </w:r>
    </w:p>
    <w:p w:rsidR="004878A9" w:rsidRPr="00153E07" w:rsidRDefault="004878A9" w:rsidP="004878A9">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114550"/>
            <wp:effectExtent l="0" t="0" r="0" b="0"/>
            <wp:docPr id="6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 xml:space="preserve">Рисунок 1.33. </w:t>
      </w:r>
      <w:r w:rsidRPr="009E6C4D">
        <w:rPr>
          <w:rFonts w:ascii="Times New Roman" w:eastAsiaTheme="minorHAnsi" w:hAnsi="Times New Roman" w:cs="Times New Roman"/>
          <w:b/>
          <w:sz w:val="28"/>
          <w:szCs w:val="28"/>
        </w:rPr>
        <w:t>Количество негазифицированных населенных пунктов, единиц</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газификации района показал, что на протяжении последних лет наблюдается постепенное сокращение количества негазифицированных населенных пунктов, если на начало 2011 г. их число насчитывало 50, то к концу 2016 снизилось до 45 населенных пунктов.</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Обеспечение жилого фонда сетевым газом в анализируемом периоде времени составляет 42%.</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00725" cy="2743200"/>
            <wp:effectExtent l="0" t="0" r="0" b="0"/>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Рисунок 1.3</w:t>
      </w:r>
      <w:r>
        <w:rPr>
          <w:rFonts w:ascii="Times New Roman" w:hAnsi="Times New Roman" w:cs="Times New Roman"/>
          <w:b/>
          <w:sz w:val="28"/>
          <w:szCs w:val="28"/>
          <w:lang w:eastAsia="en-US"/>
        </w:rPr>
        <w:t>4</w:t>
      </w:r>
      <w:r w:rsidRPr="009E6C4D">
        <w:rPr>
          <w:rFonts w:ascii="Times New Roman" w:hAnsi="Times New Roman" w:cs="Times New Roman"/>
          <w:b/>
          <w:sz w:val="28"/>
          <w:szCs w:val="28"/>
          <w:lang w:eastAsia="en-US"/>
        </w:rPr>
        <w:t xml:space="preserve">. </w:t>
      </w:r>
      <w:r w:rsidRPr="009E6C4D">
        <w:rPr>
          <w:rFonts w:ascii="Times New Roman" w:eastAsiaTheme="minorHAnsi" w:hAnsi="Times New Roman" w:cs="Times New Roman"/>
          <w:b/>
          <w:sz w:val="28"/>
          <w:szCs w:val="28"/>
        </w:rPr>
        <w:t>Обеспечение жилого фонда сетевым газом,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обеспечения центральным водопроводом сельских поселений Бардымского района показал, что с 2014 по 2017гг. доля жилого фонда, обеспеченного центральным водопроводом составляла 42%. Обеспечение жилого </w:t>
      </w:r>
      <w:r w:rsidRPr="00153E07">
        <w:rPr>
          <w:rFonts w:ascii="Times New Roman" w:eastAsia="Times New Roman" w:hAnsi="Times New Roman" w:cs="Times New Roman"/>
          <w:sz w:val="28"/>
          <w:szCs w:val="28"/>
        </w:rPr>
        <w:lastRenderedPageBreak/>
        <w:t>фонда центральной канализацией в анализируемый период времени не превышала 23%, центральным отоплением – 15%.</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34050" cy="2514600"/>
            <wp:effectExtent l="0" t="0" r="0" b="0"/>
            <wp:docPr id="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 xml:space="preserve">Рисунок 1.35. </w:t>
      </w:r>
      <w:r w:rsidRPr="009E6C4D">
        <w:rPr>
          <w:rFonts w:ascii="Times New Roman" w:eastAsiaTheme="minorHAnsi" w:hAnsi="Times New Roman" w:cs="Times New Roman"/>
          <w:b/>
          <w:sz w:val="28"/>
          <w:szCs w:val="28"/>
        </w:rPr>
        <w:t>Обеспеченность жилого фонда центральной канализацией,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Default="00153E07" w:rsidP="00822D2E">
      <w:pPr>
        <w:pStyle w:val="1"/>
        <w:spacing w:line="240" w:lineRule="auto"/>
      </w:pPr>
      <w:r w:rsidRPr="00153E07">
        <w:t>1.2.9 Экология. Охрана окружающей среды</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Атмосферный воздух является жизненно важным компонентом окружающей природной среды. Большое количество выбросов в атмосферу загрязняющих веществ отрицательно влияет на состояние здоровья населения, состояние природных ресурсов. Самое большое количество выбросов в Бардымском районе было зафиксировано в 2013</w:t>
      </w:r>
      <w:r w:rsidR="004878A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и составило 18480 тонн. Единой динамики по выбросам в атмосферу не сложилось, изменение носит скачкообразный характер и определяется преимущественно деятельностью предприятий.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Улавливание выбросов в атмосферу загрязняющих веществ от стационарных источников зафиксировано было в 2010</w:t>
      </w:r>
      <w:r w:rsidR="004878A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и составляло 1 тонну.</w:t>
      </w:r>
    </w:p>
    <w:p w:rsidR="00153E07" w:rsidRPr="00153E07" w:rsidRDefault="00153E07" w:rsidP="00153E07">
      <w:pPr>
        <w:pStyle w:val="af1"/>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29300" cy="2743200"/>
            <wp:effectExtent l="0" t="0" r="0" b="0"/>
            <wp:docPr id="216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3E07" w:rsidRPr="005E128E" w:rsidRDefault="00153E07" w:rsidP="00822D2E">
      <w:pPr>
        <w:spacing w:line="240" w:lineRule="auto"/>
        <w:jc w:val="both"/>
        <w:rPr>
          <w:rFonts w:ascii="Times New Roman" w:eastAsiaTheme="minorHAnsi" w:hAnsi="Times New Roman" w:cs="Times New Roman"/>
          <w:b/>
          <w:sz w:val="28"/>
          <w:szCs w:val="28"/>
        </w:rPr>
      </w:pPr>
      <w:r w:rsidRPr="005E128E">
        <w:rPr>
          <w:rFonts w:ascii="Times New Roman" w:hAnsi="Times New Roman" w:cs="Times New Roman"/>
          <w:b/>
          <w:sz w:val="28"/>
          <w:szCs w:val="28"/>
          <w:lang w:eastAsia="en-US"/>
        </w:rPr>
        <w:t>Рисунок 1.3</w:t>
      </w:r>
      <w:r w:rsidR="004878A9" w:rsidRPr="005E128E">
        <w:rPr>
          <w:rFonts w:ascii="Times New Roman" w:hAnsi="Times New Roman" w:cs="Times New Roman"/>
          <w:b/>
          <w:sz w:val="28"/>
          <w:szCs w:val="28"/>
          <w:lang w:eastAsia="en-US"/>
        </w:rPr>
        <w:t>6</w:t>
      </w:r>
      <w:r w:rsidRPr="005E128E">
        <w:rPr>
          <w:rFonts w:ascii="Times New Roman" w:hAnsi="Times New Roman" w:cs="Times New Roman"/>
          <w:b/>
          <w:sz w:val="28"/>
          <w:szCs w:val="28"/>
          <w:lang w:eastAsia="en-US"/>
        </w:rPr>
        <w:t>.</w:t>
      </w:r>
      <w:r w:rsidR="004878A9" w:rsidRPr="005E128E">
        <w:rPr>
          <w:rFonts w:ascii="Times New Roman" w:hAnsi="Times New Roman" w:cs="Times New Roman"/>
          <w:b/>
          <w:sz w:val="28"/>
          <w:szCs w:val="28"/>
          <w:lang w:eastAsia="en-US"/>
        </w:rPr>
        <w:t xml:space="preserve"> </w:t>
      </w:r>
      <w:r w:rsidRPr="005E128E">
        <w:rPr>
          <w:rFonts w:ascii="Times New Roman" w:eastAsiaTheme="minorHAnsi" w:hAnsi="Times New Roman" w:cs="Times New Roman"/>
          <w:b/>
          <w:sz w:val="28"/>
          <w:szCs w:val="28"/>
        </w:rPr>
        <w:t>Выбросы в атмосферу загрязняющих веществ, тонн</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Максимальный объем выбросов в атмосферу загрязняющих веществ от стационарных источников в расчете на 1 жителя был зафиксирован в 2013 году, и составил 733 тонн/человека.</w:t>
      </w:r>
    </w:p>
    <w:p w:rsidR="00153E07" w:rsidRPr="00153E07" w:rsidRDefault="00153E07" w:rsidP="00153E07">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990850"/>
            <wp:effectExtent l="0" t="0" r="0" b="0"/>
            <wp:docPr id="216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3E07" w:rsidRPr="005E128E" w:rsidRDefault="007E28AF" w:rsidP="00822D2E">
      <w:pPr>
        <w:spacing w:line="240" w:lineRule="auto"/>
        <w:jc w:val="both"/>
        <w:rPr>
          <w:rFonts w:ascii="Times New Roman" w:hAnsi="Times New Roman" w:cs="Times New Roman"/>
          <w:b/>
          <w:sz w:val="28"/>
          <w:szCs w:val="28"/>
          <w:lang w:eastAsia="en-US"/>
        </w:rPr>
      </w:pPr>
      <w:r w:rsidRPr="005E128E">
        <w:rPr>
          <w:rFonts w:ascii="Times New Roman" w:hAnsi="Times New Roman" w:cs="Times New Roman"/>
          <w:b/>
          <w:sz w:val="28"/>
          <w:szCs w:val="28"/>
          <w:lang w:eastAsia="en-US"/>
        </w:rPr>
        <w:t>Рисунок 1.37</w:t>
      </w:r>
      <w:r w:rsidR="00153E07" w:rsidRPr="005E128E">
        <w:rPr>
          <w:rFonts w:ascii="Times New Roman" w:hAnsi="Times New Roman" w:cs="Times New Roman"/>
          <w:b/>
          <w:sz w:val="28"/>
          <w:szCs w:val="28"/>
          <w:lang w:eastAsia="en-US"/>
        </w:rPr>
        <w:t>. Выбросы в атмосферу загрязняющих веществ от стационарных  источников в расчете на одного жителя, кг</w:t>
      </w:r>
    </w:p>
    <w:p w:rsidR="007E28AF" w:rsidRDefault="007E28AF"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Предприятия по переработке и утилизации бытовых отходов в Бардымском районе отсутствуют.</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Стратегической целью в Бардымском муниципальном районе в сфере охраны окружающей среды является оздоровление экологической обстановки, нивелирование проблем загрязнения окружающей среды, обеспечение экологической безопасности территории и населения района, восстановление природных экосистем, обеспечение рационального и устойчивого природопользования.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текущий период времени в районе остаются нерешенными следующие проблемы в сфере охраны окружающей среды:</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1.Значительные объемы выбросов загрязняющих веществ в атмосферу как от стационарных, так и передвижных источников, отсутствие технологичных решений по сокращению выбросов в атмосферу,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Отсутствие качественных очистных сооружений для очистки сточных вод в с. Барда.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3. Отсутствие полигона для складирования и захоронения твердых бытовых отходов, а также обустроенных мест складирования ТБО для населения района. Данная проблема характерна для всех населенных пунктов, навозохранилищ на животноводческих фермах.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Наличие технологических и финансовых сложностей в решении вопросов использования вторичных ресурсов, внедрения малоотходных и безотходных технологий.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5. Недостаточность финансирования природоохранных мероприятий со стороны бюджета и природопользователей.</w:t>
      </w:r>
    </w:p>
    <w:p w:rsidR="00153E07" w:rsidRPr="00153E07" w:rsidRDefault="00153E07" w:rsidP="00822D2E">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6. Отсутствие работы по пропаганде экологического воспитания граждан, как следствие низкий уровень экологического образования, и просвещения взрослого населения района.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Default="00153E07" w:rsidP="00822D2E">
      <w:pPr>
        <w:pStyle w:val="1"/>
        <w:spacing w:line="240" w:lineRule="auto"/>
      </w:pPr>
      <w:r w:rsidRPr="00153E07">
        <w:t>1.2.10 Имущественные и земельные отношения</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Динамика площади земельных участков, предоставленных для строительства представлена на рисунке </w:t>
      </w:r>
      <w:r w:rsidR="007E28AF">
        <w:rPr>
          <w:rFonts w:ascii="Times New Roman" w:eastAsia="Times New Roman" w:hAnsi="Times New Roman" w:cs="Times New Roman"/>
          <w:sz w:val="28"/>
          <w:szCs w:val="28"/>
        </w:rPr>
        <w:t>1.38</w:t>
      </w:r>
      <w:r w:rsidRPr="00153E07">
        <w:rPr>
          <w:rFonts w:ascii="Times New Roman" w:eastAsia="Times New Roman" w:hAnsi="Times New Roman" w:cs="Times New Roman"/>
          <w:sz w:val="28"/>
          <w:szCs w:val="28"/>
        </w:rPr>
        <w:t>, положительная тенденция предоставления земли, а также выдачи разрешений на строительство находит отражение в развитии жилищного сектора экономики района. За исследуемый период времени прирост площадей земельных участков для строительства составил 293</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по итогам 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было предоставлено 76,337 гектара земли.</w:t>
      </w:r>
    </w:p>
    <w:p w:rsidR="00153E07" w:rsidRPr="00153E07" w:rsidRDefault="00153E07" w:rsidP="00153E07">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54496" cy="1997049"/>
            <wp:effectExtent l="0" t="0" r="0" b="0"/>
            <wp:docPr id="216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3E07" w:rsidRPr="005E128E" w:rsidRDefault="007E28AF" w:rsidP="00822D2E">
      <w:pPr>
        <w:spacing w:line="240" w:lineRule="auto"/>
        <w:jc w:val="both"/>
        <w:rPr>
          <w:rFonts w:ascii="Times New Roman" w:eastAsiaTheme="minorHAnsi" w:hAnsi="Times New Roman" w:cs="Times New Roman"/>
          <w:b/>
          <w:sz w:val="28"/>
          <w:szCs w:val="28"/>
        </w:rPr>
      </w:pPr>
      <w:r w:rsidRPr="005E128E">
        <w:rPr>
          <w:rFonts w:ascii="Times New Roman" w:hAnsi="Times New Roman" w:cs="Times New Roman"/>
          <w:b/>
          <w:sz w:val="28"/>
          <w:szCs w:val="28"/>
          <w:lang w:eastAsia="en-US"/>
        </w:rPr>
        <w:t>Рисунок 1.38</w:t>
      </w:r>
      <w:r w:rsidR="00153E07" w:rsidRPr="005E128E">
        <w:rPr>
          <w:rFonts w:ascii="Times New Roman" w:hAnsi="Times New Roman" w:cs="Times New Roman"/>
          <w:b/>
          <w:sz w:val="28"/>
          <w:szCs w:val="28"/>
          <w:lang w:eastAsia="en-US"/>
        </w:rPr>
        <w:t xml:space="preserve">. </w:t>
      </w:r>
      <w:r w:rsidR="00153E07" w:rsidRPr="005E128E">
        <w:rPr>
          <w:rFonts w:ascii="Times New Roman" w:eastAsiaTheme="minorHAnsi" w:hAnsi="Times New Roman" w:cs="Times New Roman"/>
          <w:b/>
          <w:sz w:val="28"/>
          <w:szCs w:val="28"/>
        </w:rPr>
        <w:t>Площадь земельных участков, предоставленных для строительства, га</w:t>
      </w:r>
    </w:p>
    <w:p w:rsidR="00777ED4" w:rsidRPr="00153E07" w:rsidRDefault="003C2685" w:rsidP="00822D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выданных разрешений </w:t>
      </w:r>
      <w:r w:rsidR="007C405B">
        <w:rPr>
          <w:rFonts w:ascii="Times New Roman" w:eastAsia="Times New Roman" w:hAnsi="Times New Roman" w:cs="Times New Roman"/>
          <w:sz w:val="28"/>
          <w:szCs w:val="28"/>
        </w:rPr>
        <w:t xml:space="preserve">на строительство </w:t>
      </w:r>
      <w:r>
        <w:rPr>
          <w:rFonts w:ascii="Times New Roman" w:eastAsia="Times New Roman" w:hAnsi="Times New Roman" w:cs="Times New Roman"/>
          <w:sz w:val="28"/>
          <w:szCs w:val="28"/>
        </w:rPr>
        <w:t>до 2014 г.</w:t>
      </w:r>
      <w:r w:rsidR="007C405B">
        <w:rPr>
          <w:rFonts w:ascii="Times New Roman" w:eastAsia="Times New Roman" w:hAnsi="Times New Roman" w:cs="Times New Roman"/>
          <w:sz w:val="28"/>
          <w:szCs w:val="28"/>
        </w:rPr>
        <w:t xml:space="preserve"> имело динамику роста, однако с каждым годом темпы прироста сокращались. В 2014 и 2015 годах наблюдается сокращение числа выданных разрешений на 20% за каждый год. В 2016 году динамика выдачи разрешений вновь стала положительной и прирост составил 24,3%</w:t>
      </w:r>
      <w:r w:rsidR="00777ED4" w:rsidRPr="00153E07">
        <w:rPr>
          <w:rFonts w:ascii="Times New Roman" w:eastAsia="Times New Roman" w:hAnsi="Times New Roman" w:cs="Times New Roman"/>
          <w:sz w:val="28"/>
          <w:szCs w:val="28"/>
        </w:rPr>
        <w:t xml:space="preserve">.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3C2685" w:rsidP="00153E07">
      <w:pPr>
        <w:spacing w:after="160" w:line="259" w:lineRule="auto"/>
        <w:jc w:val="both"/>
        <w:rPr>
          <w:rFonts w:ascii="Times New Roman" w:hAnsi="Times New Roman" w:cs="Times New Roman"/>
          <w:sz w:val="28"/>
          <w:szCs w:val="28"/>
        </w:rPr>
      </w:pPr>
      <w:r w:rsidRPr="003C2685">
        <w:rPr>
          <w:rFonts w:ascii="Times New Roman" w:hAnsi="Times New Roman" w:cs="Times New Roman"/>
          <w:noProof/>
          <w:sz w:val="28"/>
          <w:szCs w:val="28"/>
        </w:rPr>
        <w:drawing>
          <wp:inline distT="0" distB="0" distL="0" distR="0">
            <wp:extent cx="6317869" cy="2062582"/>
            <wp:effectExtent l="19050" t="0" r="2578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3E07" w:rsidRPr="005E128E" w:rsidRDefault="007E28AF" w:rsidP="00822D2E">
      <w:pPr>
        <w:spacing w:line="240" w:lineRule="auto"/>
        <w:jc w:val="both"/>
        <w:rPr>
          <w:rFonts w:ascii="Times New Roman" w:eastAsiaTheme="minorHAnsi" w:hAnsi="Times New Roman" w:cs="Times New Roman"/>
          <w:b/>
          <w:sz w:val="28"/>
          <w:szCs w:val="28"/>
          <w:lang w:eastAsia="en-US"/>
        </w:rPr>
      </w:pPr>
      <w:r w:rsidRPr="005E128E">
        <w:rPr>
          <w:rFonts w:ascii="Times New Roman" w:hAnsi="Times New Roman" w:cs="Times New Roman"/>
          <w:b/>
          <w:sz w:val="28"/>
          <w:szCs w:val="28"/>
        </w:rPr>
        <w:t>Рисунок 1.39</w:t>
      </w:r>
      <w:r w:rsidR="00153E07" w:rsidRPr="005E128E">
        <w:rPr>
          <w:rFonts w:ascii="Times New Roman" w:hAnsi="Times New Roman" w:cs="Times New Roman"/>
          <w:b/>
          <w:sz w:val="28"/>
          <w:szCs w:val="28"/>
        </w:rPr>
        <w:t>.</w:t>
      </w:r>
      <w:r w:rsidR="00153E07" w:rsidRPr="005E128E">
        <w:rPr>
          <w:rFonts w:ascii="Times New Roman" w:eastAsiaTheme="minorHAnsi" w:hAnsi="Times New Roman" w:cs="Times New Roman"/>
          <w:b/>
          <w:sz w:val="28"/>
          <w:szCs w:val="28"/>
          <w:lang w:eastAsia="en-US"/>
        </w:rPr>
        <w:t>Количество выданных разрешений на строительство, ед.</w:t>
      </w:r>
    </w:p>
    <w:p w:rsidR="00153E07" w:rsidRDefault="002A61CE" w:rsidP="00822D2E">
      <w:pPr>
        <w:pStyle w:val="1"/>
        <w:spacing w:line="240" w:lineRule="auto"/>
      </w:pPr>
      <w:r w:rsidRPr="00333885">
        <w:lastRenderedPageBreak/>
        <w:tab/>
      </w:r>
      <w:r w:rsidRPr="00333885">
        <w:tab/>
      </w:r>
      <w:r w:rsidR="00153E07" w:rsidRPr="00153E07">
        <w:t>1.2.11 Финансовая деятельность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Финансовая деятельность организаций Бардымского муниципального района оценивается показателями объема отгрузки товаров (работ, услуг) собственного производства, уровня и качества дебиторской и кредиторской задолженностей в целом и по элементам, наличием прибыли или убытка от деятельности предприятий и организаций, а также количеством прибыльных и убыточных предприятий.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Объем отгруженных товаров собственного производства по видам деятельности предприятий и организаций Бардымского муниципального района в 2011-2016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 на рисунке 1.4</w:t>
      </w:r>
      <w:r w:rsidR="007E28AF">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40425" cy="3232317"/>
            <wp:effectExtent l="0" t="0" r="3175" b="6350"/>
            <wp:docPr id="216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1.4</w:t>
      </w:r>
      <w:r w:rsidR="007E28AF" w:rsidRPr="005E128E">
        <w:rPr>
          <w:rFonts w:ascii="Times New Roman" w:eastAsia="Times New Roman" w:hAnsi="Times New Roman" w:cs="Times New Roman"/>
          <w:b/>
          <w:sz w:val="28"/>
          <w:szCs w:val="28"/>
        </w:rPr>
        <w:t>0</w:t>
      </w:r>
      <w:r w:rsidRPr="005E128E">
        <w:rPr>
          <w:rFonts w:ascii="Times New Roman" w:eastAsia="Times New Roman" w:hAnsi="Times New Roman" w:cs="Times New Roman"/>
          <w:b/>
          <w:sz w:val="28"/>
          <w:szCs w:val="28"/>
        </w:rPr>
        <w:t>. Объем отгруженных товаров собственного производства по видам деятельности предприятиями и организациями Бардымского м</w:t>
      </w:r>
      <w:r w:rsidR="007E28AF" w:rsidRPr="005E128E">
        <w:rPr>
          <w:rFonts w:ascii="Times New Roman" w:eastAsia="Times New Roman" w:hAnsi="Times New Roman" w:cs="Times New Roman"/>
          <w:b/>
          <w:sz w:val="28"/>
          <w:szCs w:val="28"/>
        </w:rPr>
        <w:t xml:space="preserve">униципального района (01.01.2011 </w:t>
      </w:r>
      <w:r w:rsidRPr="005E128E">
        <w:rPr>
          <w:rFonts w:ascii="Times New Roman" w:eastAsia="Times New Roman" w:hAnsi="Times New Roman" w:cs="Times New Roman"/>
          <w:b/>
          <w:sz w:val="28"/>
          <w:szCs w:val="28"/>
        </w:rPr>
        <w:t>-</w:t>
      </w:r>
      <w:r w:rsidR="007E28A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01.01.2017</w:t>
      </w:r>
      <w:r w:rsidR="007E28A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отгрузки товаров собственного производства показал, что экономика Бардымского муниципального района имеет сельскохозяйственную направленность. При этом наблюдается рост объемов производства сельскохозяйственной продукции в 2015-2016 году. На 01.01.2017</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прирост отгруженной сельскохозяйственной продукции составил 60,2% по сравнению с 2011 годом.</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Отгруженная продукция по разделам экономической деятельности </w:t>
      </w:r>
      <w:r w:rsidRPr="00153E07">
        <w:rPr>
          <w:rFonts w:ascii="Times New Roman" w:eastAsia="Times New Roman" w:hAnsi="Times New Roman" w:cs="Times New Roman"/>
          <w:sz w:val="28"/>
          <w:szCs w:val="28"/>
          <w:lang w:val="en-US"/>
        </w:rPr>
        <w:t>CDE</w:t>
      </w:r>
      <w:r w:rsidRPr="00153E07">
        <w:rPr>
          <w:rFonts w:ascii="Times New Roman" w:eastAsia="Times New Roman" w:hAnsi="Times New Roman" w:cs="Times New Roman"/>
          <w:sz w:val="28"/>
          <w:szCs w:val="28"/>
        </w:rPr>
        <w:t xml:space="preserve"> объединена в одну группу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Добыча полезных ископаемых, обрабатывающие производства, производство электроэнергии, газа, воды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Объемы отгрузок по данной группе также имеют тенденцию роста. На 01.01.2017</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объем отгруженных товаров собственного производства вырос более, чем в 2 раза по сравнению с 2011 годом. Доля строительства в общем объеме отгруженной продукции невелика.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Сельскохозяйственная направленность экономики Бардымского муниципального района имеет ряд негативных факторов, во-первых, сезонность </w:t>
      </w:r>
      <w:r w:rsidRPr="00153E07">
        <w:rPr>
          <w:rFonts w:ascii="Times New Roman" w:eastAsia="Times New Roman" w:hAnsi="Times New Roman" w:cs="Times New Roman"/>
          <w:sz w:val="28"/>
          <w:szCs w:val="28"/>
        </w:rPr>
        <w:lastRenderedPageBreak/>
        <w:t>деятельности предприятий агропромышленного комплекса, а, следовательно, высокая зависимость от кредитных денежных средств для сокращения финансовых разрывов на зимний период времени; во-вторых, повышенные кредитные и экономические риски, связанные с погодными условиями; в-третьих, низкая диверсификация экономики района. Среди позитивных факторов выступает возможность развития малого и среднего бизнеса с низким порогом входа в отрасль.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1.4</w:t>
      </w:r>
      <w:r w:rsidR="007E28AF">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представлено соотношение дебиторской и кредиторской задолженности в общих финансовых потоках предприятий и организаций Бардымского муниципального района в 2011-2016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990850"/>
            <wp:effectExtent l="19050" t="0" r="0" b="0"/>
            <wp:docPr id="21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7E28AF" w:rsidRPr="00561116">
        <w:rPr>
          <w:rFonts w:ascii="Times New Roman" w:eastAsia="Times New Roman" w:hAnsi="Times New Roman" w:cs="Times New Roman"/>
          <w:b/>
          <w:sz w:val="28"/>
          <w:szCs w:val="28"/>
        </w:rPr>
        <w:t>1</w:t>
      </w:r>
      <w:r w:rsidRPr="00561116">
        <w:rPr>
          <w:rFonts w:ascii="Times New Roman" w:eastAsia="Times New Roman" w:hAnsi="Times New Roman" w:cs="Times New Roman"/>
          <w:b/>
          <w:sz w:val="28"/>
          <w:szCs w:val="28"/>
        </w:rPr>
        <w:t>. Соотношение дебиторской и кредиторской задолженности предприятий и организаций Бардымского муниципального района в 2011-2016</w:t>
      </w:r>
      <w:r w:rsidR="007E28AF" w:rsidRP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дебиторской задолженности предприятий и организаций Бардымского муниципального района в течение анализируемого периода колеблется в районе 40% от общей массы финансовых потоков.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кредиторской задолженности в общей массе финансовых потоков составляет более 60%. Негативным фактором является снижение финансовой устойчивости предприятий и организаций Бардымского муниципального района, что подтверждает коэффициент соотношения дебиторской и кредиторской задолженностей, представленный на рисунке 1.4</w:t>
      </w:r>
      <w:r w:rsidR="007E28AF">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76925" cy="2028825"/>
            <wp:effectExtent l="0" t="0" r="0" b="0"/>
            <wp:docPr id="216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7E28AF" w:rsidRPr="00561116">
        <w:rPr>
          <w:rFonts w:ascii="Times New Roman" w:eastAsia="Times New Roman" w:hAnsi="Times New Roman" w:cs="Times New Roman"/>
          <w:b/>
          <w:sz w:val="28"/>
          <w:szCs w:val="28"/>
        </w:rPr>
        <w:t>2</w:t>
      </w:r>
      <w:r w:rsidRPr="00561116">
        <w:rPr>
          <w:rFonts w:ascii="Times New Roman" w:eastAsia="Times New Roman" w:hAnsi="Times New Roman" w:cs="Times New Roman"/>
          <w:b/>
          <w:sz w:val="28"/>
          <w:szCs w:val="28"/>
        </w:rPr>
        <w:t>. Коэффициент соотношения дебиторской и кредиторской задолженностей предприятий и организаций в 2011-2016</w:t>
      </w:r>
      <w:r w:rsidR="007E28AF" w:rsidRP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7E28AF" w:rsidP="00822D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Нормативным значением коэффициента соотношения дебиторской и кредиторской задолженностей предприятий и организаций является значение от 0,9 до 1,0.</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районе значение данного коэффициента в течение анализируемого периода времени намного ниже нормативного. Это означает, что ликвидные активы предприятий и организаций Бардымского муниципального района недостаточно быстро обращаются в денежные средства, у предприятий и организаций существует большой объем заемных ресурсов, которые недостаточно эффективно используются в их текущей деятельности.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1.4</w:t>
      </w:r>
      <w:r w:rsidR="00F07E68">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 xml:space="preserve"> представлен состав кредиторской задолженности предприятий и организаций Бардымского муниципального района в 2011-2016 годах.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524125"/>
            <wp:effectExtent l="19050" t="0" r="0" b="0"/>
            <wp:docPr id="216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F07E68" w:rsidRPr="00561116">
        <w:rPr>
          <w:rFonts w:ascii="Times New Roman" w:eastAsia="Times New Roman" w:hAnsi="Times New Roman" w:cs="Times New Roman"/>
          <w:b/>
          <w:sz w:val="28"/>
          <w:szCs w:val="28"/>
        </w:rPr>
        <w:t>3</w:t>
      </w:r>
      <w:r w:rsidRPr="00561116">
        <w:rPr>
          <w:rFonts w:ascii="Times New Roman" w:eastAsia="Times New Roman" w:hAnsi="Times New Roman" w:cs="Times New Roman"/>
          <w:b/>
          <w:sz w:val="28"/>
          <w:szCs w:val="28"/>
        </w:rPr>
        <w:t>. Состав и структура кредиторской задолженности в Бардымском муниципальном районе в 2011-2016</w:t>
      </w:r>
      <w:r w:rsid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Наибольшую долю в структуре кредиторской задолженности предприятий и организаций Бардымского муниципального района занимает задолженность перед поставщиками и подрядчиками – более 90%.</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задолженности по платежам в бюджет, а также по платежам в государственные внебюджетные фонды низка и составляет менее 7% от общего </w:t>
      </w:r>
      <w:r w:rsidRPr="00153E07">
        <w:rPr>
          <w:rFonts w:ascii="Times New Roman" w:eastAsia="Times New Roman" w:hAnsi="Times New Roman" w:cs="Times New Roman"/>
          <w:sz w:val="28"/>
          <w:szCs w:val="28"/>
        </w:rPr>
        <w:lastRenderedPageBreak/>
        <w:t>объема кредиторской задолженности. Необходимо отметить отсутствие в структуре кредиторской задолженности – задолженности перед сотрудниками предприятий.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этом доля задолженности перед поставщиками и заказчиками к 2016 году возросла на 6,6%, доля задолженности перед бюджетом сократилась на 4,3%, доля задолженности в государственные внебюджетные фонды сократилась на 2,3%.</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1.6 представлено соотношение дебиторской задолженности и объема отгруженных товаров собственного производства предприятиями и организациями Бардымского муниципального района.</w:t>
      </w:r>
    </w:p>
    <w:p w:rsidR="00B46799" w:rsidRDefault="00B46799" w:rsidP="00822D2E">
      <w:pPr>
        <w:spacing w:after="0" w:line="240" w:lineRule="auto"/>
        <w:ind w:firstLine="709"/>
        <w:jc w:val="right"/>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1.6</w:t>
      </w:r>
    </w:p>
    <w:p w:rsidR="00153E07" w:rsidRPr="00561116" w:rsidRDefault="00153E07" w:rsidP="00822D2E">
      <w:pPr>
        <w:spacing w:after="0" w:line="240" w:lineRule="auto"/>
        <w:jc w:val="center"/>
        <w:rPr>
          <w:rFonts w:ascii="Times New Roman" w:eastAsia="Times New Roman" w:hAnsi="Times New Roman" w:cs="Times New Roman"/>
          <w:b/>
          <w:sz w:val="28"/>
          <w:szCs w:val="28"/>
        </w:rPr>
      </w:pPr>
      <w:r w:rsidRPr="00561116">
        <w:rPr>
          <w:rFonts w:ascii="Times New Roman" w:eastAsia="Times New Roman" w:hAnsi="Times New Roman" w:cs="Times New Roman"/>
          <w:b/>
          <w:color w:val="000000"/>
          <w:sz w:val="28"/>
          <w:szCs w:val="28"/>
        </w:rPr>
        <w:t xml:space="preserve">Соотношение дебиторской задолженности и объема отгруженных товаров собственного производства </w:t>
      </w:r>
      <w:r w:rsidRPr="00561116">
        <w:rPr>
          <w:rFonts w:ascii="Times New Roman" w:eastAsia="Times New Roman" w:hAnsi="Times New Roman" w:cs="Times New Roman"/>
          <w:b/>
          <w:sz w:val="28"/>
          <w:szCs w:val="28"/>
        </w:rPr>
        <w:t>предприятиями и организациями Бардымского муниципального района в 2011-2016</w:t>
      </w:r>
      <w:r w:rsid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tbl>
      <w:tblPr>
        <w:tblW w:w="5000" w:type="pct"/>
        <w:tblLook w:val="04A0"/>
      </w:tblPr>
      <w:tblGrid>
        <w:gridCol w:w="4419"/>
        <w:gridCol w:w="953"/>
        <w:gridCol w:w="953"/>
        <w:gridCol w:w="953"/>
        <w:gridCol w:w="953"/>
        <w:gridCol w:w="953"/>
        <w:gridCol w:w="953"/>
      </w:tblGrid>
      <w:tr w:rsidR="00153E07" w:rsidRPr="00153E07" w:rsidTr="00153E07">
        <w:trPr>
          <w:trHeight w:val="315"/>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Показатель</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2011</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2012</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2014</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2015</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2016</w:t>
            </w:r>
          </w:p>
        </w:tc>
      </w:tr>
      <w:tr w:rsidR="00153E07" w:rsidRPr="00153E07" w:rsidTr="00153E07">
        <w:trPr>
          <w:trHeight w:val="807"/>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Объем отгруженных товаров собственного производства, выполненных работ и услуг, тыс. руб.</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71516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45934</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47606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53748</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74886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75429</w:t>
            </w:r>
          </w:p>
        </w:tc>
      </w:tr>
      <w:tr w:rsidR="00153E07" w:rsidRPr="00153E07" w:rsidTr="00153E07">
        <w:trPr>
          <w:trHeight w:val="63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Дебиторская задолженность, тысяча рублей</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8921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11861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11715</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9117</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8681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12695</w:t>
            </w:r>
          </w:p>
        </w:tc>
      </w:tr>
      <w:tr w:rsidR="00153E07" w:rsidRPr="00153E07" w:rsidTr="00153E07">
        <w:trPr>
          <w:trHeight w:val="898"/>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Соотношение дебиторской задолженности и объема отгруженных товаров собственного производства, %</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12,5</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25,8</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24,6</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17,0</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11,6</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16,8</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дебиторской задолженности в общем объеме отгруженных товаров собственного производства предприятий и организаций за исследуемый период времени была неравномерна. Это означает, что предприятия и организации уделяют недостаточное внимание контролю и взысканию дебиторской задолженности с покупателей и заказчиков, тем самым накапливая в новых периодах текущие долги и долги предыдущих периодов, что влечет за собой риск невозврата дебиторской задолженности вообще.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1.7 представлены темпы роста дебиторской и кредиторской задолженностей, а также структурных элементов кредиторской задолженности.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Полученная динамика показателей дебиторской и кредиторской задолженностей подтверждает неэффективность использования привлеченных заемных средств предприятиями и организациями. Даже в те периоды, когда дебиторская задолженность предприятий сокращается, т.е. превращается в денежные средства, кредиторская задолженность растет и накапливает долги за предыдущие периоды.</w:t>
      </w:r>
    </w:p>
    <w:p w:rsidR="00BE7256" w:rsidRDefault="00BE7256" w:rsidP="00822D2E">
      <w:pPr>
        <w:spacing w:after="0" w:line="240" w:lineRule="auto"/>
        <w:ind w:firstLine="709"/>
        <w:jc w:val="both"/>
        <w:rPr>
          <w:rFonts w:ascii="Times New Roman" w:eastAsia="Times New Roman" w:hAnsi="Times New Roman" w:cs="Times New Roman"/>
          <w:sz w:val="28"/>
          <w:szCs w:val="28"/>
        </w:rPr>
      </w:pPr>
    </w:p>
    <w:p w:rsidR="00B46799" w:rsidRDefault="00B46799"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1.7</w:t>
      </w:r>
    </w:p>
    <w:p w:rsidR="00153E07" w:rsidRPr="00BE7256" w:rsidRDefault="00153E07" w:rsidP="00822D2E">
      <w:pPr>
        <w:spacing w:after="0" w:line="240" w:lineRule="auto"/>
        <w:jc w:val="center"/>
        <w:rPr>
          <w:rFonts w:ascii="Times New Roman" w:eastAsia="Times New Roman" w:hAnsi="Times New Roman" w:cs="Times New Roman"/>
          <w:b/>
          <w:sz w:val="28"/>
          <w:szCs w:val="28"/>
        </w:rPr>
      </w:pPr>
      <w:r w:rsidRPr="00BE7256">
        <w:rPr>
          <w:rFonts w:ascii="Times New Roman" w:eastAsia="Times New Roman" w:hAnsi="Times New Roman" w:cs="Times New Roman"/>
          <w:b/>
          <w:sz w:val="28"/>
          <w:szCs w:val="28"/>
        </w:rPr>
        <w:t>Темпы роста дебиторской и кредиторской задолженности, а также структурных элементов кредиторской задолженности предприятий и организаций в Бардымском муниципальном районе в 2011-2016гг.</w:t>
      </w:r>
    </w:p>
    <w:tbl>
      <w:tblPr>
        <w:tblW w:w="5000" w:type="pct"/>
        <w:tblLook w:val="04A0"/>
      </w:tblPr>
      <w:tblGrid>
        <w:gridCol w:w="4029"/>
        <w:gridCol w:w="1018"/>
        <w:gridCol w:w="1018"/>
        <w:gridCol w:w="1018"/>
        <w:gridCol w:w="1018"/>
        <w:gridCol w:w="1018"/>
        <w:gridCol w:w="1018"/>
      </w:tblGrid>
      <w:tr w:rsidR="00153E07" w:rsidRPr="00153E07" w:rsidTr="00153E07">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Показатель</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2012/ 2011</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2013/ 2012</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2014/ 2013</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2015/ 2014</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2016/ 2015</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2016/ 2011</w:t>
            </w:r>
          </w:p>
        </w:tc>
      </w:tr>
      <w:tr w:rsidR="00153E07" w:rsidRPr="00153E07" w:rsidTr="00153E07">
        <w:trPr>
          <w:trHeight w:val="231"/>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Дебиторская задолженность,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133,0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98,8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77,8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95,2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146,2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142,3</w:t>
            </w:r>
          </w:p>
        </w:tc>
      </w:tr>
      <w:tr w:rsidR="00153E07" w:rsidRPr="00153E07" w:rsidTr="00153E07">
        <w:trPr>
          <w:trHeight w:val="265"/>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Кредиторская задолженность,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112,8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128,4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52,1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154,0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133,7</w:t>
            </w:r>
          </w:p>
        </w:tc>
      </w:tr>
      <w:tr w:rsidR="00153E07" w:rsidRPr="00153E07" w:rsidTr="00153E07">
        <w:trPr>
          <w:trHeight w:val="565"/>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перед поставщиками и подрядчиками,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111,1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130,8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52,3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152,9</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123,3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143,4</w:t>
            </w:r>
          </w:p>
        </w:tc>
      </w:tr>
      <w:tr w:rsidR="00153E07" w:rsidRPr="00153E07" w:rsidTr="00153E07">
        <w:trPr>
          <w:trHeight w:val="7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по платежам в бюджет из общей суммы кредиторской задолженности,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110,8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110,3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60,0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137,0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49,4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49,6</w:t>
            </w:r>
          </w:p>
        </w:tc>
      </w:tr>
      <w:tr w:rsidR="00153E07" w:rsidRPr="00153E07" w:rsidTr="00153E07">
        <w:trPr>
          <w:trHeight w:val="1012"/>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по платежам в государственные внебюджетные фонды из общей суммы кредиторской задолженности,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166,1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108,7</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35,0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235,0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24,5</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36,4</w:t>
            </w:r>
          </w:p>
        </w:tc>
      </w:tr>
      <w:tr w:rsidR="00153E07" w:rsidRPr="00153E07" w:rsidTr="00153E07">
        <w:trPr>
          <w:trHeight w:val="471"/>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по полученным займам и кредитам,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264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15,2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40</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Причиной роста кредиторской задолженности предприятий является задолженность перед поставщиками и подрядчиками. При этом наблюдается динамика снижения задолженностей по обязательным платежам, а также сокращаются объемы задолженности по кредитам и займам.</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Данную ситуацию можно охарактеризовать как использование предприятиями и организациями Бардымского муниципального района товарного, коммерческого кредита путем несвоевременной оплаты задолженности перед поставщиками и подрядчиками, благодаря чему они финансируют свои обязательные платежи и дебиторскую задолженность. Наглядно данная ситуация представлена на рисунке 1.4</w:t>
      </w:r>
      <w:r w:rsidR="00561116">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2627" cy="2779776"/>
            <wp:effectExtent l="0" t="0" r="0" b="0"/>
            <wp:docPr id="216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53E07" w:rsidRPr="00561116" w:rsidRDefault="00153E07" w:rsidP="00822D2E">
      <w:pPr>
        <w:spacing w:after="0" w:line="240" w:lineRule="auto"/>
        <w:ind w:firstLine="709"/>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561116" w:rsidRPr="00561116">
        <w:rPr>
          <w:rFonts w:ascii="Times New Roman" w:eastAsia="Times New Roman" w:hAnsi="Times New Roman" w:cs="Times New Roman"/>
          <w:b/>
          <w:sz w:val="28"/>
          <w:szCs w:val="28"/>
        </w:rPr>
        <w:t>4</w:t>
      </w:r>
      <w:r w:rsidRPr="00561116">
        <w:rPr>
          <w:rFonts w:ascii="Times New Roman" w:eastAsia="Times New Roman" w:hAnsi="Times New Roman" w:cs="Times New Roman"/>
          <w:b/>
          <w:sz w:val="28"/>
          <w:szCs w:val="28"/>
        </w:rPr>
        <w:t>. Динамика краткосрочной и долгосрочной кредиторской задолженности предприятий Бардымского муниципального района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8"/>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Анализ финансовой деятельности предприятий и организаций Бардымского муниципального района показал, что экономика района имеет признаки моно- развития, в настоящее время наиболее весомыми являются кредитный, экономический риски, риски ликвидности, предприятия района развиваются экстенсивно, с низкими показателями ликвидности и рентабельности.</w:t>
      </w:r>
    </w:p>
    <w:p w:rsidR="00153E07" w:rsidRPr="00153E07" w:rsidRDefault="00153E07" w:rsidP="00822D2E">
      <w:pPr>
        <w:spacing w:after="0" w:line="240" w:lineRule="auto"/>
        <w:ind w:firstLine="708"/>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Предприятиям Бардымского муниципального района необходимо пересмотреть источники финансирования деятельности в пользу оптимизации расходов, повышения рентабельности бизнеса, аккумулирования собственных денежных средств, формирования политики развития за счет собственных финансов.</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t>1.2.12 Инвестиции в основной капитал</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Инвестиции в основной капитал имеют в своем составе бюджетные средства и средства частных инвесторов (собственные и привлеченные).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187481" cy="2289975"/>
            <wp:effectExtent l="19050" t="0" r="0" b="0"/>
            <wp:docPr id="217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1.4</w:t>
      </w:r>
      <w:r w:rsidR="007A2AEF" w:rsidRPr="005E128E">
        <w:rPr>
          <w:rFonts w:ascii="Times New Roman" w:eastAsia="Times New Roman" w:hAnsi="Times New Roman" w:cs="Times New Roman"/>
          <w:b/>
          <w:sz w:val="28"/>
          <w:szCs w:val="28"/>
        </w:rPr>
        <w:t>5</w:t>
      </w:r>
      <w:r w:rsidRPr="005E128E">
        <w:rPr>
          <w:rFonts w:ascii="Times New Roman" w:eastAsia="Times New Roman" w:hAnsi="Times New Roman" w:cs="Times New Roman"/>
          <w:b/>
          <w:sz w:val="28"/>
          <w:szCs w:val="28"/>
        </w:rPr>
        <w:t>. Структура инвестиций в основной капитал в Бардымском муниципальном районе (01.01.2011-01.01.2017</w:t>
      </w:r>
      <w:r w:rsidR="007A2AE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гг.), млн.руб.</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Как видно на рисунке, в структуре инвестиций в основной капитал преобладают собственные и привлеченные средства, т.е. инвесторами являются частные юридические и физические лица. Наибольшая доля основного капитала была проинвестирована частными инвесторами в 2013 году (90,9%). В последующие годы доля частных инвестиций в основной капитал сократилась за счет увеличения притока вложений из бюджетных средств. На конец 2016 года доля инвестиций за счет бюджетных средств увеличилась до 36,2% с 9,1% в 2013 году.</w:t>
      </w:r>
    </w:p>
    <w:p w:rsidR="00980ED1" w:rsidRDefault="00980ED1" w:rsidP="00822D2E">
      <w:pPr>
        <w:pStyle w:val="1"/>
        <w:spacing w:line="240" w:lineRule="auto"/>
      </w:pPr>
    </w:p>
    <w:p w:rsidR="00153E07" w:rsidRPr="00153E07" w:rsidRDefault="00153E07" w:rsidP="00822D2E">
      <w:pPr>
        <w:pStyle w:val="1"/>
        <w:spacing w:line="240" w:lineRule="auto"/>
      </w:pPr>
      <w:r w:rsidRPr="00153E07">
        <w:t>1.2.13 Малый бизнес</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настоящее время в Российской Федерации разработаны механизмы развития и поддержки малого предпринимательства, которые регулируются Федеральным законом №209-ФЗ от 24.07.207г.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 развитии малого и среднего предпринимательства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и другими законодательными актами РФ и субъектами РФ.</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таблице 1.</w:t>
      </w:r>
      <w:r w:rsidR="007A2AEF">
        <w:rPr>
          <w:rFonts w:ascii="Times New Roman" w:eastAsia="Times New Roman" w:hAnsi="Times New Roman" w:cs="Times New Roman"/>
          <w:sz w:val="28"/>
          <w:szCs w:val="28"/>
        </w:rPr>
        <w:t>8</w:t>
      </w:r>
      <w:r w:rsidRPr="00153E07">
        <w:rPr>
          <w:rFonts w:ascii="Times New Roman" w:eastAsia="Times New Roman" w:hAnsi="Times New Roman" w:cs="Times New Roman"/>
          <w:sz w:val="28"/>
          <w:szCs w:val="28"/>
        </w:rPr>
        <w:t xml:space="preserve"> представлена динамика развития малого предпринимательства в Бардымском муниципальном районе в период с 2011 по 2016 гг.</w:t>
      </w:r>
    </w:p>
    <w:p w:rsidR="00153E07" w:rsidRPr="00153E07" w:rsidRDefault="007A2AEF" w:rsidP="00BE7256">
      <w:pPr>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1.8</w:t>
      </w:r>
    </w:p>
    <w:p w:rsidR="00153E07" w:rsidRPr="00BE7256" w:rsidRDefault="00153E07" w:rsidP="00822D2E">
      <w:pPr>
        <w:spacing w:after="0" w:line="240" w:lineRule="auto"/>
        <w:jc w:val="center"/>
        <w:rPr>
          <w:rFonts w:ascii="Times New Roman" w:eastAsia="Times New Roman" w:hAnsi="Times New Roman" w:cs="Times New Roman"/>
          <w:b/>
          <w:sz w:val="28"/>
          <w:szCs w:val="28"/>
        </w:rPr>
      </w:pPr>
      <w:r w:rsidRPr="00BE7256">
        <w:rPr>
          <w:rFonts w:ascii="Times New Roman" w:eastAsia="Times New Roman" w:hAnsi="Times New Roman" w:cs="Times New Roman"/>
          <w:b/>
          <w:sz w:val="28"/>
          <w:szCs w:val="28"/>
        </w:rPr>
        <w:t>Динамика показателей малого и среднего предпринимательства в Бардымском муниципальном районе в 2011-2016 гг.</w:t>
      </w:r>
    </w:p>
    <w:tbl>
      <w:tblPr>
        <w:tblW w:w="5000" w:type="pct"/>
        <w:tblLayout w:type="fixed"/>
        <w:tblLook w:val="04A0"/>
      </w:tblPr>
      <w:tblGrid>
        <w:gridCol w:w="3782"/>
        <w:gridCol w:w="1271"/>
        <w:gridCol w:w="1271"/>
        <w:gridCol w:w="1271"/>
        <w:gridCol w:w="1271"/>
        <w:gridCol w:w="1271"/>
      </w:tblGrid>
      <w:tr w:rsidR="007A2AEF" w:rsidRPr="00153E07" w:rsidTr="00443EEA">
        <w:trPr>
          <w:trHeight w:val="300"/>
        </w:trPr>
        <w:tc>
          <w:tcPr>
            <w:tcW w:w="1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Показатель</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2012/2011</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2013/2012</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2014/2013</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2015/2014</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2016/2015</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субъектов малого предпринимательства,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-13,76</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20,48</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-1,88</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-0,24</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3,59</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малых предприятий (включая микропредприятия),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-0,79</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1,20</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-2,37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0,00</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14,98</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ИП и КФХ зарегистрированных в статистическом регистре,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0,17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2,56</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-1,67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0,51</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6,41</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работающих в сфере малого предпринимательства, чел.</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-28,63</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42,73</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-1,25</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-39,79</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14,20</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2011 по 2016 гг. представленные показатели не продемонстрировали единой динамики, наибольший пик был зафиксирован в 2013 году. Причинами которого стало утверждение Приказом Министерства сельского хозяйства Российской Федерации</w:t>
      </w:r>
      <w:r w:rsidR="007A2AE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173 от 06.03.2012</w:t>
      </w:r>
      <w:r w:rsidR="007A2AE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Программы по развитию семейных животноводческих ферм</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которая стимулировала интерес личных подсобных хозяйств (ЛПХ) к увеличению доходов, расширению сельскохозяйственных территорий и, как следствие, росту производства.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октябре 2014 года Министерством сельского хозяйства и продовольствия Пермского края была утверждена комплексная программа</w:t>
      </w:r>
      <w:r w:rsidR="00DE2D0E">
        <w:rPr>
          <w:rFonts w:ascii="Times New Roman" w:eastAsia="Times New Roman" w:hAnsi="Times New Roman" w:cs="Times New Roman"/>
          <w:sz w:val="28"/>
          <w:szCs w:val="28"/>
        </w:rPr>
        <w:t>»</w:t>
      </w:r>
      <w:r w:rsidR="005E128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Развитие семейных животноводческих ферм на базе крестьянских (фермерских) хозяйств в Пермском крае на 2015-2017 годы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благодаря которой интерес к развитию сельского хозяйства у жителей края был пролонгирован.</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Кроме того, в Бардымском муниципальном районе активно проводится политика отказа от неэффективных расходов бюджета. В данном случае неэффективными расходами бюджета выступают затраты на оплату труда непрофильного персонала. Таким образом, в учреждениях здравоохранения, образования сокращают непрофильные для учреждений ставки и передают соответствующие задачи на аутсорсинг.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Благодаря такому решению администрации Бардымского муниципального района происходит профессиональное разделение труда, которое влечет за собой рост инициативы среди населения по организации профильного малого бизнеса. Данные бизнес-идеи поддерживаются руководством Бардымского муниципального района и имеют в дальнейшем развитие и поддержку в виде субсидий.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субъектов малого предпринимательства в Бардымском муниципальном районе представлена на рисунке 1.</w:t>
      </w:r>
      <w:r w:rsidR="005E128E">
        <w:rPr>
          <w:rFonts w:ascii="Times New Roman" w:eastAsia="Times New Roman" w:hAnsi="Times New Roman" w:cs="Times New Roman"/>
          <w:sz w:val="28"/>
          <w:szCs w:val="28"/>
        </w:rPr>
        <w:t>46</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62625" cy="2571750"/>
            <wp:effectExtent l="19050" t="0" r="0" b="0"/>
            <wp:docPr id="217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w:t>
      </w:r>
      <w:r w:rsidR="005E128E">
        <w:rPr>
          <w:rFonts w:ascii="Times New Roman" w:eastAsia="Times New Roman" w:hAnsi="Times New Roman" w:cs="Times New Roman"/>
          <w:b/>
          <w:sz w:val="28"/>
          <w:szCs w:val="28"/>
        </w:rPr>
        <w:t>46</w:t>
      </w:r>
      <w:r w:rsidRPr="005E128E">
        <w:rPr>
          <w:rFonts w:ascii="Times New Roman" w:eastAsia="Times New Roman" w:hAnsi="Times New Roman" w:cs="Times New Roman"/>
          <w:b/>
          <w:sz w:val="28"/>
          <w:szCs w:val="28"/>
        </w:rPr>
        <w:t>. Динамика субъектов малого предпринимательства в Бардымском муниципальном районе, (01.01.2011 – 01.01.2017</w:t>
      </w:r>
      <w:r w:rsid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Администрация Бардымского муниципального района проводит мероприятия по развитию и поддержке малого бизнеса на территории района в следующих формах:</w:t>
      </w:r>
    </w:p>
    <w:p w:rsidR="005E128E" w:rsidRDefault="00153E07" w:rsidP="00822D2E">
      <w:pPr>
        <w:pStyle w:val="af1"/>
        <w:numPr>
          <w:ilvl w:val="0"/>
          <w:numId w:val="8"/>
        </w:numPr>
        <w:spacing w:after="0" w:line="240" w:lineRule="auto"/>
        <w:jc w:val="both"/>
        <w:rPr>
          <w:rFonts w:ascii="Times New Roman" w:eastAsia="Times New Roman" w:hAnsi="Times New Roman" w:cs="Times New Roman"/>
          <w:sz w:val="28"/>
          <w:szCs w:val="28"/>
        </w:rPr>
      </w:pPr>
      <w:r w:rsidRPr="005E128E">
        <w:rPr>
          <w:rFonts w:ascii="Times New Roman" w:eastAsia="Times New Roman" w:hAnsi="Times New Roman" w:cs="Times New Roman"/>
          <w:sz w:val="28"/>
          <w:szCs w:val="28"/>
        </w:rPr>
        <w:t xml:space="preserve">Ежегодное финансирование по подпрограмме </w:t>
      </w:r>
      <w:r w:rsidR="00DE2D0E" w:rsidRPr="005E128E">
        <w:rPr>
          <w:rFonts w:ascii="Times New Roman" w:eastAsia="Times New Roman" w:hAnsi="Times New Roman" w:cs="Times New Roman"/>
          <w:sz w:val="28"/>
          <w:szCs w:val="28"/>
        </w:rPr>
        <w:t>«</w:t>
      </w:r>
      <w:r w:rsidRPr="005E128E">
        <w:rPr>
          <w:rFonts w:ascii="Times New Roman" w:eastAsia="Times New Roman" w:hAnsi="Times New Roman" w:cs="Times New Roman"/>
          <w:sz w:val="28"/>
          <w:szCs w:val="28"/>
        </w:rPr>
        <w:t>Развитие малого и среднего предпринимательства</w:t>
      </w:r>
      <w:r w:rsidR="00DE2D0E" w:rsidRPr="005E128E">
        <w:rPr>
          <w:rFonts w:ascii="Times New Roman" w:eastAsia="Times New Roman" w:hAnsi="Times New Roman" w:cs="Times New Roman"/>
          <w:sz w:val="28"/>
          <w:szCs w:val="28"/>
        </w:rPr>
        <w:t>»</w:t>
      </w:r>
      <w:r w:rsidRPr="005E128E">
        <w:rPr>
          <w:rFonts w:ascii="Times New Roman" w:eastAsia="Times New Roman" w:hAnsi="Times New Roman" w:cs="Times New Roman"/>
          <w:sz w:val="28"/>
          <w:szCs w:val="28"/>
        </w:rPr>
        <w:t xml:space="preserve">. </w:t>
      </w:r>
    </w:p>
    <w:p w:rsidR="00153E07" w:rsidRPr="005E128E" w:rsidRDefault="00153E07" w:rsidP="00822D2E">
      <w:pPr>
        <w:pStyle w:val="af1"/>
        <w:numPr>
          <w:ilvl w:val="0"/>
          <w:numId w:val="8"/>
        </w:numPr>
        <w:spacing w:after="0" w:line="240" w:lineRule="auto"/>
        <w:jc w:val="both"/>
        <w:rPr>
          <w:rFonts w:ascii="Times New Roman" w:eastAsia="Times New Roman" w:hAnsi="Times New Roman" w:cs="Times New Roman"/>
          <w:sz w:val="28"/>
          <w:szCs w:val="28"/>
        </w:rPr>
      </w:pPr>
      <w:r w:rsidRPr="005E128E">
        <w:rPr>
          <w:rFonts w:ascii="Times New Roman" w:eastAsia="Times New Roman" w:hAnsi="Times New Roman" w:cs="Times New Roman"/>
          <w:sz w:val="28"/>
          <w:szCs w:val="28"/>
        </w:rPr>
        <w:t>Проведение мероприятия для улучшения инвестиционного климата в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t>1.2.14 Сельское хозяйство</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Агропромышленный комплекс Бардымского муниципального района представлен как продукцией растениеводства, так и продукцией животноводства.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первую очередь проведен анализ растениеводства Бардымского муниципального района. На рисунке 1.51 представлены размеры и динамика посевных площадей сельскохозяйственных культур в хозяйствах всех категорий (01.01.2011-01.01.2017 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9775" cy="2657475"/>
            <wp:effectExtent l="0" t="0" r="0" b="0"/>
            <wp:docPr id="217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53E07" w:rsidRPr="00112206" w:rsidRDefault="00153E07" w:rsidP="00822D2E">
      <w:pPr>
        <w:spacing w:after="0" w:line="240" w:lineRule="auto"/>
        <w:jc w:val="both"/>
        <w:rPr>
          <w:rFonts w:ascii="Times New Roman" w:eastAsia="Times New Roman" w:hAnsi="Times New Roman" w:cs="Times New Roman"/>
          <w:b/>
          <w:sz w:val="28"/>
          <w:szCs w:val="28"/>
        </w:rPr>
      </w:pPr>
      <w:r w:rsidRPr="00112206">
        <w:rPr>
          <w:rFonts w:ascii="Times New Roman" w:eastAsia="Times New Roman" w:hAnsi="Times New Roman" w:cs="Times New Roman"/>
          <w:b/>
          <w:sz w:val="28"/>
          <w:szCs w:val="28"/>
        </w:rPr>
        <w:t>Рисунок 1.</w:t>
      </w:r>
      <w:r w:rsidR="00112206" w:rsidRPr="00112206">
        <w:rPr>
          <w:rFonts w:ascii="Times New Roman" w:eastAsia="Times New Roman" w:hAnsi="Times New Roman" w:cs="Times New Roman"/>
          <w:b/>
          <w:sz w:val="28"/>
          <w:szCs w:val="28"/>
        </w:rPr>
        <w:t>47</w:t>
      </w:r>
      <w:r w:rsidRPr="00112206">
        <w:rPr>
          <w:rFonts w:ascii="Times New Roman" w:eastAsia="Times New Roman" w:hAnsi="Times New Roman" w:cs="Times New Roman"/>
          <w:b/>
          <w:sz w:val="28"/>
          <w:szCs w:val="28"/>
        </w:rPr>
        <w:t>. Посевные площади сельскохозяйственных культур в хозяйствах всех категорий, гектар</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Анализ показал, что посевные площади в Бардымском районе </w:t>
      </w:r>
      <w:r w:rsidR="00306DDD">
        <w:rPr>
          <w:rFonts w:ascii="Times New Roman" w:eastAsia="Times New Roman" w:hAnsi="Times New Roman" w:cs="Times New Roman"/>
          <w:sz w:val="28"/>
          <w:szCs w:val="28"/>
        </w:rPr>
        <w:t>до 2014 года шли к сокращению, с 2015 года начали увеличиваться</w:t>
      </w:r>
      <w:r w:rsidRPr="00153E07">
        <w:rPr>
          <w:rFonts w:ascii="Times New Roman" w:eastAsia="Times New Roman" w:hAnsi="Times New Roman" w:cs="Times New Roman"/>
          <w:sz w:val="28"/>
          <w:szCs w:val="28"/>
        </w:rPr>
        <w:t>. Так в 2011 году посевные площади в районе занимали 18867 гектар, а в 201</w:t>
      </w:r>
      <w:r w:rsidR="00306DDD">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году – уже 13</w:t>
      </w:r>
      <w:r w:rsidR="00306DDD">
        <w:rPr>
          <w:rFonts w:ascii="Times New Roman" w:eastAsia="Times New Roman" w:hAnsi="Times New Roman" w:cs="Times New Roman"/>
          <w:sz w:val="28"/>
          <w:szCs w:val="28"/>
        </w:rPr>
        <w:t>534</w:t>
      </w:r>
      <w:r w:rsidRPr="00153E07">
        <w:rPr>
          <w:rFonts w:ascii="Times New Roman" w:eastAsia="Times New Roman" w:hAnsi="Times New Roman" w:cs="Times New Roman"/>
          <w:sz w:val="28"/>
          <w:szCs w:val="28"/>
        </w:rPr>
        <w:t xml:space="preserve"> гектар, </w:t>
      </w:r>
      <w:r w:rsidR="00306DDD">
        <w:rPr>
          <w:rFonts w:ascii="Times New Roman" w:eastAsia="Times New Roman" w:hAnsi="Times New Roman" w:cs="Times New Roman"/>
          <w:sz w:val="28"/>
          <w:szCs w:val="28"/>
        </w:rPr>
        <w:t>а к 2016 году – 13937 гектар</w:t>
      </w:r>
      <w:r w:rsidRPr="00153E07">
        <w:rPr>
          <w:rFonts w:ascii="Times New Roman" w:eastAsia="Times New Roman" w:hAnsi="Times New Roman" w:cs="Times New Roman"/>
          <w:sz w:val="28"/>
          <w:szCs w:val="28"/>
        </w:rPr>
        <w:t>.</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1.10 рассчитан показатель урожайности посевных площадей на даты 01.01.2011 – 01.01.2017г.</w:t>
      </w: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w:t>
      </w:r>
      <w:r w:rsidR="00112206">
        <w:rPr>
          <w:rFonts w:ascii="Times New Roman" w:eastAsia="Times New Roman" w:hAnsi="Times New Roman" w:cs="Times New Roman"/>
          <w:sz w:val="28"/>
          <w:szCs w:val="28"/>
        </w:rPr>
        <w:t>9</w:t>
      </w:r>
    </w:p>
    <w:p w:rsidR="00153E07" w:rsidRPr="00633809" w:rsidRDefault="00153E07" w:rsidP="00822D2E">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Урожайность посевных площадей Бардымского муниципального района</w:t>
      </w:r>
    </w:p>
    <w:tbl>
      <w:tblPr>
        <w:tblW w:w="5000" w:type="pct"/>
        <w:tblLook w:val="04A0"/>
      </w:tblPr>
      <w:tblGrid>
        <w:gridCol w:w="2517"/>
        <w:gridCol w:w="1206"/>
        <w:gridCol w:w="1052"/>
        <w:gridCol w:w="1052"/>
        <w:gridCol w:w="1200"/>
        <w:gridCol w:w="1052"/>
        <w:gridCol w:w="1050"/>
        <w:gridCol w:w="1008"/>
      </w:tblGrid>
      <w:tr w:rsidR="00153E07" w:rsidRPr="00153E07" w:rsidTr="00153E07">
        <w:trPr>
          <w:trHeight w:val="315"/>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956"/>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картофель,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112,4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230,0</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125,0</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223,0</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247,0</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243,0</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98,0</w:t>
            </w:r>
          </w:p>
        </w:tc>
      </w:tr>
      <w:tr w:rsidR="00153E07" w:rsidRPr="00153E07" w:rsidTr="00153E07">
        <w:trPr>
          <w:trHeight w:val="1114"/>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зерновые и бобовые,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5,2</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16,1</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14,6</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w:t>
            </w:r>
          </w:p>
        </w:tc>
      </w:tr>
      <w:tr w:rsidR="00153E07" w:rsidRPr="00153E07" w:rsidTr="00153E07">
        <w:trPr>
          <w:trHeight w:val="987"/>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овощи,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150,2</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306DDD"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43,0</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125,6</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139,0</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138,5</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306DDD"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84,0</w:t>
            </w:r>
          </w:p>
        </w:tc>
      </w:tr>
    </w:tbl>
    <w:p w:rsidR="00153E07" w:rsidRPr="00153E07" w:rsidRDefault="00153E07" w:rsidP="00822D2E">
      <w:pPr>
        <w:spacing w:after="0" w:line="240" w:lineRule="auto"/>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целом наблюдается динамика сокращения урожайности сельскохозяйственных площадей. Резкие изменения показателей урожайности связаны с периодами засухи и, поэтому, годовой неурожайности. В частности, сокращение урожайности посевных площадей в 2013 и 2014 годах в Бардымском районе связано с сильной засухой, в результате которой погибло больше половины урожая. Динамика соответствующих показателей представлена на рисунке 1.</w:t>
      </w:r>
      <w:r w:rsidR="00112206">
        <w:rPr>
          <w:rFonts w:ascii="Times New Roman" w:eastAsia="Times New Roman" w:hAnsi="Times New Roman" w:cs="Times New Roman"/>
          <w:sz w:val="28"/>
          <w:szCs w:val="28"/>
        </w:rPr>
        <w:t>48</w:t>
      </w:r>
      <w:r w:rsidRPr="00153E07">
        <w:rPr>
          <w:rFonts w:ascii="Times New Roman" w:eastAsia="Times New Roman" w:hAnsi="Times New Roman" w:cs="Times New Roman"/>
          <w:sz w:val="28"/>
          <w:szCs w:val="28"/>
        </w:rPr>
        <w:t>.</w:t>
      </w:r>
    </w:p>
    <w:p w:rsidR="00153E07" w:rsidRPr="00153E07" w:rsidRDefault="00A625FC" w:rsidP="00153E07">
      <w:pPr>
        <w:spacing w:after="0"/>
        <w:ind w:firstLine="709"/>
        <w:jc w:val="both"/>
        <w:rPr>
          <w:rFonts w:ascii="Times New Roman" w:eastAsia="Times New Roman" w:hAnsi="Times New Roman" w:cs="Times New Roman"/>
          <w:sz w:val="28"/>
          <w:szCs w:val="28"/>
        </w:rPr>
      </w:pPr>
      <w:r w:rsidRPr="00A625FC">
        <w:rPr>
          <w:rFonts w:ascii="Times New Roman" w:eastAsia="Times New Roman" w:hAnsi="Times New Roman" w:cs="Times New Roman"/>
          <w:noProof/>
          <w:sz w:val="28"/>
          <w:szCs w:val="28"/>
        </w:rPr>
        <w:drawing>
          <wp:inline distT="0" distB="0" distL="0" distR="0">
            <wp:extent cx="5857240" cy="1885950"/>
            <wp:effectExtent l="19050" t="0" r="1016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53E07" w:rsidRPr="00112206" w:rsidRDefault="00112206" w:rsidP="00822D2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1.48</w:t>
      </w:r>
      <w:r w:rsidR="00153E07" w:rsidRPr="00112206">
        <w:rPr>
          <w:rFonts w:ascii="Times New Roman" w:eastAsia="Times New Roman" w:hAnsi="Times New Roman" w:cs="Times New Roman"/>
          <w:b/>
          <w:sz w:val="28"/>
          <w:szCs w:val="28"/>
        </w:rPr>
        <w:t>. Динамика урожайности посевных площадей Бардымского муниципального района, %</w:t>
      </w:r>
    </w:p>
    <w:p w:rsid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Результаты животноводческой деятельности Бардымского муниципального района представлены в таблице 1.1</w:t>
      </w:r>
      <w:r w:rsidR="00112206">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E444CA" w:rsidRDefault="00E444CA" w:rsidP="00822D2E">
      <w:pPr>
        <w:spacing w:after="0" w:line="240" w:lineRule="auto"/>
        <w:ind w:firstLine="709"/>
        <w:jc w:val="both"/>
        <w:rPr>
          <w:rFonts w:ascii="Times New Roman" w:eastAsia="Times New Roman" w:hAnsi="Times New Roman" w:cs="Times New Roman"/>
          <w:sz w:val="28"/>
          <w:szCs w:val="28"/>
        </w:rPr>
      </w:pPr>
    </w:p>
    <w:p w:rsidR="00E444CA" w:rsidRDefault="00E444CA" w:rsidP="00822D2E">
      <w:pPr>
        <w:spacing w:after="0" w:line="240" w:lineRule="auto"/>
        <w:ind w:firstLine="709"/>
        <w:jc w:val="both"/>
        <w:rPr>
          <w:rFonts w:ascii="Times New Roman" w:eastAsia="Times New Roman" w:hAnsi="Times New Roman" w:cs="Times New Roman"/>
          <w:sz w:val="28"/>
          <w:szCs w:val="28"/>
        </w:rPr>
      </w:pPr>
    </w:p>
    <w:p w:rsidR="00E444CA" w:rsidRPr="00153E07" w:rsidRDefault="00E444CA" w:rsidP="00822D2E">
      <w:pPr>
        <w:spacing w:after="0" w:line="240" w:lineRule="auto"/>
        <w:ind w:firstLine="709"/>
        <w:jc w:val="both"/>
        <w:rPr>
          <w:rFonts w:ascii="Times New Roman" w:eastAsia="Times New Roman" w:hAnsi="Times New Roman" w:cs="Times New Roman"/>
          <w:sz w:val="28"/>
          <w:szCs w:val="28"/>
        </w:rPr>
      </w:pPr>
    </w:p>
    <w:p w:rsidR="00112206" w:rsidRDefault="00112206" w:rsidP="00633809">
      <w:pPr>
        <w:spacing w:after="0"/>
        <w:ind w:firstLine="709"/>
        <w:jc w:val="right"/>
        <w:rPr>
          <w:rFonts w:ascii="Times New Roman" w:eastAsia="Times New Roman" w:hAnsi="Times New Roman" w:cs="Times New Roman"/>
          <w:sz w:val="28"/>
          <w:szCs w:val="28"/>
        </w:r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112206">
        <w:rPr>
          <w:rFonts w:ascii="Times New Roman" w:eastAsia="Times New Roman" w:hAnsi="Times New Roman" w:cs="Times New Roman"/>
          <w:sz w:val="28"/>
          <w:szCs w:val="28"/>
        </w:rPr>
        <w:t>0</w:t>
      </w:r>
    </w:p>
    <w:p w:rsidR="00153E07" w:rsidRPr="00112206" w:rsidRDefault="00153E07" w:rsidP="00822D2E">
      <w:pPr>
        <w:spacing w:after="0" w:line="240" w:lineRule="auto"/>
        <w:jc w:val="center"/>
        <w:rPr>
          <w:rFonts w:ascii="Times New Roman" w:eastAsia="Times New Roman" w:hAnsi="Times New Roman" w:cs="Times New Roman"/>
          <w:b/>
          <w:sz w:val="24"/>
          <w:szCs w:val="28"/>
        </w:rPr>
      </w:pPr>
      <w:r w:rsidRPr="00112206">
        <w:rPr>
          <w:rFonts w:ascii="Times New Roman" w:eastAsia="Times New Roman" w:hAnsi="Times New Roman" w:cs="Times New Roman"/>
          <w:b/>
          <w:sz w:val="24"/>
          <w:szCs w:val="28"/>
        </w:rPr>
        <w:t>Результаты животноводческой деятельности в Бардымском муниципальном районе</w:t>
      </w:r>
    </w:p>
    <w:tbl>
      <w:tblPr>
        <w:tblW w:w="5000" w:type="pct"/>
        <w:tblLook w:val="04A0"/>
      </w:tblPr>
      <w:tblGrid>
        <w:gridCol w:w="2704"/>
        <w:gridCol w:w="1063"/>
        <w:gridCol w:w="1062"/>
        <w:gridCol w:w="1062"/>
        <w:gridCol w:w="1062"/>
        <w:gridCol w:w="1062"/>
        <w:gridCol w:w="1062"/>
        <w:gridCol w:w="1060"/>
      </w:tblGrid>
      <w:tr w:rsidR="00153E07" w:rsidRPr="00112206" w:rsidTr="00153E07">
        <w:trPr>
          <w:trHeight w:val="315"/>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Показатель</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2011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2012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2013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2014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2015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2016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2017 г.</w:t>
            </w:r>
          </w:p>
        </w:tc>
      </w:tr>
      <w:tr w:rsidR="00153E07" w:rsidRPr="00112206" w:rsidTr="00153E07">
        <w:trPr>
          <w:trHeight w:val="133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Производство скота и птицы на убой (в живом весе) в хозяйствах всех категорий, тн</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1757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1677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1580</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1617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1821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1591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w:t>
            </w:r>
            <w:r w:rsidR="004D4D31" w:rsidRPr="00E444CA">
              <w:rPr>
                <w:rFonts w:ascii="Times New Roman" w:eastAsia="Times New Roman" w:hAnsi="Times New Roman" w:cs="Times New Roman"/>
                <w:color w:val="000000"/>
                <w:szCs w:val="28"/>
              </w:rPr>
              <w:t>638</w:t>
            </w:r>
          </w:p>
        </w:tc>
      </w:tr>
      <w:tr w:rsidR="00153E07" w:rsidRPr="00112206" w:rsidTr="00153E07">
        <w:trPr>
          <w:trHeight w:val="854"/>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Производство молока в хозяйствах всех категорий,  тн</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6125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5583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5058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5169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4489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4755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4764</w:t>
            </w:r>
          </w:p>
        </w:tc>
      </w:tr>
      <w:tr w:rsidR="00153E07" w:rsidRPr="00112206" w:rsidTr="00153E07">
        <w:trPr>
          <w:trHeight w:val="78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Производство яиц в хозяйствах всех категорий, тыс. шт.</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743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791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758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719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1627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2251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2348</w:t>
            </w:r>
          </w:p>
        </w:tc>
      </w:tr>
      <w:tr w:rsidR="00153E07" w:rsidRPr="00112206" w:rsidTr="00153E07">
        <w:trPr>
          <w:trHeight w:val="94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Поголовье КРС в  хозяйствах всех категорий,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6229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6085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6361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6121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6173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6468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6483</w:t>
            </w:r>
          </w:p>
        </w:tc>
      </w:tr>
      <w:tr w:rsidR="00153E07" w:rsidRPr="00112206" w:rsidTr="00153E07">
        <w:trPr>
          <w:trHeight w:val="31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в том числе:</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r>
      <w:tr w:rsidR="00153E07" w:rsidRPr="00112206" w:rsidTr="00153E07">
        <w:trPr>
          <w:trHeight w:val="31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 коров,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2168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2174</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2295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1972</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1983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2131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2136</w:t>
            </w:r>
          </w:p>
        </w:tc>
      </w:tr>
      <w:tr w:rsidR="00153E07" w:rsidRPr="00112206" w:rsidTr="00153E07">
        <w:trPr>
          <w:trHeight w:val="245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 коров специализированных мясных пород и поместного скота, полученного от скрещивания со специализированными мясными породами,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50</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52</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173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209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224</w:t>
            </w:r>
          </w:p>
        </w:tc>
      </w:tr>
      <w:tr w:rsidR="00153E07" w:rsidRPr="00112206" w:rsidTr="00153E07">
        <w:trPr>
          <w:trHeight w:val="959"/>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Надои молока от одной коровы в с/х предприятиях, кг</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3718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3824</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3648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4211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3653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3131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3210</w:t>
            </w:r>
          </w:p>
        </w:tc>
      </w:tr>
    </w:tbl>
    <w:p w:rsidR="00153E07" w:rsidRPr="00153E07" w:rsidRDefault="00153E07" w:rsidP="00822D2E">
      <w:pPr>
        <w:spacing w:after="0" w:line="240" w:lineRule="auto"/>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Наглядным примером данных из таблицы 1.1</w:t>
      </w:r>
      <w:r w:rsidR="00112206">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 служит рисунок 1.</w:t>
      </w:r>
      <w:r w:rsidR="00112206">
        <w:rPr>
          <w:rFonts w:ascii="Times New Roman" w:eastAsia="Times New Roman" w:hAnsi="Times New Roman" w:cs="Times New Roman"/>
          <w:sz w:val="28"/>
          <w:szCs w:val="28"/>
        </w:rPr>
        <w:t>49</w:t>
      </w:r>
      <w:r w:rsidRPr="00153E07">
        <w:rPr>
          <w:rFonts w:ascii="Times New Roman" w:eastAsia="Times New Roman" w:hAnsi="Times New Roman" w:cs="Times New Roman"/>
          <w:sz w:val="28"/>
          <w:szCs w:val="28"/>
        </w:rPr>
        <w:t xml:space="preserve">. Данный рисунок ярко отражает общую ситуацию в России: объемы производства молока производства молочного КРС выше объемов производства мясного КРС.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показал, что за рассматриваемый период времени наблюдается сокращение производства скота и птицы на 15,8%, производство молока на 22,2%, надои молока от одной коровы – на 13,7%. Положительная динамика зафиксирована только по двум показателям - производство яиц – рост на 216%, поголовья КРС на 4,1%</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05475" cy="3276600"/>
            <wp:effectExtent l="19050" t="0" r="9525" b="0"/>
            <wp:docPr id="21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53E07" w:rsidRPr="0070146D" w:rsidRDefault="00153E07" w:rsidP="00822D2E">
      <w:pPr>
        <w:spacing w:after="0" w:line="240" w:lineRule="auto"/>
        <w:jc w:val="both"/>
        <w:rPr>
          <w:rFonts w:ascii="Times New Roman" w:eastAsia="Times New Roman" w:hAnsi="Times New Roman" w:cs="Times New Roman"/>
          <w:b/>
          <w:sz w:val="28"/>
          <w:szCs w:val="28"/>
        </w:rPr>
      </w:pPr>
      <w:r w:rsidRPr="0070146D">
        <w:rPr>
          <w:rFonts w:ascii="Times New Roman" w:eastAsia="Times New Roman" w:hAnsi="Times New Roman" w:cs="Times New Roman"/>
          <w:b/>
          <w:sz w:val="28"/>
          <w:szCs w:val="28"/>
        </w:rPr>
        <w:t>Рисунок 1.</w:t>
      </w:r>
      <w:r w:rsidR="00112206" w:rsidRPr="0070146D">
        <w:rPr>
          <w:rFonts w:ascii="Times New Roman" w:eastAsia="Times New Roman" w:hAnsi="Times New Roman" w:cs="Times New Roman"/>
          <w:b/>
          <w:sz w:val="28"/>
          <w:szCs w:val="28"/>
        </w:rPr>
        <w:t>49</w:t>
      </w:r>
      <w:r w:rsidRPr="0070146D">
        <w:rPr>
          <w:rFonts w:ascii="Times New Roman" w:eastAsia="Times New Roman" w:hAnsi="Times New Roman" w:cs="Times New Roman"/>
          <w:b/>
          <w:sz w:val="28"/>
          <w:szCs w:val="28"/>
        </w:rPr>
        <w:t>. Динамика результатов животноводческой деятельности в Бардымском муниципальном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980ED1"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деятельности предприятий сельского хозяйства в последние годы невысока, значительно сокращается урожайность посевных площадей, производство скота и птицы на убой. Несмотря на то, что часть предприятий вводит новые технологии, тем самым увеличивая КПД и объемы производства с 1 единицы, общая ситуация свидетельствует, что отрасли требуется инвестиционный подъем, ввод новых технологий, обновление фондов, наращивание кадрового потенциала и открытие новых предприятий, способных производить продукцию, удовлетворяющую спрос как внутри района, так и за его пределами.</w:t>
      </w:r>
    </w:p>
    <w:p w:rsidR="00980ED1" w:rsidRDefault="00980ED1" w:rsidP="00822D2E">
      <w:pPr>
        <w:spacing w:after="0" w:line="240" w:lineRule="auto"/>
        <w:ind w:firstLine="709"/>
        <w:jc w:val="both"/>
        <w:rPr>
          <w:rFonts w:ascii="Times New Roman" w:eastAsia="Times New Roman" w:hAnsi="Times New Roman" w:cs="Times New Roman"/>
          <w:sz w:val="28"/>
          <w:szCs w:val="28"/>
        </w:rPr>
      </w:pPr>
    </w:p>
    <w:p w:rsidR="00153E07" w:rsidRPr="00980ED1" w:rsidRDefault="00153E07" w:rsidP="00980ED1">
      <w:pPr>
        <w:spacing w:after="0" w:line="240" w:lineRule="auto"/>
        <w:jc w:val="both"/>
        <w:rPr>
          <w:rFonts w:ascii="Times New Roman" w:eastAsia="Times New Roman" w:hAnsi="Times New Roman" w:cs="Times New Roman"/>
          <w:sz w:val="28"/>
          <w:szCs w:val="28"/>
        </w:rPr>
      </w:pPr>
      <w:r w:rsidRPr="00153E07">
        <w:rPr>
          <w:rFonts w:ascii="Times New Roman" w:eastAsiaTheme="majorEastAsia" w:hAnsi="Times New Roman" w:cs="Times New Roman"/>
          <w:b/>
          <w:bCs/>
          <w:sz w:val="28"/>
          <w:szCs w:val="28"/>
        </w:rPr>
        <w:t>1.2.15 Трудовые показатели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112206">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представлены основные показатели трудовых отношений и занятости Бардымского муниципального района с 01.01.2011</w:t>
      </w:r>
      <w:r w:rsidR="00112206">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по 01.01.2017</w:t>
      </w:r>
      <w:r w:rsidR="00112206">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1.1</w:t>
      </w:r>
      <w:r w:rsidR="00112206">
        <w:rPr>
          <w:rFonts w:ascii="Times New Roman" w:eastAsia="Times New Roman" w:hAnsi="Times New Roman" w:cs="Times New Roman"/>
          <w:sz w:val="28"/>
          <w:szCs w:val="28"/>
        </w:rPr>
        <w:t>1</w:t>
      </w:r>
    </w:p>
    <w:p w:rsidR="00153E07" w:rsidRPr="00112206" w:rsidRDefault="00153E07" w:rsidP="00822D2E">
      <w:pPr>
        <w:spacing w:after="0" w:line="240" w:lineRule="auto"/>
        <w:jc w:val="center"/>
        <w:rPr>
          <w:rFonts w:ascii="Times New Roman" w:eastAsia="Times New Roman" w:hAnsi="Times New Roman" w:cs="Times New Roman"/>
          <w:b/>
          <w:sz w:val="28"/>
          <w:szCs w:val="28"/>
        </w:rPr>
      </w:pPr>
      <w:r w:rsidRPr="00112206">
        <w:rPr>
          <w:rFonts w:ascii="Times New Roman" w:eastAsia="Times New Roman" w:hAnsi="Times New Roman" w:cs="Times New Roman"/>
          <w:b/>
          <w:sz w:val="28"/>
          <w:szCs w:val="28"/>
        </w:rPr>
        <w:t>Основные показатели трудовых отношений и занятости Бардымского муниципального района с 01.</w:t>
      </w:r>
      <w:r w:rsidR="00633809" w:rsidRPr="00112206">
        <w:rPr>
          <w:rFonts w:ascii="Times New Roman" w:eastAsia="Times New Roman" w:hAnsi="Times New Roman" w:cs="Times New Roman"/>
          <w:b/>
          <w:sz w:val="28"/>
          <w:szCs w:val="28"/>
        </w:rPr>
        <w:t xml:space="preserve">01.201 г. по 01.01.2017 </w:t>
      </w:r>
      <w:r w:rsidRPr="00112206">
        <w:rPr>
          <w:rFonts w:ascii="Times New Roman" w:eastAsia="Times New Roman" w:hAnsi="Times New Roman" w:cs="Times New Roman"/>
          <w:b/>
          <w:sz w:val="28"/>
          <w:szCs w:val="28"/>
        </w:rPr>
        <w:t>г.</w:t>
      </w:r>
    </w:p>
    <w:tbl>
      <w:tblPr>
        <w:tblW w:w="5000" w:type="pct"/>
        <w:tblLook w:val="04A0"/>
      </w:tblPr>
      <w:tblGrid>
        <w:gridCol w:w="3115"/>
        <w:gridCol w:w="1001"/>
        <w:gridCol w:w="1003"/>
        <w:gridCol w:w="1004"/>
        <w:gridCol w:w="1004"/>
        <w:gridCol w:w="1004"/>
        <w:gridCol w:w="1004"/>
        <w:gridCol w:w="1002"/>
      </w:tblGrid>
      <w:tr w:rsidR="00153E07" w:rsidRPr="00112206" w:rsidTr="00153E07">
        <w:trPr>
          <w:trHeight w:val="63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Показатель</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2011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2012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2013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2014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2015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2016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2017 г.</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Среднесписочная численность работников организаций в среднегодовом исчислении,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4271</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4028</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3874</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3767</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3546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3338</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3167</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lastRenderedPageBreak/>
              <w:t>Заявленная предприятиями и организациями потребность в работниках,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130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855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644</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726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450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643</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Численность безработных зарегистрированных в государственных службах занятости,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5054</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1650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1250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1080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1105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1185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984</w:t>
            </w:r>
          </w:p>
        </w:tc>
      </w:tr>
      <w:tr w:rsidR="00153E07" w:rsidRPr="00112206" w:rsidTr="00153E07">
        <w:trPr>
          <w:trHeight w:val="315"/>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Уровень зарегистрированной  безработицы, %</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4,7</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4,3</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3,3</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4,3</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3,8</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3,4</w:t>
            </w:r>
          </w:p>
        </w:tc>
      </w:tr>
      <w:tr w:rsidR="00153E07" w:rsidRPr="00112206" w:rsidTr="00153E07">
        <w:trPr>
          <w:trHeight w:val="315"/>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Число безработных на 1 вакантное место,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38,9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14,5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соотношение среднесписочной численности работников организаций и численности безработных, зарегистрированных в ГЦСН (01.01.20111 – 01.01.2017</w:t>
      </w:r>
      <w:r w:rsidR="003506F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представлено на рисунке 1.5</w:t>
      </w:r>
      <w:r w:rsidR="00A32DD4">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2581275"/>
            <wp:effectExtent l="19050" t="0" r="0" b="0"/>
            <wp:docPr id="21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0</w:t>
      </w:r>
      <w:r w:rsidRPr="00A32DD4">
        <w:rPr>
          <w:rFonts w:ascii="Times New Roman" w:eastAsia="Times New Roman" w:hAnsi="Times New Roman" w:cs="Times New Roman"/>
          <w:b/>
          <w:sz w:val="28"/>
          <w:szCs w:val="28"/>
        </w:rPr>
        <w:t>. Соотношение среднесписочной численности работников организаций и численности безработных, зарегистрированных в ГЦСН (01.01.2011 – 01.01.2017</w:t>
      </w:r>
      <w:r w:rsidR="00A32DD4">
        <w:rPr>
          <w:rFonts w:ascii="Times New Roman" w:eastAsia="Times New Roman" w:hAnsi="Times New Roman" w:cs="Times New Roman"/>
          <w:b/>
          <w:sz w:val="28"/>
          <w:szCs w:val="28"/>
        </w:rPr>
        <w:t xml:space="preserve"> </w:t>
      </w:r>
      <w:r w:rsidRPr="00A32DD4">
        <w:rPr>
          <w:rFonts w:ascii="Times New Roman" w:eastAsia="Times New Roman" w:hAnsi="Times New Roman" w:cs="Times New Roman"/>
          <w:b/>
          <w:sz w:val="28"/>
          <w:szCs w:val="28"/>
        </w:rPr>
        <w:t>г.), чел.</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1.5</w:t>
      </w:r>
      <w:r w:rsidR="00A32DD4">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представлена динамика уровня безработицы в Бардымском муниципальном районе на 01.01.2011-01.01.2017</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53100" cy="2419350"/>
            <wp:effectExtent l="0" t="0" r="0" b="0"/>
            <wp:docPr id="217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1</w:t>
      </w:r>
      <w:r w:rsidRPr="00A32DD4">
        <w:rPr>
          <w:rFonts w:ascii="Times New Roman" w:eastAsia="Times New Roman" w:hAnsi="Times New Roman" w:cs="Times New Roman"/>
          <w:b/>
          <w:sz w:val="28"/>
          <w:szCs w:val="28"/>
        </w:rPr>
        <w:t>. Уровень зарегистрированной безработицы в Бардымском муниципальном районе (01.01.2011 – 01.01.2017</w:t>
      </w:r>
      <w:r w:rsidR="00A32DD4">
        <w:rPr>
          <w:rFonts w:ascii="Times New Roman" w:eastAsia="Times New Roman" w:hAnsi="Times New Roman" w:cs="Times New Roman"/>
          <w:b/>
          <w:sz w:val="28"/>
          <w:szCs w:val="28"/>
        </w:rPr>
        <w:t xml:space="preserve"> </w:t>
      </w:r>
      <w:r w:rsidRPr="00A32DD4">
        <w:rPr>
          <w:rFonts w:ascii="Times New Roman" w:eastAsia="Times New Roman" w:hAnsi="Times New Roman" w:cs="Times New Roman"/>
          <w:b/>
          <w:sz w:val="28"/>
          <w:szCs w:val="28"/>
        </w:rPr>
        <w:t>г.),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Уровень зарегистрированной безработицы постепенно снижается с 4,7% на 01.01.2011</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до 3,4% на 01.01.2017</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(рисунок 1.5</w:t>
      </w:r>
      <w:r w:rsidR="00A32DD4">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Данное сокращение происходит благодаря таким факторам как создание новых рабочих мест, а также благодаря эффективной политике Администрации Бардымского муниципального района по развитию и поддержке малого предпринимательства.</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1.5</w:t>
      </w:r>
      <w:r w:rsidR="00A32DD4">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представлена динамика численности безработных на одно вакантное место и заявленная предприятиями и организациями потребность в работниках.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76925" cy="2619375"/>
            <wp:effectExtent l="0" t="0" r="0" b="0"/>
            <wp:docPr id="217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2</w:t>
      </w:r>
      <w:r w:rsidRPr="00A32DD4">
        <w:rPr>
          <w:rFonts w:ascii="Times New Roman" w:eastAsia="Times New Roman" w:hAnsi="Times New Roman" w:cs="Times New Roman"/>
          <w:b/>
          <w:sz w:val="28"/>
          <w:szCs w:val="28"/>
        </w:rPr>
        <w:t>. Динамика численности безработных на одно вакантное место и заявленная предприятиями и организациями потребность в работниках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безработных на одно вакантное место также сократилась за анализируемый период с 38,9 чел. до 1,5 чел. на одно вакантное место. Данная тенденция является положительной и ее причинами выступает как сокращение численности безработных, так и увеличение числа вакантных мест в Бардымском муниципальном районе.</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На рисунке </w:t>
      </w:r>
      <w:r w:rsidR="00A32DD4">
        <w:rPr>
          <w:rFonts w:ascii="Times New Roman" w:eastAsia="Times New Roman" w:hAnsi="Times New Roman" w:cs="Times New Roman"/>
          <w:sz w:val="28"/>
          <w:szCs w:val="28"/>
        </w:rPr>
        <w:t>1.53.</w:t>
      </w:r>
      <w:r w:rsidRPr="00153E07">
        <w:rPr>
          <w:rFonts w:ascii="Times New Roman" w:eastAsia="Times New Roman" w:hAnsi="Times New Roman" w:cs="Times New Roman"/>
          <w:sz w:val="28"/>
          <w:szCs w:val="28"/>
        </w:rPr>
        <w:t xml:space="preserve"> представлено соотношение среднемесячной номинальной начисленной заработной платы работников организаций по видам деятельности к среднемесячной номинальной начисленной заработной платы работников всех организаций и предприятий.</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48350" cy="3028950"/>
            <wp:effectExtent l="0" t="0" r="0" b="0"/>
            <wp:docPr id="21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53E07" w:rsidRPr="00A32DD4" w:rsidRDefault="00A32DD4" w:rsidP="006D2568">
      <w:pPr>
        <w:spacing w:after="0" w:line="240" w:lineRule="auto"/>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1.53</w:t>
      </w:r>
      <w:r w:rsidR="00153E07" w:rsidRPr="00A32DD4">
        <w:rPr>
          <w:rFonts w:ascii="Times New Roman" w:eastAsia="Times New Roman" w:hAnsi="Times New Roman" w:cs="Times New Roman"/>
          <w:b/>
          <w:sz w:val="28"/>
          <w:szCs w:val="28"/>
        </w:rPr>
        <w:t>. Соотношение среднемесячной номинальной начисленной ЗП работников различных сфер деятельности к среднемесячной номинальной начисленной ЗП работников всех организаций и предприятий на 01.01.2017</w:t>
      </w:r>
      <w:r>
        <w:rPr>
          <w:rFonts w:ascii="Times New Roman" w:eastAsia="Times New Roman" w:hAnsi="Times New Roman" w:cs="Times New Roman"/>
          <w:b/>
          <w:sz w:val="28"/>
          <w:szCs w:val="28"/>
        </w:rPr>
        <w:t xml:space="preserve"> </w:t>
      </w:r>
      <w:r w:rsidR="00153E07" w:rsidRPr="00A32DD4">
        <w:rPr>
          <w:rFonts w:ascii="Times New Roman" w:eastAsia="Times New Roman" w:hAnsi="Times New Roman" w:cs="Times New Roman"/>
          <w:b/>
          <w:sz w:val="28"/>
          <w:szCs w:val="28"/>
        </w:rPr>
        <w:t>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Как видно на рисунке </w:t>
      </w:r>
      <w:r w:rsidR="00A32DD4">
        <w:rPr>
          <w:rFonts w:ascii="Times New Roman" w:eastAsia="Times New Roman" w:hAnsi="Times New Roman" w:cs="Times New Roman"/>
          <w:sz w:val="28"/>
          <w:szCs w:val="28"/>
        </w:rPr>
        <w:t>1.53</w:t>
      </w:r>
      <w:r w:rsidRPr="00153E07">
        <w:rPr>
          <w:rFonts w:ascii="Times New Roman" w:eastAsia="Times New Roman" w:hAnsi="Times New Roman" w:cs="Times New Roman"/>
          <w:sz w:val="28"/>
          <w:szCs w:val="28"/>
        </w:rPr>
        <w:t xml:space="preserve">, среднемесячная номинальная начисленная заработная плата работников отдельных видов экономической деятельности превышает среднюю заработную плату по всем организациям в целом в организациях добывающей отрасли (+92%), обрабатывающих предприятиях (+24,2%), организациях производства и распределения электричества, газа, воды (+11,4%).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Ниже среднемесячного уровня номинальной начисленной заработной платы работников всех организаций в целом остаются средние заработные платы работников организаций здравоохранения (85,6%), бюджетной сферы (82,3%), образования (79%), прочих отраслей (59,9%).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Самый низкий уровень среднемесячной заработной платы работников по отношению к средней заработной плате работников всех организаций имеют сельскохозяйственные организации (48,9%).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этом динамика темпов прироста средних заработных плат в разрезе видов экономической деятельности (таблица 1.1</w:t>
      </w:r>
      <w:r w:rsidR="00A32DD4">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имеет положительную тенденцию, однако в сферах здравоохранения, бюджетной сферы, образования, сельского хозяйства, прочих отраслей ситуация до сих пор неутешительная. Аналогичной является ситуация в сфере культуры, так, отношение средней заработной платы работников культуры к средней заработной плате в регионе составляет 63,2%.</w:t>
      </w:r>
    </w:p>
    <w:p w:rsidR="00E444CA" w:rsidRDefault="00E444CA" w:rsidP="006D2568">
      <w:pPr>
        <w:spacing w:after="0" w:line="240" w:lineRule="auto"/>
        <w:ind w:firstLine="709"/>
        <w:jc w:val="right"/>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A32DD4">
        <w:rPr>
          <w:rFonts w:ascii="Times New Roman" w:eastAsia="Times New Roman" w:hAnsi="Times New Roman" w:cs="Times New Roman"/>
          <w:sz w:val="28"/>
          <w:szCs w:val="28"/>
        </w:rPr>
        <w:t>2</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Отклонение среднемесячной номинальной начисленной ЗП работников различных сфер деятельности от среднемесячной номинальной начисленной ЗП работников всех организаций и предприятий, %</w:t>
      </w:r>
    </w:p>
    <w:tbl>
      <w:tblPr>
        <w:tblW w:w="5000" w:type="pct"/>
        <w:tblLook w:val="04A0"/>
      </w:tblPr>
      <w:tblGrid>
        <w:gridCol w:w="3565"/>
        <w:gridCol w:w="938"/>
        <w:gridCol w:w="939"/>
        <w:gridCol w:w="939"/>
        <w:gridCol w:w="939"/>
        <w:gridCol w:w="939"/>
        <w:gridCol w:w="939"/>
        <w:gridCol w:w="939"/>
      </w:tblGrid>
      <w:tr w:rsidR="00153E07" w:rsidRPr="00153E07" w:rsidTr="00153E07">
        <w:trPr>
          <w:trHeight w:val="315"/>
        </w:trPr>
        <w:tc>
          <w:tcPr>
            <w:tcW w:w="1759" w:type="pct"/>
            <w:tcBorders>
              <w:top w:val="single" w:sz="4" w:space="0" w:color="auto"/>
              <w:left w:val="single" w:sz="4" w:space="0" w:color="auto"/>
              <w:bottom w:val="single" w:sz="4" w:space="0" w:color="auto"/>
              <w:right w:val="single" w:sz="4" w:space="0" w:color="auto"/>
            </w:tcBorders>
            <w:shd w:val="clear" w:color="auto" w:fill="auto"/>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Добывающие организации</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91,4</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86,0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88,5</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106,2</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87,9</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91,3</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92,0</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Обрабатывающие организации</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-22,5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41,0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28,1</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24,2</w:t>
            </w:r>
          </w:p>
        </w:tc>
      </w:tr>
      <w:tr w:rsidR="00153E07" w:rsidRPr="00153E07" w:rsidTr="00153E07">
        <w:trPr>
          <w:trHeight w:val="630"/>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производства и распределения электричества, газа, воды</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-19,9</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-13,2</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-10,6</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4,2</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16,1</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14,9</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11,4</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здравоохранения</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-46,0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-48,7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-38,8</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-25,0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-15,3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-14,4</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бюджетной сферы</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-49,5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-47,1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-35,7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-20,7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-15,1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-17,7</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образования</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-53,1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-45,4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-32,5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-91,6</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-16,9</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-18,5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-21,0</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прочих отраслей</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-62,4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-60,4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-56,7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-44,5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-42,3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-38,2</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-40,1</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Сельскохозяйственные организации</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-59,5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-73,5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-73,6</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-55,3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-43,1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-47,0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-51,1</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понимания причин данных отклонений проведен динамический и корреляционный анализ среднемесячной номинальной начисленной заработной платы работников всех отраслей и среднесписочного числа работников предприятий и организаций Бардымского муниципального района (таблица 1.1</w:t>
      </w:r>
      <w:r w:rsidR="00A32DD4">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w:t>
      </w:r>
    </w:p>
    <w:p w:rsidR="00443EEA" w:rsidRDefault="00443EEA" w:rsidP="00633809">
      <w:pPr>
        <w:spacing w:after="0"/>
        <w:ind w:firstLine="709"/>
        <w:jc w:val="right"/>
        <w:rPr>
          <w:rFonts w:ascii="Times New Roman" w:eastAsia="Times New Roman" w:hAnsi="Times New Roman" w:cs="Times New Roman"/>
          <w:sz w:val="28"/>
          <w:szCs w:val="28"/>
        </w:r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1.1</w:t>
      </w:r>
      <w:r w:rsidR="00A32DD4">
        <w:rPr>
          <w:rFonts w:ascii="Times New Roman" w:eastAsia="Times New Roman" w:hAnsi="Times New Roman" w:cs="Times New Roman"/>
          <w:sz w:val="28"/>
          <w:szCs w:val="28"/>
        </w:rPr>
        <w:t>3</w:t>
      </w:r>
    </w:p>
    <w:p w:rsidR="00153E07" w:rsidRPr="00633809" w:rsidRDefault="00153E07" w:rsidP="00633809">
      <w:pPr>
        <w:spacing w:after="0"/>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Динамика среднесписочного числа работников предприятий и организаций, среднемесячной номинальной начисленной заработной платы работников всех отраслей и среднего фонда заработной платы в Бардымском муниципальном районе в 01.01.2011 – 01.01.2017</w:t>
      </w:r>
      <w:r w:rsidR="00A32DD4">
        <w:rPr>
          <w:rFonts w:ascii="Times New Roman" w:eastAsia="Times New Roman" w:hAnsi="Times New Roman" w:cs="Times New Roman"/>
          <w:b/>
          <w:sz w:val="28"/>
          <w:szCs w:val="28"/>
        </w:rPr>
        <w:t xml:space="preserve"> </w:t>
      </w:r>
      <w:r w:rsidRPr="00633809">
        <w:rPr>
          <w:rFonts w:ascii="Times New Roman" w:eastAsia="Times New Roman" w:hAnsi="Times New Roman" w:cs="Times New Roman"/>
          <w:b/>
          <w:sz w:val="28"/>
          <w:szCs w:val="28"/>
        </w:rPr>
        <w:t>гг.</w:t>
      </w:r>
    </w:p>
    <w:tbl>
      <w:tblPr>
        <w:tblW w:w="5000" w:type="pct"/>
        <w:tblLayout w:type="fixed"/>
        <w:tblLook w:val="04A0"/>
      </w:tblPr>
      <w:tblGrid>
        <w:gridCol w:w="2286"/>
        <w:gridCol w:w="1122"/>
        <w:gridCol w:w="1122"/>
        <w:gridCol w:w="1122"/>
        <w:gridCol w:w="1122"/>
        <w:gridCol w:w="1121"/>
        <w:gridCol w:w="1121"/>
        <w:gridCol w:w="1121"/>
      </w:tblGrid>
      <w:tr w:rsidR="00153E07" w:rsidRPr="00153E07" w:rsidTr="00153E07">
        <w:trPr>
          <w:trHeight w:val="315"/>
        </w:trPr>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 2015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630"/>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Среднесписочное число работников предприятий и организаций, чел.</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4 271</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4 028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3 874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3 767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3 546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3 338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3 167</w:t>
            </w:r>
          </w:p>
        </w:tc>
      </w:tr>
      <w:tr w:rsidR="00153E07" w:rsidRPr="00153E07" w:rsidTr="00153E07">
        <w:trPr>
          <w:trHeight w:val="94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Среднемесячная номинальная начисленная ЗП работников предприятий и организаций, рублей</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16 850,0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17 956,0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18 400,0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19 038,9</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21 290,3</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23 006,1</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25 060,2</w:t>
            </w:r>
          </w:p>
        </w:tc>
      </w:tr>
      <w:tr w:rsidR="00153E07" w:rsidRPr="00153E07" w:rsidTr="00153E07">
        <w:trPr>
          <w:trHeight w:val="94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Средний фонд заработной платы работников предприятий и организаций, тыс.руб.</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71 966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72 327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71 282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71 720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75 495</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76 794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79 366</w:t>
            </w:r>
          </w:p>
        </w:tc>
      </w:tr>
      <w:tr w:rsidR="00153E07" w:rsidRPr="00153E07" w:rsidTr="00153E07">
        <w:trPr>
          <w:trHeight w:val="31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lastRenderedPageBreak/>
              <w:t>Динамика с/с числа работников, %</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0,95</w:t>
            </w:r>
          </w:p>
        </w:tc>
      </w:tr>
      <w:tr w:rsidR="00153E07" w:rsidRPr="00153E07" w:rsidTr="00153E07">
        <w:trPr>
          <w:trHeight w:val="630"/>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Динамика средней номинальной начисленной ЗП, %</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1,03</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1,09</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Абсолютные показатели характеризуют сокращение среднесписочной численности работников предприятий и организаций в Бардымском муниципальном районе в течение анализируемого периода с 4271 человека до 3167 человек и увеличение среднемесячной номинальной начисленной заработной платы работников всех отраслей с 16850 руб. до 25060,2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Коэффициент корреляции Пирсона, рассчитанный на основе динамик темпов роста среднемесячной номинальной начисленной заработной платы работников всех отраслей и среднесписочного числа работников предприятий и организаций показал высокий уровень обратной взаимосвязи: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0,807</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т.е. сокращение численности персонала ведет к увеличению средней величины заработной платы работников. Таким образом, не имея финансовой возможности для увеличения оплаты труда всех сотрудников, менеджмент организаций проводит политику оптимизации фонда оплаты труда и перераспределения финансовых ресурсов.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Обратную взаимосвязь данных показателей наглядно видно на рисунке 1.5</w:t>
      </w:r>
      <w:r w:rsidR="00BC765E">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w:t>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object w:dxaOrig="11337" w:dyaOrig="8014">
          <v:shape id="_x0000_i1026" type="#_x0000_t75" style="width:485.55pt;height:312.75pt" o:ole="">
            <v:imagedata r:id="rId62" o:title=""/>
          </v:shape>
          <o:OLEObject Type="Embed" ProgID="Excel.Sheet.12" ShapeID="_x0000_i1026" DrawAspect="Content" ObjectID="_1589718552" r:id="rId63"/>
        </w:object>
      </w:r>
      <w:r w:rsidRPr="00BC765E">
        <w:rPr>
          <w:rFonts w:ascii="Times New Roman" w:eastAsia="Times New Roman" w:hAnsi="Times New Roman" w:cs="Times New Roman"/>
          <w:b/>
          <w:sz w:val="28"/>
          <w:szCs w:val="28"/>
        </w:rPr>
        <w:t>Рисунок 1.5</w:t>
      </w:r>
      <w:r w:rsidR="00BC765E" w:rsidRPr="00BC765E">
        <w:rPr>
          <w:rFonts w:ascii="Times New Roman" w:eastAsia="Times New Roman" w:hAnsi="Times New Roman" w:cs="Times New Roman"/>
          <w:b/>
          <w:sz w:val="28"/>
          <w:szCs w:val="28"/>
        </w:rPr>
        <w:t>4</w:t>
      </w:r>
      <w:r w:rsidRPr="00BC765E">
        <w:rPr>
          <w:rFonts w:ascii="Times New Roman" w:eastAsia="Times New Roman" w:hAnsi="Times New Roman" w:cs="Times New Roman"/>
          <w:b/>
          <w:sz w:val="28"/>
          <w:szCs w:val="28"/>
        </w:rPr>
        <w:t>. Сравнение динамики среднесписочного числа работников предприятий и организаций с динамикой средней номинальной начисленной заработной платой работников всех отраслей Бардымского муниципального района в 01.01.2011 – 01.01.2017</w:t>
      </w:r>
      <w:r w:rsidR="00BC765E" w:rsidRP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w:t>
      </w:r>
    </w:p>
    <w:p w:rsidR="00980ED1" w:rsidRDefault="00980ED1" w:rsidP="006D2568">
      <w:pPr>
        <w:spacing w:after="0" w:line="240" w:lineRule="auto"/>
        <w:ind w:firstLine="709"/>
        <w:jc w:val="both"/>
        <w:rPr>
          <w:rFonts w:ascii="Times New Roman" w:eastAsia="Times New Roman" w:hAnsi="Times New Roman" w:cs="Times New Roman"/>
          <w:b/>
          <w:sz w:val="28"/>
          <w:szCs w:val="28"/>
        </w:rPr>
      </w:pPr>
    </w:p>
    <w:p w:rsidR="00153E07" w:rsidRPr="00153E07" w:rsidRDefault="00153E07" w:rsidP="00980ED1">
      <w:pPr>
        <w:spacing w:after="0" w:line="240" w:lineRule="auto"/>
        <w:jc w:val="both"/>
        <w:rPr>
          <w:rFonts w:ascii="Times New Roman" w:eastAsiaTheme="majorEastAsia" w:hAnsi="Times New Roman" w:cs="Times New Roman"/>
          <w:b/>
          <w:bCs/>
          <w:sz w:val="28"/>
          <w:szCs w:val="28"/>
        </w:rPr>
      </w:pPr>
      <w:r w:rsidRPr="00153E07">
        <w:rPr>
          <w:rFonts w:ascii="Times New Roman" w:eastAsiaTheme="majorEastAsia" w:hAnsi="Times New Roman" w:cs="Times New Roman"/>
          <w:b/>
          <w:bCs/>
          <w:sz w:val="28"/>
          <w:szCs w:val="28"/>
        </w:rPr>
        <w:lastRenderedPageBreak/>
        <w:t xml:space="preserve">1.2.16 Бюджет Бардымского муниципального района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BC765E">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представлены данные о доходах бюджета Бардымского муниципального района в 2011-2016 гг.</w:t>
      </w:r>
    </w:p>
    <w:p w:rsidR="00153E07" w:rsidRPr="00153E07" w:rsidRDefault="00BC765E" w:rsidP="006D256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1.14</w:t>
      </w:r>
    </w:p>
    <w:p w:rsid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 xml:space="preserve">Доходы бюджета Бардымского муниципального района </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в 2011-2016 гг., тыс.руб.</w:t>
      </w:r>
    </w:p>
    <w:tbl>
      <w:tblPr>
        <w:tblW w:w="5000" w:type="pct"/>
        <w:tblLook w:val="04A0"/>
      </w:tblPr>
      <w:tblGrid>
        <w:gridCol w:w="3753"/>
        <w:gridCol w:w="1064"/>
        <w:gridCol w:w="1064"/>
        <w:gridCol w:w="1064"/>
        <w:gridCol w:w="1064"/>
        <w:gridCol w:w="1064"/>
        <w:gridCol w:w="1064"/>
      </w:tblGrid>
      <w:tr w:rsidR="00153E07" w:rsidRPr="00153E07" w:rsidTr="00153E07">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Вид дохода</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Налоговые доходы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100 080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84 738</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120 345</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111 023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115 624</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130 142</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Неналоговые доходы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33 523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36 190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42 440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63 364</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46 750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53 890</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Межбюджетные трансферты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547 854</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754 246</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743 980</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621 087</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576 752</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560 684</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безвозмездные поступления</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19 198</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21 543</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20678</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7 453</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2 956</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23 397</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700 655</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896 717</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927 443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802 927</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742 082</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768 113</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Доходы бюджета Бардымского муниципального района в течение анализируемого периода времени сократились в результате уменьшения суммы межбюджетных трансфертов. В то же время имеет место рост налоговых и неналоговых поступлений </w:t>
      </w:r>
      <w:r w:rsidR="00BC765E">
        <w:rPr>
          <w:rFonts w:ascii="Times New Roman" w:eastAsia="Times New Roman" w:hAnsi="Times New Roman" w:cs="Times New Roman"/>
          <w:sz w:val="28"/>
          <w:szCs w:val="28"/>
        </w:rPr>
        <w:t>в доход бюджета. На рисунке 1.55</w:t>
      </w:r>
      <w:r w:rsidRPr="00153E07">
        <w:rPr>
          <w:rFonts w:ascii="Times New Roman" w:eastAsia="Times New Roman" w:hAnsi="Times New Roman" w:cs="Times New Roman"/>
          <w:sz w:val="28"/>
          <w:szCs w:val="28"/>
        </w:rPr>
        <w:t xml:space="preserve"> представлена структура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91200" cy="2857500"/>
            <wp:effectExtent l="19050" t="0" r="0" b="0"/>
            <wp:docPr id="21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1.55</w:t>
      </w:r>
      <w:r w:rsidR="00153E07" w:rsidRPr="00BC765E">
        <w:rPr>
          <w:rFonts w:ascii="Times New Roman" w:eastAsia="Times New Roman" w:hAnsi="Times New Roman" w:cs="Times New Roman"/>
          <w:b/>
          <w:sz w:val="28"/>
          <w:szCs w:val="28"/>
        </w:rPr>
        <w:t>. Структура доходов бюджета Бардымского муниципального района в 2011-2016гг.,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структуре доходов бюджета в течение анализируемого периода времени преобладают межбюджетные трансферты, занимающие в среднем 80% в общей сумме доходов бюджета. Их доля незначительно снизилась к 2016 году до 73% благодаря увеличению доли налоговых и неналоговых доходов. Т.е. бюджет Бардымского муниципального района является высокодотационным.</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на рисунке 1.</w:t>
      </w:r>
      <w:r w:rsidR="00BC765E">
        <w:rPr>
          <w:rFonts w:ascii="Times New Roman" w:eastAsia="Times New Roman" w:hAnsi="Times New Roman" w:cs="Times New Roman"/>
          <w:sz w:val="28"/>
          <w:szCs w:val="28"/>
        </w:rPr>
        <w:t>56</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38875" cy="3382645"/>
            <wp:effectExtent l="19050" t="0" r="9525" b="8255"/>
            <wp:docPr id="218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56</w:t>
      </w:r>
      <w:r w:rsidRPr="00BC765E">
        <w:rPr>
          <w:rFonts w:ascii="Times New Roman" w:eastAsia="Times New Roman" w:hAnsi="Times New Roman" w:cs="Times New Roman"/>
          <w:b/>
          <w:sz w:val="28"/>
          <w:szCs w:val="28"/>
        </w:rPr>
        <w:t>. Динамика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гг., тыс.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BC765E">
        <w:rPr>
          <w:rFonts w:ascii="Times New Roman" w:eastAsia="Times New Roman" w:hAnsi="Times New Roman" w:cs="Times New Roman"/>
          <w:sz w:val="28"/>
          <w:szCs w:val="28"/>
        </w:rPr>
        <w:t>5</w:t>
      </w:r>
      <w:r w:rsidRPr="00153E07">
        <w:rPr>
          <w:rFonts w:ascii="Times New Roman" w:eastAsia="Times New Roman" w:hAnsi="Times New Roman" w:cs="Times New Roman"/>
          <w:sz w:val="28"/>
          <w:szCs w:val="28"/>
        </w:rPr>
        <w:t xml:space="preserve"> рассмотрим состав налоговых доходов бюджета Бардымского муниципального района в 2011-2016 гг.</w:t>
      </w:r>
    </w:p>
    <w:p w:rsidR="00443EEA" w:rsidRDefault="00443EEA" w:rsidP="006D2568">
      <w:pPr>
        <w:spacing w:after="0" w:line="240" w:lineRule="auto"/>
        <w:ind w:firstLine="709"/>
        <w:jc w:val="right"/>
        <w:rPr>
          <w:rFonts w:ascii="Times New Roman" w:eastAsia="Times New Roman" w:hAnsi="Times New Roman" w:cs="Times New Roman"/>
          <w:sz w:val="28"/>
          <w:szCs w:val="28"/>
        </w:rPr>
      </w:pP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1.15</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налоговых доходов бюджета Бардымского муниципального района в 2011-2016гг., %</w:t>
      </w:r>
    </w:p>
    <w:tbl>
      <w:tblPr>
        <w:tblW w:w="9928" w:type="dxa"/>
        <w:tblInd w:w="103" w:type="dxa"/>
        <w:tblLook w:val="04A0"/>
      </w:tblPr>
      <w:tblGrid>
        <w:gridCol w:w="2840"/>
        <w:gridCol w:w="1222"/>
        <w:gridCol w:w="1276"/>
        <w:gridCol w:w="1134"/>
        <w:gridCol w:w="1134"/>
        <w:gridCol w:w="1134"/>
        <w:gridCol w:w="1188"/>
      </w:tblGrid>
      <w:tr w:rsidR="00153E07" w:rsidRPr="00D922B3" w:rsidTr="00BC7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Наименование налога</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Акцизы</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10,4%</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12,9%</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Госпошлина</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2,8%</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ЕНВД</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6,4%</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8,7%</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ЕСХН</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Земельный налог</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2,8%</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8,4%</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 на имущество организаций</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26,5%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 на имущество физических лиц</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4,5%</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3,6%</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НДФЛ</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49,5%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65,2%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49,1%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46,9%</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48,6%</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Патент</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0,03%</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местные налоги</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Транспортный налог</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9,7%</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22,3%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17,7%</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структуре налоговых доходов бюджета Бардымского района преобладает налог на доходы физических лиц. Благодаря НДФЛ бюджет района пополняется почти наполовину. Почти пятую часть налоговых доходов муниципального бюджета составляет транспортный налог. В течение анализируемого периода времени увеличилась и в последние 3 года практически не меняется доля </w:t>
      </w:r>
      <w:r w:rsidRPr="00153E07">
        <w:rPr>
          <w:rFonts w:ascii="Times New Roman" w:eastAsia="Times New Roman" w:hAnsi="Times New Roman" w:cs="Times New Roman"/>
          <w:sz w:val="28"/>
          <w:szCs w:val="28"/>
        </w:rPr>
        <w:lastRenderedPageBreak/>
        <w:t xml:space="preserve">земельного налога (8,4% - 8,1%). Доля налога на имущество физических лиц также относительно неизменна (4,2%).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Изменения в структуре налоговых доходов бюджета коснулись налога на имущество организаций. Начиная с 2012 года, данный налог зачисляется в региональный бюджет в объеме 100%.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2014 года в бюджет муниципального района зачисляются акцизные платежи. В 2016 году доля акцизов в налоговых доходах бюджета Бардымского района составляет 12,9%.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на рисунке 1.</w:t>
      </w:r>
      <w:r w:rsidR="00BC765E">
        <w:rPr>
          <w:rFonts w:ascii="Times New Roman" w:eastAsia="Times New Roman" w:hAnsi="Times New Roman" w:cs="Times New Roman"/>
          <w:sz w:val="28"/>
          <w:szCs w:val="28"/>
        </w:rPr>
        <w:t>57</w:t>
      </w:r>
      <w:r w:rsidRPr="00153E07">
        <w:rPr>
          <w:rFonts w:ascii="Times New Roman" w:eastAsia="Times New Roman" w:hAnsi="Times New Roman" w:cs="Times New Roman"/>
          <w:sz w:val="28"/>
          <w:szCs w:val="28"/>
        </w:rPr>
        <w:t xml:space="preserve">.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67400" cy="2838450"/>
            <wp:effectExtent l="19050" t="0" r="0" b="0"/>
            <wp:docPr id="21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57</w:t>
      </w:r>
      <w:r w:rsidRPr="00BC765E">
        <w:rPr>
          <w:rFonts w:ascii="Times New Roman" w:eastAsia="Times New Roman" w:hAnsi="Times New Roman" w:cs="Times New Roman"/>
          <w:b/>
          <w:sz w:val="28"/>
          <w:szCs w:val="28"/>
        </w:rPr>
        <w:t>. Динамика налоговых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Структура неналоговых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в таблице 1.1</w:t>
      </w:r>
      <w:r w:rsidR="00BC765E">
        <w:rPr>
          <w:rFonts w:ascii="Times New Roman" w:eastAsia="Times New Roman" w:hAnsi="Times New Roman" w:cs="Times New Roman"/>
          <w:sz w:val="28"/>
          <w:szCs w:val="28"/>
        </w:rPr>
        <w:t>6</w:t>
      </w:r>
      <w:r w:rsidRPr="00153E07">
        <w:rPr>
          <w:rFonts w:ascii="Times New Roman" w:eastAsia="Times New Roman" w:hAnsi="Times New Roman" w:cs="Times New Roman"/>
          <w:sz w:val="28"/>
          <w:szCs w:val="28"/>
        </w:rPr>
        <w:t>.</w:t>
      </w: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1.16</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неналоговых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633809">
        <w:rPr>
          <w:rFonts w:ascii="Times New Roman" w:eastAsia="Times New Roman" w:hAnsi="Times New Roman" w:cs="Times New Roman"/>
          <w:b/>
          <w:sz w:val="28"/>
          <w:szCs w:val="28"/>
        </w:rPr>
        <w:t>гг., %</w:t>
      </w:r>
    </w:p>
    <w:tbl>
      <w:tblPr>
        <w:tblW w:w="5000" w:type="pct"/>
        <w:tblLook w:val="04A0"/>
      </w:tblPr>
      <w:tblGrid>
        <w:gridCol w:w="3579"/>
        <w:gridCol w:w="1093"/>
        <w:gridCol w:w="1093"/>
        <w:gridCol w:w="1093"/>
        <w:gridCol w:w="1093"/>
        <w:gridCol w:w="1093"/>
        <w:gridCol w:w="1093"/>
      </w:tblGrid>
      <w:tr w:rsidR="00153E07" w:rsidRPr="00153E07" w:rsidTr="00153E07">
        <w:trPr>
          <w:trHeight w:val="300"/>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Вид дохода</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2011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2012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2013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2014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2015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2016 год</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Аренда земли</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86,0%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85,4%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84,1%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59,6%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83,4%</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Аренда имущества</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Доходы от продажи земли</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1,5%</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5,2%</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Компенсация затрат</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Невыясненные</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Плата за негативное воздействие</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Продажа имущества</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29,2%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Прочие неналоговые доходы</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Средства самообложения</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0,6%</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Часть прибыли МУП</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Штрафы</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неналоговых доходов бюджета Бардымского муниципального района преобладают платежи за аренду земли, которые составляют более 80%.</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Снижение данного показателя наблюдается в 2014 году в связи с окончанием и вводом новых муниципальных программ, и как следствие, приоритетами, определяемыми в данных программах. В 2015 году начала действие муниципальная программа Бардымского района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Управление имуществом и земельными ресурсами Бардымского муниципального района Пермского края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утвержденная постановлением Администрации Бардымского муниципального района от 23.10.2014 №795. Первым этапом программы стало проведение инвентаризации земель муниципального района, в результате чего были выявлены правонарушения в части использования муниципального имущества и земельных ресурсов, а также отсутствие точных границ некоторых земельных участков.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составе неналоговых доходов муниципального района также увеличивается доля доходов от продажи земли (5,2% в 2016г.).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неналоговыми доходами Бардымского муниципального района преимущественно являются доходы от управления имуществом и земельными ресурсами.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неналоговых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гг. представлена на рисунке 1.58</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0250" cy="3390900"/>
            <wp:effectExtent l="19050" t="0" r="0" b="0"/>
            <wp:docPr id="21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1.58</w:t>
      </w:r>
      <w:r w:rsidR="00153E07" w:rsidRPr="00BC765E">
        <w:rPr>
          <w:rFonts w:ascii="Times New Roman" w:eastAsia="Times New Roman" w:hAnsi="Times New Roman" w:cs="Times New Roman"/>
          <w:b/>
          <w:sz w:val="28"/>
          <w:szCs w:val="28"/>
        </w:rPr>
        <w:t>. Динамика неналоговых доходов бюджета Бардымского муниципального района в 2011-2016</w:t>
      </w:r>
      <w:r w:rsidRPr="00BC765E">
        <w:rPr>
          <w:rFonts w:ascii="Times New Roman" w:eastAsia="Times New Roman" w:hAnsi="Times New Roman" w:cs="Times New Roman"/>
          <w:b/>
          <w:sz w:val="28"/>
          <w:szCs w:val="28"/>
        </w:rPr>
        <w:t xml:space="preserve"> </w:t>
      </w:r>
      <w:r w:rsidR="00153E07" w:rsidRPr="00BC765E">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Межбюджетные трансферты бюджета Бардымского муниципального района имеют в своем составе дотации, субсидии и субвенции, среди которых преобладают субвенции (62,5</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на конец 2016 г.). Дотации в структуре межбюджетных трансфертов составляют 31,0</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 субсидии – 6,8% </w:t>
      </w:r>
      <w:r w:rsidR="00BC765E">
        <w:rPr>
          <w:rFonts w:ascii="Times New Roman" w:eastAsia="Times New Roman" w:hAnsi="Times New Roman" w:cs="Times New Roman"/>
          <w:sz w:val="28"/>
          <w:szCs w:val="28"/>
        </w:rPr>
        <w:t>на конец 2016 года (таблица 1.17</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1.17</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межбюджетных трансфертов бюджета Бардымского муниципального района в 2011-2016гг.</w:t>
      </w:r>
    </w:p>
    <w:tbl>
      <w:tblPr>
        <w:tblW w:w="5000" w:type="pct"/>
        <w:tblLook w:val="04A0"/>
      </w:tblPr>
      <w:tblGrid>
        <w:gridCol w:w="3241"/>
        <w:gridCol w:w="1148"/>
        <w:gridCol w:w="1150"/>
        <w:gridCol w:w="1150"/>
        <w:gridCol w:w="1150"/>
        <w:gridCol w:w="1150"/>
        <w:gridCol w:w="1148"/>
      </w:tblGrid>
      <w:tr w:rsidR="00153E07" w:rsidRPr="00153E07" w:rsidTr="00153E07">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Вид трансферта</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дотации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lang w:val="en-US"/>
              </w:rPr>
            </w:pPr>
            <w:r w:rsidRPr="00BC765E">
              <w:rPr>
                <w:rFonts w:ascii="Times New Roman" w:eastAsia="Times New Roman" w:hAnsi="Times New Roman" w:cs="Times New Roman"/>
                <w:color w:val="000000"/>
                <w:sz w:val="24"/>
                <w:szCs w:val="28"/>
              </w:rPr>
              <w:t>38,7%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30,2%</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31,1%</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35,0%</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31,1%</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31,0%</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субвенции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47,8%</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47,4%</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54,7%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56,5%</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60,4%</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62,5%</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субсидии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7,8%</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7,9%</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8,6%</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6,8%</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доходы от возврата</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трансферты</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7,1%</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10,5%</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возврат остатков</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-0,5%</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-0,4%</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w:t>
      </w:r>
      <w:r w:rsidR="00BC765E">
        <w:rPr>
          <w:rFonts w:ascii="Times New Roman" w:eastAsia="Times New Roman" w:hAnsi="Times New Roman" w:cs="Times New Roman"/>
          <w:sz w:val="28"/>
          <w:szCs w:val="28"/>
        </w:rPr>
        <w:t>59</w:t>
      </w:r>
      <w:r w:rsidRPr="00153E07">
        <w:rPr>
          <w:rFonts w:ascii="Times New Roman" w:eastAsia="Times New Roman" w:hAnsi="Times New Roman" w:cs="Times New Roman"/>
          <w:sz w:val="28"/>
          <w:szCs w:val="28"/>
        </w:rPr>
        <w:t xml:space="preserve"> представлена динамика межбюджетных трансфертов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15075" cy="3228975"/>
            <wp:effectExtent l="19050" t="0" r="0" b="0"/>
            <wp:docPr id="21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53E07" w:rsidRPr="006D2568" w:rsidRDefault="00153E07" w:rsidP="006D2568">
      <w:pPr>
        <w:spacing w:after="0" w:line="240" w:lineRule="auto"/>
        <w:jc w:val="both"/>
        <w:rPr>
          <w:rFonts w:ascii="Times New Roman" w:eastAsia="Times New Roman" w:hAnsi="Times New Roman" w:cs="Times New Roman"/>
          <w:b/>
          <w:sz w:val="28"/>
          <w:szCs w:val="28"/>
        </w:rPr>
      </w:pPr>
      <w:r w:rsidRPr="006D2568">
        <w:rPr>
          <w:rFonts w:ascii="Times New Roman" w:eastAsia="Times New Roman" w:hAnsi="Times New Roman" w:cs="Times New Roman"/>
          <w:b/>
          <w:sz w:val="28"/>
          <w:szCs w:val="28"/>
        </w:rPr>
        <w:t>Рисунок 1.</w:t>
      </w:r>
      <w:r w:rsidR="00BC765E" w:rsidRPr="006D2568">
        <w:rPr>
          <w:rFonts w:ascii="Times New Roman" w:eastAsia="Times New Roman" w:hAnsi="Times New Roman" w:cs="Times New Roman"/>
          <w:b/>
          <w:sz w:val="28"/>
          <w:szCs w:val="28"/>
        </w:rPr>
        <w:t>59</w:t>
      </w:r>
      <w:r w:rsidRPr="006D2568">
        <w:rPr>
          <w:rFonts w:ascii="Times New Roman" w:eastAsia="Times New Roman" w:hAnsi="Times New Roman" w:cs="Times New Roman"/>
          <w:b/>
          <w:sz w:val="28"/>
          <w:szCs w:val="28"/>
        </w:rPr>
        <w:t>. Динамика межбюджетных трансфертов бюджета Бардымского муниципального района в 2011-2016</w:t>
      </w:r>
      <w:r w:rsidR="00BC765E" w:rsidRPr="006D2568">
        <w:rPr>
          <w:rFonts w:ascii="Times New Roman" w:eastAsia="Times New Roman" w:hAnsi="Times New Roman" w:cs="Times New Roman"/>
          <w:b/>
          <w:sz w:val="28"/>
          <w:szCs w:val="28"/>
        </w:rPr>
        <w:t xml:space="preserve"> </w:t>
      </w:r>
      <w:r w:rsidRPr="006D2568">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динамике видно, что имеет место рост субвенций, сокращение дотаций и субсидий в течение анализируемого периода времени, что связано с приоритетными целями и задачами муниципальных программ Бардымского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Далее представлен анализ расходов бюджета Бардымского муниципального района в 2011-2016 гг. (Таблица 1.1</w:t>
      </w:r>
      <w:r w:rsidR="00BC765E">
        <w:rPr>
          <w:rFonts w:ascii="Times New Roman" w:eastAsia="Times New Roman" w:hAnsi="Times New Roman" w:cs="Times New Roman"/>
          <w:sz w:val="28"/>
          <w:szCs w:val="28"/>
        </w:rPr>
        <w:t>8</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w:t>
      </w:r>
      <w:r w:rsidR="00BC765E">
        <w:rPr>
          <w:rFonts w:ascii="Times New Roman" w:eastAsia="Times New Roman" w:hAnsi="Times New Roman" w:cs="Times New Roman"/>
          <w:sz w:val="28"/>
          <w:szCs w:val="28"/>
        </w:rPr>
        <w:t>60</w:t>
      </w:r>
      <w:r w:rsidRPr="00153E07">
        <w:rPr>
          <w:rFonts w:ascii="Times New Roman" w:eastAsia="Times New Roman" w:hAnsi="Times New Roman" w:cs="Times New Roman"/>
          <w:sz w:val="28"/>
          <w:szCs w:val="28"/>
        </w:rPr>
        <w:t xml:space="preserve"> представлена структура фактических расходов бюджета Бардымского муниципального района в 2011-2016 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09665" cy="7279574"/>
            <wp:effectExtent l="0" t="0" r="635" b="0"/>
            <wp:docPr id="218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0</w:t>
      </w:r>
      <w:r w:rsidRPr="00BC765E">
        <w:rPr>
          <w:rFonts w:ascii="Times New Roman" w:eastAsia="Times New Roman" w:hAnsi="Times New Roman" w:cs="Times New Roman"/>
          <w:b/>
          <w:sz w:val="28"/>
          <w:szCs w:val="28"/>
        </w:rPr>
        <w:t>. Структура фактических расходов бюджета Бардымского муниципального района в 2011-2016 гг., %</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sectPr w:rsidR="00153E07" w:rsidRPr="00153E07" w:rsidSect="00C05E12">
          <w:footerReference w:type="default" r:id="rId70"/>
          <w:pgSz w:w="11906" w:h="16838"/>
          <w:pgMar w:top="1134" w:right="567" w:bottom="1134" w:left="1418" w:header="709" w:footer="709" w:gutter="0"/>
          <w:pgNumType w:start="1"/>
          <w:cols w:space="708"/>
          <w:titlePg/>
          <w:docGrid w:linePitch="360"/>
        </w:sect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BC765E">
        <w:rPr>
          <w:rFonts w:ascii="Times New Roman" w:eastAsia="Times New Roman" w:hAnsi="Times New Roman" w:cs="Times New Roman"/>
          <w:sz w:val="28"/>
          <w:szCs w:val="28"/>
        </w:rPr>
        <w:t>8</w:t>
      </w:r>
    </w:p>
    <w:p w:rsidR="00153E07" w:rsidRPr="00633809" w:rsidRDefault="00153E07" w:rsidP="00633809">
      <w:pPr>
        <w:spacing w:after="0"/>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Расходы бюджета Бардымского муниципального района в 2011-2016 гг., тыс. руб.</w:t>
      </w:r>
    </w:p>
    <w:tbl>
      <w:tblPr>
        <w:tblW w:w="5000" w:type="pct"/>
        <w:tblLayout w:type="fixed"/>
        <w:tblLook w:val="04A0"/>
      </w:tblPr>
      <w:tblGrid>
        <w:gridCol w:w="2518"/>
        <w:gridCol w:w="1024"/>
        <w:gridCol w:w="1023"/>
        <w:gridCol w:w="1023"/>
        <w:gridCol w:w="1023"/>
        <w:gridCol w:w="1023"/>
        <w:gridCol w:w="1023"/>
        <w:gridCol w:w="1023"/>
        <w:gridCol w:w="1023"/>
        <w:gridCol w:w="1023"/>
        <w:gridCol w:w="1023"/>
        <w:gridCol w:w="1023"/>
        <w:gridCol w:w="1014"/>
      </w:tblGrid>
      <w:tr w:rsidR="00153E07" w:rsidRPr="00153E07" w:rsidTr="00153E07">
        <w:trPr>
          <w:trHeight w:val="300"/>
        </w:trPr>
        <w:tc>
          <w:tcPr>
            <w:tcW w:w="85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Статьи расходов</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2011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2012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2013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2014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2015 год</w:t>
            </w:r>
          </w:p>
        </w:tc>
        <w:tc>
          <w:tcPr>
            <w:tcW w:w="689"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2016 год</w:t>
            </w:r>
          </w:p>
        </w:tc>
      </w:tr>
      <w:tr w:rsidR="00153E07" w:rsidRPr="00153E07" w:rsidTr="00153E07">
        <w:trPr>
          <w:trHeight w:val="300"/>
        </w:trPr>
        <w:tc>
          <w:tcPr>
            <w:tcW w:w="851"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Жилищно-коммунальное хозяйство</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41286,7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13559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63179,3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44184,9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50654,7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37951,1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43731,5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39716,1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24007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22674,1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27650,5</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15003,3</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Здравоохранение</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31646,4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27316,2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38025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36145,9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28604,2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25921,8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Культура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8159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8133,4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26223,1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19547,7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20267,5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19598,3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18533,4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18289,5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16602,8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16511,9</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16502,9</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Межбюджетные трансферты</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54069,2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54069,2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80598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80598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100899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100899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67090,2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67090,2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53751,4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53751,4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52480,4</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52446,2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Национальная экономика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42700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40034,7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80814,8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62943,1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79461,6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73121,5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73895,7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60846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66562,6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57057,6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55492</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53196,2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Образование</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293065,2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286732,2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368269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366762,5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413770,7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412405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432789,1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427253,2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409907,4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404107,4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423533,1</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420275,2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Общегосударственные вопросы</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68196,2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34555,6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43095,4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39042,3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71748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54405,6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46605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44707,4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49587,5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48772,1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46427</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44905</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Социальная полит.</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157709,3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106744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207296,1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182034,9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172551,8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154988,7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51642,8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37381,3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46603,2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45010,2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50860</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50555,6</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Спорт и физ.культура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59972,6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20701,2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47622,4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29654,7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36830,1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28695,8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24482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15688,4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17873,9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12449,7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29092,6</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25641</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СМИ</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5216,4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5216,4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6793,3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6699,3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8536,9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8536,9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7852,6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7852,6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7725,1</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7725,1</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Национальная безопасность</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28651,6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28651,6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2110,4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2077,9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1418,7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1415,5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1248,9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1248,9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1395,8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1876,7</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1871,4</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Итого расходы бюджета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790672,6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625713,5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964026,8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869691,1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984743,2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917935,3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768044,5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779844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694144,2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669555,9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711649,3</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688121,9</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расходов бюджета Бардымского муниципального района преобладают расходы на образование (59,5% на конец 2016 года.). Благодаря росту доли расходов на образование сокращаются расходы на национальную экономику, социальную политику, общегосударственные вопросы, здравоохранение и ЖКХ.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Наименьшую долю расходов в бюджете муниципального района занимают расходы на национальную безопасность, СМИ и здравоохранение.</w:t>
      </w:r>
    </w:p>
    <w:p w:rsidR="00153E07" w:rsidRPr="00153E07" w:rsidRDefault="00BC765E"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на рисунках 1.61 – 1.71</w:t>
      </w:r>
      <w:r w:rsidR="00153E07" w:rsidRPr="00153E07">
        <w:rPr>
          <w:rFonts w:ascii="Times New Roman" w:eastAsia="Times New Roman" w:hAnsi="Times New Roman" w:cs="Times New Roman"/>
          <w:sz w:val="28"/>
          <w:szCs w:val="28"/>
        </w:rPr>
        <w:t xml:space="preserve"> представлено исполнение расходов бюджета Бардымского муниципального района по статьям расходов в 2011-2016 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72290" cy="2897579"/>
            <wp:effectExtent l="0" t="0" r="0" b="0"/>
            <wp:docPr id="218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1</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жилищно-коммунального хозяйства в 2011-2016 гг., тыс.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450774" cy="3075709"/>
            <wp:effectExtent l="0" t="0" r="0" b="0"/>
            <wp:docPr id="218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lastRenderedPageBreak/>
        <w:t>Рисунок 1.62</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здравоохранения в 2011-2016 гг., тыс. руб.</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40425" cy="3691684"/>
            <wp:effectExtent l="0" t="0" r="0" b="0"/>
            <wp:docPr id="21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3</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культуры в 2011-2016 гг., тыс. руб.</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534025" cy="2905125"/>
            <wp:effectExtent l="0" t="0" r="0" b="0"/>
            <wp:docPr id="218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4</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национальной безопасности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71407" cy="3123210"/>
            <wp:effectExtent l="0" t="0" r="0" b="0"/>
            <wp:docPr id="2190" name="Диаграмма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1.65</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национальной экономики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57652" cy="3241964"/>
            <wp:effectExtent l="0" t="0" r="0" b="0"/>
            <wp:docPr id="2191" name="Диаграмма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1.66</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образования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4572000" cy="2743200"/>
            <wp:effectExtent l="0" t="0" r="0" b="0"/>
            <wp:docPr id="2192" name="Диаграмма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67</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общих вопросов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33901" cy="3633849"/>
            <wp:effectExtent l="0" t="0" r="0" b="0"/>
            <wp:docPr id="2193" name="Диаграмма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1.68</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социальной политики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086350" cy="2905125"/>
            <wp:effectExtent l="0" t="0" r="0" b="0"/>
            <wp:docPr id="2194" name="Диаграмма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1.69</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спорта и физической культуры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38800" cy="3200400"/>
            <wp:effectExtent l="0" t="0" r="0" b="0"/>
            <wp:docPr id="21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1.7</w:t>
      </w:r>
      <w:r w:rsidR="00BC765E" w:rsidRPr="00BC765E">
        <w:rPr>
          <w:rFonts w:ascii="Times New Roman" w:eastAsia="Times New Roman" w:hAnsi="Times New Roman" w:cs="Times New Roman"/>
          <w:b/>
          <w:sz w:val="28"/>
          <w:szCs w:val="28"/>
        </w:rPr>
        <w:t>0</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средств массовой информации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940425" cy="3305175"/>
            <wp:effectExtent l="0" t="0" r="0" b="0"/>
            <wp:docPr id="2196" name="Диаграмма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1.7</w:t>
      </w:r>
      <w:r w:rsidR="00BC765E" w:rsidRPr="00BC765E">
        <w:rPr>
          <w:rFonts w:ascii="Times New Roman" w:eastAsia="Times New Roman" w:hAnsi="Times New Roman" w:cs="Times New Roman"/>
          <w:b/>
          <w:sz w:val="28"/>
          <w:szCs w:val="28"/>
        </w:rPr>
        <w:t>1</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межбюджетных трансфертов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2015-2016</w:t>
      </w:r>
      <w:r w:rsidR="00B8676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финансирование сферы здравоохранения было передано в краевой бюджет и, соответственно, суммы финансирования в бюджете Бардымского муниципального района в настоящее время не отражаются.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Исполненные расходы бюджета являются наиболее близкими к плановым показателям в сфере национальной безопасности и абсолютно исполненными в сфере СМИ.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Далее представлен анализ доходов и расходов бюджетов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sectPr w:rsidR="00153E07" w:rsidRPr="00153E07" w:rsidSect="00153E07">
          <w:footerReference w:type="default" r:id="rId82"/>
          <w:pgSz w:w="11906" w:h="16838"/>
          <w:pgMar w:top="1134" w:right="850" w:bottom="1134" w:left="1701" w:header="708" w:footer="708" w:gutter="0"/>
          <w:cols w:space="708"/>
          <w:docGrid w:linePitch="360"/>
        </w:sectPr>
      </w:pPr>
    </w:p>
    <w:p w:rsidR="00153E07" w:rsidRPr="00153E07" w:rsidRDefault="00153E07" w:rsidP="003529A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w:t>
      </w:r>
      <w:r w:rsidR="00B86768">
        <w:rPr>
          <w:rFonts w:ascii="Times New Roman" w:eastAsia="Times New Roman" w:hAnsi="Times New Roman" w:cs="Times New Roman"/>
          <w:sz w:val="28"/>
          <w:szCs w:val="28"/>
        </w:rPr>
        <w:t>19</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Доходы и расходы бюджетов сельских поселений Бардымского муниципального района в 2010-2016 гг., тыс.руб.</w:t>
      </w:r>
    </w:p>
    <w:tbl>
      <w:tblPr>
        <w:tblW w:w="5369" w:type="pct"/>
        <w:tblInd w:w="-459" w:type="dxa"/>
        <w:tblLayout w:type="fixed"/>
        <w:tblLook w:val="04A0"/>
      </w:tblPr>
      <w:tblGrid>
        <w:gridCol w:w="1985"/>
        <w:gridCol w:w="991"/>
        <w:gridCol w:w="991"/>
        <w:gridCol w:w="991"/>
        <w:gridCol w:w="994"/>
        <w:gridCol w:w="994"/>
        <w:gridCol w:w="991"/>
        <w:gridCol w:w="991"/>
        <w:gridCol w:w="994"/>
        <w:gridCol w:w="991"/>
        <w:gridCol w:w="994"/>
        <w:gridCol w:w="991"/>
        <w:gridCol w:w="994"/>
        <w:gridCol w:w="991"/>
        <w:gridCol w:w="994"/>
      </w:tblGrid>
      <w:tr w:rsidR="00153E07" w:rsidRPr="00153E07" w:rsidTr="00153E07">
        <w:trPr>
          <w:trHeight w:val="300"/>
        </w:trPr>
        <w:tc>
          <w:tcPr>
            <w:tcW w:w="62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Сельское поселение</w:t>
            </w:r>
          </w:p>
        </w:tc>
        <w:tc>
          <w:tcPr>
            <w:tcW w:w="62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2010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2011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2012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2013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2014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2015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2016 год</w:t>
            </w:r>
          </w:p>
        </w:tc>
      </w:tr>
      <w:tr w:rsidR="00153E07" w:rsidRPr="00153E07" w:rsidTr="00153E07">
        <w:trPr>
          <w:trHeight w:val="300"/>
        </w:trPr>
        <w:tc>
          <w:tcPr>
            <w:tcW w:w="625"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18 586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16 112,5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18 379,9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17 312,3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29 798,4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32 832,2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31 091,1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33 110,2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42 536,9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37 371,8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30 146,7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34 371,9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32 360,9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32 322,5</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6 212,3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6 899,3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6 489,2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7 373,2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6 782,1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8 478,7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8 326,8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7 622,6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6 948,8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7 870,4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7 788,8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8 892,5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8 800,6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5 669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5 238,7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5 245,8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4 564,7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5 646,2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5 639,4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6 738,1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6 629,8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6 504,7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6 446,6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7 611,4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6 637,8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8 023,2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7 695,7</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3 501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3 463,4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3 941,6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3 812,3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9 490,7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9 425,9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5 174,1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5 076,5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5 422,4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5 118,3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4 857,8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4 828,8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4 992,4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5 448,6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5 541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5 498,9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5 836,8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5 556,0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7 454,7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6 945,8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7 467,1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7 887,0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5 392,7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5 411,8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7 463,8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7 263,2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8 716,2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8 668,5</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5 240,8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5 311,4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5 163,6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6 360,5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5 608,9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5 711,3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6 302,7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7 602,6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8 513,4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8 321,4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7 443,6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8 714,4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8 669,4</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4 037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3 732,0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4 186,5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4 065,5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5 575,3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3 935,6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4 214,8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5 982,2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3 944,8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4 011,6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3 758,2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3 966,7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4 451,1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4 232,3</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10 058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14 405,0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11 147,0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10 240,3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10 956,2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11 252,5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11 921,2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13 422,2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14 816,1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12 902,2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8 109,8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10 331,0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9 230,7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10 180,0</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12 155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13 099,5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15 074,6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11 598,0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13 902,1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11 977,7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19 384,5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15 862,6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18 342,7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19 836,7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12 192,7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11 415,9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11 508,1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10 789,4</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5 508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5 414,1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5 753,5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5 209,0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6 359,6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6 347,4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7 200,0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7 099,4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7 060,4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7 179,6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8 161,3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8 202,3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9 126,7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9 015,6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4 306,3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4 781,7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4 751,0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5 723,9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5 690,5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5 840,3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6 025,6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5 607,8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4 519,8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6 899,0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6 864,4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6 331,2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6 264,9</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3 735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3 810,1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3 262,4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3 213,2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5 121,7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4 496,9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4 361,7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5 048,2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4 938,4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4 772,7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4 573,1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4 569,8</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85 411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86 533,6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89 820,5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81 975,1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112880,6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110669,1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118342,9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120221,9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129215,4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123308,8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110330,9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113887,1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116920,5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116657,3</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3529A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1.2</w:t>
      </w:r>
      <w:r w:rsidR="00B86768">
        <w:rPr>
          <w:rFonts w:ascii="Times New Roman" w:eastAsia="Times New Roman" w:hAnsi="Times New Roman" w:cs="Times New Roman"/>
          <w:sz w:val="28"/>
          <w:szCs w:val="28"/>
        </w:rPr>
        <w:t>0</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Структура доходов бюджетов сельских поселений Бардымского муниципального района в 2010-2016гг., %</w:t>
      </w:r>
    </w:p>
    <w:tbl>
      <w:tblPr>
        <w:tblW w:w="5000" w:type="pct"/>
        <w:tblLook w:val="04A0"/>
      </w:tblPr>
      <w:tblGrid>
        <w:gridCol w:w="2019"/>
        <w:gridCol w:w="1064"/>
        <w:gridCol w:w="1064"/>
        <w:gridCol w:w="1064"/>
        <w:gridCol w:w="1064"/>
        <w:gridCol w:w="1065"/>
        <w:gridCol w:w="1065"/>
        <w:gridCol w:w="1065"/>
        <w:gridCol w:w="1065"/>
        <w:gridCol w:w="1065"/>
        <w:gridCol w:w="1065"/>
        <w:gridCol w:w="1065"/>
        <w:gridCol w:w="1056"/>
      </w:tblGrid>
      <w:tr w:rsidR="00153E07" w:rsidRPr="003529A9" w:rsidTr="00153E07">
        <w:trPr>
          <w:trHeight w:val="1708"/>
        </w:trPr>
        <w:tc>
          <w:tcPr>
            <w:tcW w:w="6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 бюджетов</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Бардымское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Березниковское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Бичуринское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Брюзлинское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Елпачихинское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Красноярское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Новоашапское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Печменское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Сарашевское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Тюндюковское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Федорковское сельское поселение</w:t>
            </w:r>
          </w:p>
        </w:tc>
        <w:tc>
          <w:tcPr>
            <w:tcW w:w="357"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Шермейское сельское поселение</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2010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2011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nil"/>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2012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bl>
    <w:p w:rsidR="00153E07" w:rsidRPr="003529A9" w:rsidRDefault="00153E07" w:rsidP="00153E07">
      <w:pPr>
        <w:jc w:val="both"/>
        <w:rPr>
          <w:rFonts w:ascii="Times New Roman" w:hAnsi="Times New Roman" w:cs="Times New Roman"/>
          <w:sz w:val="20"/>
          <w:szCs w:val="20"/>
        </w:rPr>
      </w:pPr>
      <w:r w:rsidRPr="003529A9">
        <w:rPr>
          <w:rFonts w:ascii="Times New Roman" w:hAnsi="Times New Roman" w:cs="Times New Roman"/>
          <w:sz w:val="20"/>
          <w:szCs w:val="20"/>
        </w:rPr>
        <w:br w:type="page"/>
      </w:r>
    </w:p>
    <w:tbl>
      <w:tblPr>
        <w:tblW w:w="5000" w:type="pct"/>
        <w:tblLook w:val="04A0"/>
      </w:tblPr>
      <w:tblGrid>
        <w:gridCol w:w="2019"/>
        <w:gridCol w:w="1064"/>
        <w:gridCol w:w="1064"/>
        <w:gridCol w:w="1064"/>
        <w:gridCol w:w="1064"/>
        <w:gridCol w:w="1065"/>
        <w:gridCol w:w="1065"/>
        <w:gridCol w:w="1065"/>
        <w:gridCol w:w="1065"/>
        <w:gridCol w:w="1065"/>
        <w:gridCol w:w="1065"/>
        <w:gridCol w:w="1065"/>
        <w:gridCol w:w="1056"/>
      </w:tblGrid>
      <w:tr w:rsidR="00153E07" w:rsidRPr="003529A9" w:rsidTr="00153E07">
        <w:trPr>
          <w:trHeight w:val="300"/>
        </w:trPr>
        <w:tc>
          <w:tcPr>
            <w:tcW w:w="5000" w:type="pct"/>
            <w:gridSpan w:val="13"/>
            <w:tcBorders>
              <w:top w:val="single" w:sz="4" w:space="0" w:color="auto"/>
              <w:left w:val="single" w:sz="4" w:space="0" w:color="auto"/>
              <w:bottom w:val="single" w:sz="4" w:space="0" w:color="auto"/>
              <w:right w:val="nil"/>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lastRenderedPageBreak/>
              <w:t>2013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2014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2015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2016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61%</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bl>
    <w:p w:rsidR="00153E07" w:rsidRPr="003529A9" w:rsidRDefault="00153E07" w:rsidP="00153E07">
      <w:pPr>
        <w:spacing w:after="160" w:line="259" w:lineRule="auto"/>
        <w:jc w:val="both"/>
        <w:rPr>
          <w:rFonts w:ascii="Times New Roman" w:hAnsi="Times New Roman" w:cs="Times New Roman"/>
          <w:sz w:val="20"/>
          <w:szCs w:val="20"/>
        </w:rPr>
      </w:pPr>
    </w:p>
    <w:p w:rsidR="00153E07" w:rsidRPr="00153E07" w:rsidRDefault="00153E07" w:rsidP="00153E07">
      <w:pPr>
        <w:spacing w:after="0"/>
        <w:ind w:firstLine="709"/>
        <w:jc w:val="both"/>
        <w:rPr>
          <w:rFonts w:ascii="Times New Roman" w:eastAsiaTheme="majorEastAsia" w:hAnsi="Times New Roman" w:cs="Times New Roman"/>
          <w:b/>
          <w:bCs/>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Структурный анализ показал, что по объему доходов бюджетов сельских поселений преобладает Бардымское сельское поселение, доля доходов которого составляет 28% от общего объема по данным 2016 года.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За анализируемый период времени рейтинговые позиции поселений по объему доходов практически не изменялись.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 объем доходов Сарашевского сельского поселения варьировался в интервале от 10% до 16% от общего дохода бюджетов всех поселений. В 2016 году он составил 10%.</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Доходы бюджета Печменского сельского поселения имеют динамику снижения и составляют 8% в 2016г. по сравнению с 11% в 2014 году. Аналогичная ситуация в Новоашапском сельском поселении – наблюдается тенденция сокращения доходов бюджета с 5% до 3-4% от общего объема доходов бюджетов всех поселений Бардымского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Тюндюковском, Березниковском, Елпачихинском, Красноярском, Бичуринском и Федорковском сельских поселениях наоборот наблюдается увеличение доли доходов бюджетов в общей массе, при этом их позиции в рейтинговом анализе не изменяются.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Брюзлинском и Шермейском доходы бюджетов стабильно составляют 4% от общего дохода бюджетов всех поселений. Исключением является увеличение доли доходов бюджета Брюзлинского сельского поселения в 2012 году до 8%.</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6280150" cy="3689498"/>
            <wp:effectExtent l="0" t="0" r="0" b="0"/>
            <wp:docPr id="21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w:t>
      </w:r>
      <w:r w:rsidR="00B86768" w:rsidRPr="00B86768">
        <w:rPr>
          <w:rFonts w:ascii="Times New Roman" w:eastAsia="Times New Roman" w:hAnsi="Times New Roman" w:cs="Times New Roman"/>
          <w:b/>
          <w:sz w:val="28"/>
          <w:szCs w:val="28"/>
        </w:rPr>
        <w:t>2</w:t>
      </w:r>
      <w:r w:rsidRPr="00B86768">
        <w:rPr>
          <w:rFonts w:ascii="Times New Roman" w:eastAsia="Times New Roman" w:hAnsi="Times New Roman" w:cs="Times New Roman"/>
          <w:b/>
          <w:sz w:val="28"/>
          <w:szCs w:val="28"/>
        </w:rPr>
        <w:t>. Структура доходов бюджетов сельских поселений Бардымского муниципального района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структуре доходов бюджетов всех сельских поселений преобладают собственные доходы, которые складываются из налоговых и неналоговых </w:t>
      </w:r>
      <w:r w:rsidRPr="00153E07">
        <w:rPr>
          <w:rFonts w:ascii="Times New Roman" w:eastAsia="Times New Roman" w:hAnsi="Times New Roman" w:cs="Times New Roman"/>
          <w:sz w:val="28"/>
          <w:szCs w:val="28"/>
        </w:rPr>
        <w:lastRenderedPageBreak/>
        <w:t>поступлений. Собственные доходы бюджетов сельских поселений составили в 2016 году 52%, что на 10% ниже, чем в 2014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втором месте по объему доходов бюджета находятся дотации. Доля дотаций в бюджете зависит от целевых задач, предусмотренных программами развития сельских поселений. Наименьшая доля дотаций в бюджетах наблюдается в 2010 г. (28%) и в 2014г. (29%). Наибольший объем дотаций имел место в 2015 г. (43%)</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733675"/>
            <wp:effectExtent l="19050" t="0" r="0" b="0"/>
            <wp:docPr id="219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53E07" w:rsidRPr="00B86768" w:rsidRDefault="00B86768"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1.73</w:t>
      </w:r>
      <w:r w:rsidR="00153E07" w:rsidRPr="00B86768">
        <w:rPr>
          <w:rFonts w:ascii="Times New Roman" w:eastAsia="Times New Roman" w:hAnsi="Times New Roman" w:cs="Times New Roman"/>
          <w:b/>
          <w:sz w:val="28"/>
          <w:szCs w:val="28"/>
        </w:rPr>
        <w:t>. Структура совокупного дохода бюджетов сельских поселений Бардымского муниципального района по статьям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разрезе сельских поселений структура дохода бюджетов приведена в таблице 1.2</w:t>
      </w:r>
      <w:r w:rsidR="00B86768">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 и в Приложении </w:t>
      </w:r>
      <w:r w:rsidR="00E97C6A">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Бюджет обеспечен более, чем на 50% за счет собственных доходов у Бардымского (81%), Печменского (84%)  и Сарашевского (62)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треть доходы бюджета состоят из собственных средств у Березниковского (30%), Бичуринского (36%), Елпачихинского (31%), Красноярского (37%), Тюндюковского (31%) и Федорковского (32%)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Очень низкая доля собственных доходов в бюджете Новоашапского (18%) и Шермейского (22%)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Высокодотационными являются бюджеты Бичуринского (58%), Брюзлинского (48%), Елпачихинского (62%), Красноярского (57%), Новоашапского (55%), Федорковского (61%) и Шермейского (62%) сельских поселений.</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686425" cy="3000375"/>
            <wp:effectExtent l="0" t="0" r="0" b="0"/>
            <wp:docPr id="219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53E07" w:rsidRPr="00B86768" w:rsidRDefault="00B86768"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1.74</w:t>
      </w:r>
      <w:r w:rsidR="00153E07" w:rsidRPr="00B86768">
        <w:rPr>
          <w:rFonts w:ascii="Times New Roman" w:eastAsia="Times New Roman" w:hAnsi="Times New Roman" w:cs="Times New Roman"/>
          <w:b/>
          <w:sz w:val="28"/>
          <w:szCs w:val="28"/>
        </w:rPr>
        <w:t>. Динамика совокупного дохода бюджетов сельских поселений Бардымского муниципального района в 2010 – 2016 годах, тыс.руб.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доходов бюджетов сельских поселений отражает рост дотаций, сокращение иных межбюджетных трансфертов. Также наблюдается тенденция роста собственных доходов бюджетов, даже при некотором их сокращении в 2015 – 2016</w:t>
      </w:r>
      <w:r w:rsidR="00B8676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9790" cy="3895725"/>
            <wp:effectExtent l="19050" t="0" r="3810" b="0"/>
            <wp:docPr id="220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w:t>
      </w:r>
      <w:r w:rsidR="00B86768" w:rsidRPr="00B86768">
        <w:rPr>
          <w:rFonts w:ascii="Times New Roman" w:eastAsia="Times New Roman" w:hAnsi="Times New Roman" w:cs="Times New Roman"/>
          <w:b/>
          <w:sz w:val="28"/>
          <w:szCs w:val="28"/>
        </w:rPr>
        <w:t>5</w:t>
      </w:r>
      <w:r w:rsidRPr="00B86768">
        <w:rPr>
          <w:rFonts w:ascii="Times New Roman" w:eastAsia="Times New Roman" w:hAnsi="Times New Roman" w:cs="Times New Roman"/>
          <w:b/>
          <w:sz w:val="28"/>
          <w:szCs w:val="28"/>
        </w:rPr>
        <w:t>. Структура объема расходов сельских поселений Бардымского муниципального района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расходов совокупного бюджета района также преобладают расходы бюджетов Бардымского (27,7%) и Сарашевского (9,2%) сельских поселений. У остальных поселений доля расходов бюджета ниже 9% в общем объеме расходов бюджета района.</w:t>
      </w: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1</w:t>
      </w:r>
    </w:p>
    <w:p w:rsidR="00153E07" w:rsidRPr="003529A9" w:rsidRDefault="00153E07" w:rsidP="006D2568">
      <w:pPr>
        <w:spacing w:after="0" w:line="240" w:lineRule="auto"/>
        <w:ind w:firstLine="709"/>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Дефицит (-)/ профицит (+) бюджетов сельских поселений Бардымского муниципального района в 2010-2016гг., тыс.руб.</w:t>
      </w:r>
    </w:p>
    <w:tbl>
      <w:tblPr>
        <w:tblW w:w="9719" w:type="dxa"/>
        <w:tblInd w:w="93" w:type="dxa"/>
        <w:tblLook w:val="04A0"/>
      </w:tblPr>
      <w:tblGrid>
        <w:gridCol w:w="3322"/>
        <w:gridCol w:w="913"/>
        <w:gridCol w:w="914"/>
        <w:gridCol w:w="914"/>
        <w:gridCol w:w="914"/>
        <w:gridCol w:w="914"/>
        <w:gridCol w:w="914"/>
        <w:gridCol w:w="914"/>
      </w:tblGrid>
      <w:tr w:rsidR="00153E07" w:rsidRPr="00153E07" w:rsidTr="00153E07">
        <w:trPr>
          <w:trHeight w:val="300"/>
        </w:trPr>
        <w:tc>
          <w:tcPr>
            <w:tcW w:w="3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2010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2011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2012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2013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2014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2015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2016 год</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2473,5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1067,6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-3033,8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-2019,1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5165,1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-4225,2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38,4</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275,7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410,1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591,1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151,9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673,8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91,9</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430,3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681,1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108,3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973,6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327,5</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129,3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64,8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304,1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-456,2</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280,8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508,9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-419,9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200,6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47,7</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581,2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147,8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751,6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-591,4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-910,8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877,8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1639,7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-1767,4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-208,5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218,8</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-4347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906,7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-296,3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-1501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1913,9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-2221,2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-949,3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-944,5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3476,6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1924,4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3521,9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-1494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718,7</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544,5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-119,2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111,1</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-185,3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1088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624,8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-686,5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165,7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-1122,6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7845,4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2211,5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-1879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5906,6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-3556,2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263,2</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достаточности бюджетных средств показал, что в 2013-2014 гг. наблюдался бюджетный дефицит в половине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 анализируемый период времени наихудшие показатели были отмечены в Печменском сельском поселении, на протяжении 7 лет только в 2011 и 2014 году был отмечен профицит бюджета. Лучшие показатели бюджетного планирования и администрирования за анализируемый период времени были в Березниковском и Бичуринском сельских поселениях.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Наглядно информация о дефиците / профиците бюджетов в разрезе сельских поселений представлена в Приложении </w:t>
      </w:r>
      <w:r w:rsidR="00E97C6A">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2</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Недоимки в бюджеты сельских поселений Бардымского муниципального района в 2010-2016</w:t>
      </w:r>
      <w:r w:rsidR="00B86768">
        <w:rPr>
          <w:rFonts w:ascii="Times New Roman" w:eastAsia="Times New Roman" w:hAnsi="Times New Roman" w:cs="Times New Roman"/>
          <w:b/>
          <w:sz w:val="28"/>
          <w:szCs w:val="28"/>
        </w:rPr>
        <w:t xml:space="preserve"> </w:t>
      </w:r>
      <w:r w:rsidRPr="003529A9">
        <w:rPr>
          <w:rFonts w:ascii="Times New Roman" w:eastAsia="Times New Roman" w:hAnsi="Times New Roman" w:cs="Times New Roman"/>
          <w:b/>
          <w:sz w:val="28"/>
          <w:szCs w:val="28"/>
        </w:rPr>
        <w:t>гг.</w:t>
      </w:r>
    </w:p>
    <w:tbl>
      <w:tblPr>
        <w:tblW w:w="5000" w:type="pct"/>
        <w:tblLook w:val="04A0"/>
      </w:tblPr>
      <w:tblGrid>
        <w:gridCol w:w="3504"/>
        <w:gridCol w:w="1011"/>
        <w:gridCol w:w="1011"/>
        <w:gridCol w:w="1011"/>
        <w:gridCol w:w="1011"/>
        <w:gridCol w:w="1011"/>
        <w:gridCol w:w="1011"/>
      </w:tblGrid>
      <w:tr w:rsidR="00153E07" w:rsidRPr="00153E07" w:rsidTr="00153E07">
        <w:trPr>
          <w:trHeight w:val="300"/>
        </w:trPr>
        <w:tc>
          <w:tcPr>
            <w:tcW w:w="1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Сельское поселение</w:t>
            </w:r>
          </w:p>
        </w:tc>
        <w:tc>
          <w:tcPr>
            <w:tcW w:w="650"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2010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2011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2012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2013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2014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2015 год</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Бардымское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916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857,4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1273,9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1776,1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1949,1</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Березниковское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122,4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188,3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283,3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277,5</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Бичуринское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92,3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162,2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233,6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270,1</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Брюзлинское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45,1</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76,3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119,1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128</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 xml:space="preserve">Елпачихинское сельское </w:t>
            </w:r>
            <w:r w:rsidRPr="00B86768">
              <w:rPr>
                <w:rFonts w:ascii="Times New Roman" w:eastAsia="Times New Roman" w:hAnsi="Times New Roman" w:cs="Times New Roman"/>
                <w:color w:val="000000"/>
                <w:sz w:val="24"/>
                <w:szCs w:val="28"/>
              </w:rPr>
              <w:lastRenderedPageBreak/>
              <w:t>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lastRenderedPageBreak/>
              <w:t>443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145,7</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262,8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436,5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473,6</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lastRenderedPageBreak/>
              <w:t>Красноярское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131,3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231,4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327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390,5</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Новоашапское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38,2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90,9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55,8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67,8</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Печменское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97,3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193,4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223,6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225,6</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Сарашевское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164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197,1</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502,7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451,2</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Тюндюковское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138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222,5</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197,6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273,7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311,7</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Федорковское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206,2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324,2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586,1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339,3</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Шермейское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25,9</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43,2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61,9</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Итого</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2151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2181,4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3353,5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4866,8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4946,3</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Недоимками в бюджет сельских поселений являются неоплаченные налоговые доходы. Анализируя данные в таблице 1.2</w:t>
      </w:r>
      <w:r w:rsidR="00B86768">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можно сделать вывод, что объем недоимок в бюджеты сельских поселений с каждым годом увеличивается, что позволяет сделать вывод об низкой рентабельности и эффективности деятельности предприятий и предпринимателей района. Наибольший объем недоимок имеет место в бюджете Бардымского сельского поселения.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1.2</w:t>
      </w:r>
      <w:r w:rsidR="00B86768">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 xml:space="preserve"> представлены рейтинги сельских поселений Бардымского муниципального района по показателям бюджетов.</w:t>
      </w:r>
    </w:p>
    <w:p w:rsidR="00153E07" w:rsidRPr="00153E07" w:rsidRDefault="00153E07" w:rsidP="006D2568">
      <w:pPr>
        <w:spacing w:after="0" w:line="240" w:lineRule="auto"/>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3</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Рейтинги сельских поселений Бардымского муниципального района по доходам и расходам бюджета в 2016 году</w:t>
      </w:r>
    </w:p>
    <w:tbl>
      <w:tblPr>
        <w:tblW w:w="5167" w:type="pct"/>
        <w:tblLayout w:type="fixed"/>
        <w:tblLook w:val="04A0"/>
      </w:tblPr>
      <w:tblGrid>
        <w:gridCol w:w="1920"/>
        <w:gridCol w:w="1030"/>
        <w:gridCol w:w="1133"/>
        <w:gridCol w:w="1072"/>
        <w:gridCol w:w="1155"/>
        <w:gridCol w:w="1254"/>
        <w:gridCol w:w="1155"/>
        <w:gridCol w:w="1171"/>
      </w:tblGrid>
      <w:tr w:rsidR="00153E07" w:rsidRPr="00153E07" w:rsidTr="00F405EC">
        <w:trPr>
          <w:trHeight w:val="1200"/>
        </w:trPr>
        <w:tc>
          <w:tcPr>
            <w:tcW w:w="9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520"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573"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Дотации бюджета</w:t>
            </w:r>
          </w:p>
        </w:tc>
        <w:tc>
          <w:tcPr>
            <w:tcW w:w="542"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Иные межбюджетные трансферты</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Все доходы бюджета сельского поселения</w:t>
            </w:r>
          </w:p>
        </w:tc>
        <w:tc>
          <w:tcPr>
            <w:tcW w:w="63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Недоимки</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Расходы бюджета сельского поселения</w:t>
            </w:r>
          </w:p>
        </w:tc>
        <w:tc>
          <w:tcPr>
            <w:tcW w:w="592"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Дефицит / профицит</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lastRenderedPageBreak/>
              <w:t>Тюндюковское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r>
    </w:tbl>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6D2568" w:rsidP="006D2568">
      <w:pPr>
        <w:spacing w:after="16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53E07" w:rsidRPr="00153E07">
        <w:rPr>
          <w:rFonts w:ascii="Times New Roman" w:eastAsia="Times New Roman" w:hAnsi="Times New Roman" w:cs="Times New Roman"/>
          <w:sz w:val="28"/>
          <w:szCs w:val="28"/>
        </w:rPr>
        <w:t>аблица 1.2</w:t>
      </w:r>
      <w:r w:rsidR="00B86768">
        <w:rPr>
          <w:rFonts w:ascii="Times New Roman" w:eastAsia="Times New Roman" w:hAnsi="Times New Roman" w:cs="Times New Roman"/>
          <w:sz w:val="28"/>
          <w:szCs w:val="28"/>
        </w:rPr>
        <w:t>4</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Доходы и расходы бюджетов сельских поселений Бардымского муниципального района в расчете на одного жителя, тыс.руб.</w:t>
      </w:r>
    </w:p>
    <w:tbl>
      <w:tblPr>
        <w:tblW w:w="5159" w:type="pct"/>
        <w:tblLayout w:type="fixed"/>
        <w:tblLook w:val="04A0"/>
      </w:tblPr>
      <w:tblGrid>
        <w:gridCol w:w="1808"/>
        <w:gridCol w:w="1270"/>
        <w:gridCol w:w="1272"/>
        <w:gridCol w:w="1432"/>
        <w:gridCol w:w="1556"/>
        <w:gridCol w:w="1272"/>
        <w:gridCol w:w="1264"/>
      </w:tblGrid>
      <w:tr w:rsidR="00153E07" w:rsidRPr="00153E07" w:rsidTr="003529A9">
        <w:trPr>
          <w:trHeight w:val="120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Сельское поселение</w:t>
            </w:r>
          </w:p>
        </w:tc>
        <w:tc>
          <w:tcPr>
            <w:tcW w:w="643"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Доходы бюджета в 2016 году, тыс.руб.</w:t>
            </w:r>
          </w:p>
        </w:tc>
        <w:tc>
          <w:tcPr>
            <w:tcW w:w="64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Расходы бюджета в 2016 году, тыс.руб.</w:t>
            </w:r>
          </w:p>
        </w:tc>
        <w:tc>
          <w:tcPr>
            <w:tcW w:w="725"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Дефицит (-) / профицит (+) бюджета, тыс. руб.</w:t>
            </w:r>
          </w:p>
        </w:tc>
        <w:tc>
          <w:tcPr>
            <w:tcW w:w="788"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Численность населения, чел.</w:t>
            </w:r>
          </w:p>
        </w:tc>
        <w:tc>
          <w:tcPr>
            <w:tcW w:w="64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Доходы бюджета в расчете на 1 жителя, тыс.руб.</w:t>
            </w:r>
          </w:p>
        </w:tc>
        <w:tc>
          <w:tcPr>
            <w:tcW w:w="641"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Расходы бюджета в расчете на 1 жителя, тыс.руб.</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Новоашапское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4451,1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4232,3</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218,8</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422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10,548</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10,029</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Шермейское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4573,1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4569,8</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479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9,547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9,540</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Тюндюковское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9126,7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9015,6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111,1</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1312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6,956</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6,872</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Березниковское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8892,5</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8800,6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91,9</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1364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6,519</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6,452</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Брюзлинское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4992,4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5448,6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-456,2</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792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6,304</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6,880</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Печменское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9230,7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10180</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-949,3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1607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5,744</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6,335</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Федорковское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6331,2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6264,9</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66,3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1184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5,347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5,291</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Бичуринское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8023,2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7695,7</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327,5</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1652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4,857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4,658</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Сарашевское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11508,1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10789,4</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718,7</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2487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4,627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4,338</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Елпачихинское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8716,2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8668,5</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47,7</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1916</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4,549</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4,524</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Красноярское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8714,4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8669,4</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2249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3,875</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3,855</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Бардымское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32360,9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32322,5</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38,4</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9827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3,293</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3,289</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Итого</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116920,5</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116657,3</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263,2</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25291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4,623</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4,613</w:t>
            </w:r>
          </w:p>
        </w:tc>
      </w:tr>
    </w:tbl>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Анализ удельного объема доходов и расходов бюджета в расчете на одного жителя показал, что наилучший показатели наблюдаются в Новоашапском сельском поселении, наименьшие - в Бардымском и Красноярском сельских поселениях.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доходы и расходы бюджетов сельских поселений в расчете на одного жителя представлены на рисунке 1.80.</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9790" cy="4124325"/>
            <wp:effectExtent l="19050" t="0" r="3810" b="0"/>
            <wp:docPr id="220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w:t>
      </w:r>
      <w:r w:rsidR="00B86768" w:rsidRPr="00B86768">
        <w:rPr>
          <w:rFonts w:ascii="Times New Roman" w:eastAsia="Times New Roman" w:hAnsi="Times New Roman" w:cs="Times New Roman"/>
          <w:b/>
          <w:sz w:val="28"/>
          <w:szCs w:val="28"/>
        </w:rPr>
        <w:t>76</w:t>
      </w:r>
      <w:r w:rsidRPr="00B86768">
        <w:rPr>
          <w:rFonts w:ascii="Times New Roman" w:eastAsia="Times New Roman" w:hAnsi="Times New Roman" w:cs="Times New Roman"/>
          <w:b/>
          <w:sz w:val="28"/>
          <w:szCs w:val="28"/>
        </w:rPr>
        <w:t>. Доходы и расходы бюджетов сельских поселений Бардымского муниципального района в расчете на одного жителя, тыс.руб.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1.2</w:t>
      </w:r>
      <w:r w:rsidR="00127DAF">
        <w:rPr>
          <w:rFonts w:ascii="Times New Roman" w:eastAsia="Times New Roman" w:hAnsi="Times New Roman" w:cs="Times New Roman"/>
          <w:sz w:val="28"/>
          <w:szCs w:val="28"/>
        </w:rPr>
        <w:t>5</w:t>
      </w:r>
      <w:r w:rsidRPr="00153E07">
        <w:rPr>
          <w:rFonts w:ascii="Times New Roman" w:eastAsia="Times New Roman" w:hAnsi="Times New Roman" w:cs="Times New Roman"/>
          <w:sz w:val="28"/>
          <w:szCs w:val="28"/>
        </w:rPr>
        <w:t xml:space="preserve"> представлена информация о планируемых доходах бюджетов сельских поселений, скорректированных по объему собственных средств за счет взыскания недоимки.</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sectPr w:rsidR="00153E07" w:rsidRPr="00153E07" w:rsidSect="00153E07">
          <w:pgSz w:w="11906" w:h="16838"/>
          <w:pgMar w:top="1134" w:right="851" w:bottom="1134" w:left="1701" w:header="709" w:footer="709" w:gutter="0"/>
          <w:cols w:space="708"/>
          <w:docGrid w:linePitch="360"/>
        </w:sectPr>
      </w:pPr>
    </w:p>
    <w:p w:rsidR="00153E07" w:rsidRPr="00153E07" w:rsidRDefault="00153E07" w:rsidP="003529A9">
      <w:pPr>
        <w:spacing w:after="0"/>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5</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Доля собственных доходов бюджета и собственных доходов с учетом недоимки от всех доходов бюджета</w:t>
      </w:r>
    </w:p>
    <w:tbl>
      <w:tblPr>
        <w:tblW w:w="5000" w:type="pct"/>
        <w:tblLook w:val="04A0"/>
      </w:tblPr>
      <w:tblGrid>
        <w:gridCol w:w="3696"/>
        <w:gridCol w:w="922"/>
        <w:gridCol w:w="925"/>
        <w:gridCol w:w="922"/>
        <w:gridCol w:w="925"/>
        <w:gridCol w:w="923"/>
        <w:gridCol w:w="929"/>
        <w:gridCol w:w="923"/>
        <w:gridCol w:w="926"/>
        <w:gridCol w:w="923"/>
        <w:gridCol w:w="926"/>
        <w:gridCol w:w="923"/>
        <w:gridCol w:w="923"/>
      </w:tblGrid>
      <w:tr w:rsidR="00153E07" w:rsidRPr="00153E07" w:rsidTr="00153E07">
        <w:trPr>
          <w:trHeight w:val="300"/>
        </w:trPr>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2010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2011 год</w:t>
            </w:r>
          </w:p>
        </w:tc>
        <w:tc>
          <w:tcPr>
            <w:tcW w:w="626"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2012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2013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2014 год</w:t>
            </w:r>
          </w:p>
        </w:tc>
        <w:tc>
          <w:tcPr>
            <w:tcW w:w="624"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2015 год</w:t>
            </w:r>
          </w:p>
        </w:tc>
      </w:tr>
      <w:tr w:rsidR="00153E07" w:rsidRPr="00153E07" w:rsidTr="003529A9">
        <w:trPr>
          <w:trHeight w:val="3057"/>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4"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23%</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r>
    </w:tbl>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heme="majorEastAsia" w:hAnsi="Times New Roman" w:cs="Times New Roman"/>
          <w:b/>
          <w:bCs/>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Default="00153E07" w:rsidP="00980ED1">
      <w:pPr>
        <w:spacing w:after="0" w:line="240" w:lineRule="auto"/>
        <w:jc w:val="both"/>
        <w:rPr>
          <w:rFonts w:ascii="Times New Roman" w:eastAsiaTheme="majorEastAsia" w:hAnsi="Times New Roman" w:cs="Times New Roman"/>
          <w:b/>
          <w:bCs/>
          <w:sz w:val="28"/>
          <w:szCs w:val="28"/>
        </w:rPr>
      </w:pPr>
      <w:r w:rsidRPr="00E3313E">
        <w:rPr>
          <w:rFonts w:ascii="Times New Roman" w:eastAsiaTheme="majorEastAsia" w:hAnsi="Times New Roman" w:cs="Times New Roman"/>
          <w:b/>
          <w:bCs/>
          <w:sz w:val="28"/>
          <w:szCs w:val="28"/>
        </w:rPr>
        <w:lastRenderedPageBreak/>
        <w:t>1.2.17 Историко-культурные и туристские ресурсы</w:t>
      </w:r>
    </w:p>
    <w:p w:rsidR="00127DAF" w:rsidRPr="00E3313E" w:rsidRDefault="00127DAF" w:rsidP="006D2568">
      <w:pPr>
        <w:spacing w:after="0" w:line="240" w:lineRule="auto"/>
        <w:ind w:firstLine="709"/>
        <w:jc w:val="both"/>
        <w:rPr>
          <w:rFonts w:ascii="Times New Roman" w:eastAsiaTheme="majorEastAsia" w:hAnsi="Times New Roman" w:cs="Times New Roman"/>
          <w:b/>
          <w:bCs/>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Бардымский муниципальный район обладает богатым историко-культурным потенциалом, который в настоящее время не используется в полном объеме.</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На территории муниципального района было выявлено 64 археологических объекта: древние захоронения, плиточные могильники, древние стоянки и поселения разных эпох (древнейшие относятся к II-III век до нашей эры).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Большая часть археологических памятников общей площадью 1 380 100 кв. м. в основном сосредоточены по берегам реки Тулва (в районе с.н.п. Барда, Краснояр, Султанай, Сараши и т.д.).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Особую ценность представляют государственные памятники истории Пермской области местного значения: Могила хазрата Мансурова - депутата Государственной думы, Здание, где Ш. Сунгалаевым была создана русско-татарская школа; государственные памятники градостроительства и архитектуры Пермской области местного значения: Больница земская, Главный корпус, Амбулатория, Дом врача, Мечеть (из д. Старый Чад), Правление волостное, Школа земская.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Богатство природными ресурсами определяется природно-климатическими условиями, наличием живописных ландшафтов, водных объектов, ботанических памятников природы регионального значения, а именно: Дубовая гора –  Сарашевская дубрава, Сарашевский сосново-дубовый лес, Бардымская вишневая гора, Красноярская гора, Куземьяровский орешник, Кленовая гора, зарезервированные земли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Сарашевские дубравы</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Тулвинский биологический охотничий заказник регионального значения.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Бардымский район располагает комплексом факторов, способных выступить основой развития внутреннего и въездного туризма.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Синергетический эффект создают следующие особенности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природно-климатические условия;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памятники истории, археологии и культуры (Бардымская соборная мечеть, церковь в с. Печмень, склеп-мавзолей XIX века в д. Танып, Кудашевский могильник памятник эпохи Великого переселения народов Прикамья IV-V век нашей эры (д. Кудаш)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 учреждения культуры (Бардымский районный краеведческий музей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туристская инфраструктура (Санаторий-профилакторий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Колос</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учреждения питания, спортивные учреждения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горнолыжный комплекс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Ашатли</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включающий в себя: кафе, гостиницу, гостевые домики, баня, сауна, и предлагающий услуги: конные прогулки, катамаран, горные лыжи, сноуборд, коньки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 ежегодное проведение национальных праздников: </w:t>
      </w:r>
      <w:r w:rsidR="00DE2D0E">
        <w:rPr>
          <w:rFonts w:ascii="Times New Roman" w:eastAsia="Times New Roman" w:hAnsi="Times New Roman" w:cs="Times New Roman"/>
          <w:sz w:val="28"/>
          <w:szCs w:val="28"/>
        </w:rPr>
        <w:t>С</w:t>
      </w:r>
      <w:r w:rsidRPr="00E3313E">
        <w:rPr>
          <w:rFonts w:ascii="Times New Roman" w:eastAsia="Times New Roman" w:hAnsi="Times New Roman" w:cs="Times New Roman"/>
          <w:sz w:val="28"/>
          <w:szCs w:val="28"/>
        </w:rPr>
        <w:t xml:space="preserve">абантуй,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Барда-зиен</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Рекреационные особенности муниципального района создают предпосылки для создания и развитий культурно-исторического, событийного, спортивного, молодежного туризма, помимо этого позволяют сформировать базу для </w:t>
      </w:r>
      <w:r w:rsidRPr="00E3313E">
        <w:rPr>
          <w:rFonts w:ascii="Times New Roman" w:eastAsia="Times New Roman" w:hAnsi="Times New Roman" w:cs="Times New Roman"/>
          <w:sz w:val="28"/>
          <w:szCs w:val="28"/>
        </w:rPr>
        <w:lastRenderedPageBreak/>
        <w:t>проведения муниципальных мероприятий для популяризации среди населения района здорового образа жизни, спорта, экологического воспитания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 текущий период времени сдерживающими факторами развития культурных и исторических потенциалов района выступают:</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отсутствие целевых программ по развитию внутреннего и въездного туризма,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недостаточное развитие туристской инфраструктуры,</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отсутствие единой стратегии развития туризма на территории Бардымского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недостаточное количество подготовленных кадров в сфере туристской индустрии.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6D2568">
      <w:pPr>
        <w:pStyle w:val="1"/>
        <w:numPr>
          <w:ilvl w:val="1"/>
          <w:numId w:val="17"/>
        </w:numPr>
        <w:spacing w:line="240" w:lineRule="auto"/>
      </w:pPr>
      <w:r w:rsidRPr="00E3313E">
        <w:t>Роль и место Бардымского муниципального района в региональной экономике</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муниципальный район по основным экономическим показателям занимает 11-15 место среди </w:t>
      </w:r>
      <w:r w:rsidR="00127DAF">
        <w:rPr>
          <w:rFonts w:ascii="Times New Roman" w:eastAsia="Times New Roman" w:hAnsi="Times New Roman" w:cs="Times New Roman"/>
          <w:sz w:val="28"/>
          <w:szCs w:val="28"/>
        </w:rPr>
        <w:t>43</w:t>
      </w:r>
      <w:r w:rsidRPr="00E3313E">
        <w:rPr>
          <w:rFonts w:ascii="Times New Roman" w:eastAsia="Times New Roman" w:hAnsi="Times New Roman" w:cs="Times New Roman"/>
          <w:sz w:val="28"/>
          <w:szCs w:val="28"/>
        </w:rPr>
        <w:t xml:space="preserve"> муниципальных районов Пермского края.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Район имеет сельскохозяйственную специализацию, что предопределяет основные тенденции в экономике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Так, по объему отгрузки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Бардымский муниципальный район занял 15 место среди других районов Пермского края, или 2% от общего объема данной продукции по всему субъекту РФ. В 2015 году данный показатель составил 10252 млн. руб., 2016 г. – 10388,5 млн. руб., при этом общая доля в разрезе всего края не изменилась.</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Наибольший объем отгруженных товаров собственного производства, выполненных работ и услуг собственными силами (без субъектов малого предпринимательства) был отмечен в Чайковском муниципальном районе (2015 год – 84160 млн. руб., 2016 г.  – 86776,8 млн. руб., или 20% от объема всего Пермского края). В тройку лидеров также вошли Куединский (2015 год – 39827 млн. руб.., 2016 г. – 38199,5 млн. руб., или 9% от объема данной продукции по всему Пермскому краю) и Добрянский районы (2015 год – 38529,4 млн. руб., 2016 г. – 36643,3 млн. руб., или 9% от объема данной продукции по всему Пермскому краю). Наименьшие показатели были отмечены в Березовском, Большесосновском, Кишертском, Оханском, Сивинском и Чердынском муниципальных районах.</w:t>
      </w:r>
    </w:p>
    <w:p w:rsidR="00E3313E" w:rsidRDefault="00E3313E"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6</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Отгрузка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(до 2017 года), млн. рублей</w:t>
      </w:r>
    </w:p>
    <w:tbl>
      <w:tblPr>
        <w:tblW w:w="5000" w:type="pct"/>
        <w:tblLook w:val="04A0"/>
      </w:tblPr>
      <w:tblGrid>
        <w:gridCol w:w="4777"/>
        <w:gridCol w:w="1924"/>
        <w:gridCol w:w="963"/>
        <w:gridCol w:w="1650"/>
        <w:gridCol w:w="823"/>
      </w:tblGrid>
      <w:tr w:rsidR="00153E07" w:rsidRPr="00E3313E" w:rsidTr="00153E07">
        <w:trPr>
          <w:trHeight w:val="315"/>
        </w:trPr>
        <w:tc>
          <w:tcPr>
            <w:tcW w:w="2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F405EC" w:rsidRDefault="00153E07" w:rsidP="00E21B77">
            <w:pPr>
              <w:spacing w:after="0" w:line="240" w:lineRule="auto"/>
              <w:jc w:val="center"/>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Муниципальный район</w:t>
            </w:r>
          </w:p>
        </w:tc>
        <w:tc>
          <w:tcPr>
            <w:tcW w:w="1424"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2015</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2016</w:t>
            </w:r>
          </w:p>
        </w:tc>
      </w:tr>
      <w:tr w:rsidR="00153E07" w:rsidRPr="00E3313E" w:rsidTr="00153E07">
        <w:trPr>
          <w:trHeight w:val="630"/>
        </w:trPr>
        <w:tc>
          <w:tcPr>
            <w:tcW w:w="2356" w:type="pct"/>
            <w:vMerge/>
            <w:tcBorders>
              <w:top w:val="single" w:sz="4" w:space="0" w:color="auto"/>
              <w:left w:val="single" w:sz="4" w:space="0" w:color="auto"/>
              <w:bottom w:val="single" w:sz="4" w:space="0" w:color="auto"/>
              <w:right w:val="single" w:sz="4" w:space="0" w:color="auto"/>
            </w:tcBorders>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p>
        </w:tc>
        <w:tc>
          <w:tcPr>
            <w:tcW w:w="949"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млн. руб.</w:t>
            </w:r>
          </w:p>
        </w:tc>
        <w:tc>
          <w:tcPr>
            <w:tcW w:w="47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w:t>
            </w:r>
          </w:p>
        </w:tc>
        <w:tc>
          <w:tcPr>
            <w:tcW w:w="814"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млн. руб.</w:t>
            </w:r>
          </w:p>
        </w:tc>
        <w:tc>
          <w:tcPr>
            <w:tcW w:w="407"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Бардымский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10252,02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10388,5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E97C6A" w:rsidP="006D256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Бардымс</w:t>
            </w:r>
            <w:r w:rsidR="00153E07" w:rsidRPr="00E3313E">
              <w:rPr>
                <w:rFonts w:ascii="Times New Roman" w:eastAsia="Times New Roman" w:hAnsi="Times New Roman" w:cs="Times New Roman"/>
                <w:color w:val="000000"/>
                <w:sz w:val="24"/>
                <w:szCs w:val="24"/>
              </w:rPr>
              <w:t xml:space="preserve">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10548,95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10713,1</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Березовский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448,48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609,15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Большесосновский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200,5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167,45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Верещагинский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4468,56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4787,99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Горнозаводский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6997,18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8044,77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Гремячинский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635,86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529,18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Добрянский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38529,37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36643,3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Еловский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1206,3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1143,29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Ильинский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1229,95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1149,53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Карагайский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1133,68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1355,56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Кизеловский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1208,64</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735,63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Кишертский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356,38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495,88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Красновишерский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9899,35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9017,14</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Краснокамский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19938,19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20584,5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Куединский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39827,04</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38199,5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Кунгурский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8943,29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8757,66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Нытвенский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12273,83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13378,8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Октябрьский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17590,06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17398,4</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Ординский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6119,6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6732,82</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Осинский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15796,29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15794,8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Оханский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534,38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471,76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Очерский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1816,65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1784,68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Пермский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16903,02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23144,5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Сивинский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580,72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513,13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Соликамский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10004,09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10777,3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Суксунский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1877,8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2068,63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Уинский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7115,56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8252,49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Усольский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41392,16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37810</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Чайковский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84160,05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86776,7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Частинский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11995,97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12361,3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Чердынский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261,33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224,69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Чернушинский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27098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27875,1</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Чусовской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8893,46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9019,83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Итого</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420236,7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427707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По данным Федеральной службы государственной статистики в 2016 году Бардымский район занимал 12 место по объему товаров несобственного производства (без субъектов малого предпринимательства), что составило 1% от общего объема товаров по всему Пермскому краю. На протяжении последних 3 лет доля в совокупном объеме продаж товаров несобственного производства (без субъектов малого предпринимательства) была неизменна.</w:t>
      </w:r>
    </w:p>
    <w:p w:rsidR="00153E07" w:rsidRPr="00E3313E" w:rsidRDefault="00153E07" w:rsidP="00E21B77">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Лидирующие позиции в 2016 году заняли </w:t>
      </w:r>
      <w:r w:rsidR="00E97C6A">
        <w:rPr>
          <w:rFonts w:ascii="Times New Roman" w:eastAsia="Times New Roman" w:hAnsi="Times New Roman" w:cs="Times New Roman"/>
          <w:sz w:val="28"/>
          <w:szCs w:val="28"/>
        </w:rPr>
        <w:t>Бардымс</w:t>
      </w:r>
      <w:r w:rsidRPr="00E3313E">
        <w:rPr>
          <w:rFonts w:ascii="Times New Roman" w:eastAsia="Times New Roman" w:hAnsi="Times New Roman" w:cs="Times New Roman"/>
          <w:sz w:val="28"/>
          <w:szCs w:val="28"/>
        </w:rPr>
        <w:t>кий, Пермский и Чайковский муниципальные районы, их показатели составили 10722,2 млн. руб., 9177,3 млн. руб. и 11155,8 млн. руб. соответственно, или 21%, 18% и 22% от общего объема продаж товаров несобственного производства (без субъектов малого предпринимательства).</w:t>
      </w:r>
    </w:p>
    <w:p w:rsidR="00153E07" w:rsidRPr="00E3313E" w:rsidRDefault="00E21B77" w:rsidP="00153E0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137794</wp:posOffset>
            </wp:positionH>
            <wp:positionV relativeFrom="paragraph">
              <wp:posOffset>36195</wp:posOffset>
            </wp:positionV>
            <wp:extent cx="6257925" cy="2486025"/>
            <wp:effectExtent l="0" t="0" r="0" b="0"/>
            <wp:wrapNone/>
            <wp:docPr id="2202"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E3313E" w:rsidRDefault="00E3313E" w:rsidP="00153E07">
      <w:pPr>
        <w:spacing w:after="0"/>
        <w:ind w:firstLine="709"/>
        <w:jc w:val="both"/>
        <w:rPr>
          <w:rFonts w:ascii="Times New Roman" w:eastAsia="Times New Roman" w:hAnsi="Times New Roman" w:cs="Times New Roman"/>
          <w:sz w:val="28"/>
          <w:szCs w:val="28"/>
        </w:rPr>
      </w:pPr>
    </w:p>
    <w:p w:rsidR="00E3313E" w:rsidRDefault="00E3313E" w:rsidP="00153E07">
      <w:pPr>
        <w:spacing w:after="0"/>
        <w:ind w:firstLine="709"/>
        <w:jc w:val="both"/>
        <w:rPr>
          <w:rFonts w:ascii="Times New Roman" w:eastAsia="Times New Roman" w:hAnsi="Times New Roman" w:cs="Times New Roman"/>
          <w:sz w:val="28"/>
          <w:szCs w:val="28"/>
        </w:rPr>
      </w:pPr>
    </w:p>
    <w:p w:rsidR="00153E07" w:rsidRPr="00127DAF" w:rsidRDefault="00E3313E"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w:t>
      </w:r>
      <w:r w:rsidR="00153E07" w:rsidRPr="00127DAF">
        <w:rPr>
          <w:rFonts w:ascii="Times New Roman" w:eastAsia="Times New Roman" w:hAnsi="Times New Roman" w:cs="Times New Roman"/>
          <w:b/>
          <w:sz w:val="28"/>
          <w:szCs w:val="28"/>
        </w:rPr>
        <w:t>сунок 1.</w:t>
      </w:r>
      <w:r w:rsidR="00127DAF" w:rsidRPr="00127DAF">
        <w:rPr>
          <w:rFonts w:ascii="Times New Roman" w:eastAsia="Times New Roman" w:hAnsi="Times New Roman" w:cs="Times New Roman"/>
          <w:b/>
          <w:sz w:val="28"/>
          <w:szCs w:val="28"/>
        </w:rPr>
        <w:t>77</w:t>
      </w:r>
      <w:r w:rsidR="00153E07" w:rsidRPr="00127DAF">
        <w:rPr>
          <w:rFonts w:ascii="Times New Roman" w:eastAsia="Times New Roman" w:hAnsi="Times New Roman" w:cs="Times New Roman"/>
          <w:b/>
          <w:sz w:val="28"/>
          <w:szCs w:val="28"/>
        </w:rPr>
        <w:t>. Отгрузка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(до 2017 года), млн. рублей</w:t>
      </w: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drawing>
          <wp:inline distT="0" distB="0" distL="0" distR="0">
            <wp:extent cx="5800725" cy="2781300"/>
            <wp:effectExtent l="0" t="0" r="0" b="0"/>
            <wp:docPr id="2203"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w:t>
      </w:r>
      <w:r w:rsidR="00127DAF" w:rsidRPr="00127DAF">
        <w:rPr>
          <w:rFonts w:ascii="Times New Roman" w:eastAsia="Times New Roman" w:hAnsi="Times New Roman" w:cs="Times New Roman"/>
          <w:b/>
          <w:sz w:val="28"/>
          <w:szCs w:val="28"/>
        </w:rPr>
        <w:t>78</w:t>
      </w:r>
      <w:r w:rsidRPr="00127DAF">
        <w:rPr>
          <w:rFonts w:ascii="Times New Roman" w:eastAsia="Times New Roman" w:hAnsi="Times New Roman" w:cs="Times New Roman"/>
          <w:b/>
          <w:sz w:val="28"/>
          <w:szCs w:val="28"/>
        </w:rPr>
        <w:t>. Показатели муниципальных районов Пермского края по продажам товаров несобственного производства (без субъектов малого предпринимательства) в 2016 г., млн. руб.</w:t>
      </w: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7</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Показатели муниципальных районов Пермского края по продажам товаров несобственного производства (без субъектов малого предпринимательства), млн. руб.</w:t>
      </w:r>
    </w:p>
    <w:tbl>
      <w:tblPr>
        <w:tblW w:w="5000" w:type="pct"/>
        <w:tblLook w:val="04A0"/>
      </w:tblPr>
      <w:tblGrid>
        <w:gridCol w:w="3107"/>
        <w:gridCol w:w="1561"/>
        <w:gridCol w:w="783"/>
        <w:gridCol w:w="1561"/>
        <w:gridCol w:w="783"/>
        <w:gridCol w:w="1561"/>
        <w:gridCol w:w="781"/>
      </w:tblGrid>
      <w:tr w:rsidR="00153E07" w:rsidRPr="002A61CE" w:rsidTr="00153E07">
        <w:trPr>
          <w:trHeight w:val="315"/>
        </w:trPr>
        <w:tc>
          <w:tcPr>
            <w:tcW w:w="1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Муниципальный район</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2014</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2015</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2016</w:t>
            </w:r>
          </w:p>
        </w:tc>
      </w:tr>
      <w:tr w:rsidR="00153E07" w:rsidRPr="002A61CE" w:rsidTr="00153E07">
        <w:trPr>
          <w:trHeight w:val="630"/>
        </w:trPr>
        <w:tc>
          <w:tcPr>
            <w:tcW w:w="1533" w:type="pct"/>
            <w:vMerge/>
            <w:tcBorders>
              <w:top w:val="single" w:sz="4" w:space="0" w:color="auto"/>
              <w:left w:val="single" w:sz="4" w:space="0" w:color="auto"/>
              <w:bottom w:val="single" w:sz="4" w:space="0" w:color="auto"/>
              <w:right w:val="single" w:sz="4" w:space="0" w:color="auto"/>
            </w:tcBorders>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Бардымский </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269,04</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359,01</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424,61</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E97C6A"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Бардымс</w:t>
            </w:r>
            <w:r w:rsidR="00153E07" w:rsidRPr="002A61CE">
              <w:rPr>
                <w:rFonts w:ascii="Times New Roman" w:eastAsia="Times New Roman" w:hAnsi="Times New Roman" w:cs="Times New Roman"/>
                <w:color w:val="000000"/>
                <w:sz w:val="24"/>
                <w:szCs w:val="28"/>
              </w:rPr>
              <w:t xml:space="preserve">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11830,8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23%</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10557,9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10722,2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Березовский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114,82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144,53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232,56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Большесосновский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39,34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136,63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Верещагинский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536,63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632,65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776,64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Горнозаводский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914,26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1088,83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516,18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Гремячинский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207,08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108,86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243,84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Добрянский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5490,33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4994,05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2938,97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Еловский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121,32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176,35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Ильинский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96,43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150,61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172,31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Карагайский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98,28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198,48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333,96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Кизеловский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339,09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440,6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422,16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Кишертский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32,14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Красновишерский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265,82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218,35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242,08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Краснокамский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6290,18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5015,49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2591,2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Куединский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223,72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314,71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380,54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Кунгурский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25,92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39,73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40,27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Нытвенский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638,31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816,05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2033,43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Октябрьский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208,24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297,17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434,18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Ординский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119,41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183,68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295,2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Осинский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408,29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598,76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756,18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Оханский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161,39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201,92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282,03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Очерский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1208,07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1303,06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1620,68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Пермский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8485,67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8406,83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9177,28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Сивинский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379,91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405,59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376,96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Суксунский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283,85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363,14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416,88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Уинский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76,84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114,96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165,03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Усольский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99,67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105,78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133,9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Чайковский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9170,59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11328,3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11155,8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22%</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Чердынский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Чернушинский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1142,88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1189,41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1417,76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Чусовской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2137,28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1779,45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2355,03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Итого</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51262,2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51479,2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51109,9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Среди муниципальных районов Пермского края Бардымский район по итогам 2015</w:t>
      </w:r>
      <w:r w:rsidR="00127DAF">
        <w:rPr>
          <w:rFonts w:ascii="Times New Roman" w:eastAsia="Times New Roman" w:hAnsi="Times New Roman" w:cs="Times New Roman"/>
          <w:sz w:val="28"/>
          <w:szCs w:val="28"/>
        </w:rPr>
        <w:t xml:space="preserve"> </w:t>
      </w:r>
      <w:r w:rsidRPr="00E3313E">
        <w:rPr>
          <w:rFonts w:ascii="Times New Roman" w:eastAsia="Times New Roman" w:hAnsi="Times New Roman" w:cs="Times New Roman"/>
          <w:sz w:val="28"/>
          <w:szCs w:val="28"/>
        </w:rPr>
        <w:t>г. занимает 11 место по инвестициям в основной капитал за счет средств муниципального бюджета (33,9 млн. руб., или 3,6% совокупного объема инвестиций в основной капитал за счет средств муниципального бюджета по всему Пермскому краю).</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Лидером в сфере инвестиций является Пермский район (129,6 млн. руб., или 13% совокупного объема инвестиций в основной капитал за счет средств муниципального бюджета по всему Пермскому краю), далее в списках Добрянский (88,29 млн. руб.) и Чернушинский (76,19 млн. руб.). Последними в рейтинге являются Частинский и Еловский районы, (1 млн. руб. и 0,14 млн. руб.). Аутсайдерами по данному показателю выступают Кизиловский и Частинский районы.</w:t>
      </w: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drawing>
          <wp:inline distT="0" distB="0" distL="0" distR="0">
            <wp:extent cx="5781675" cy="4371975"/>
            <wp:effectExtent l="0" t="0" r="0" b="0"/>
            <wp:docPr id="2204"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w:t>
      </w:r>
      <w:r w:rsidR="00127DAF" w:rsidRPr="00127DAF">
        <w:rPr>
          <w:rFonts w:ascii="Times New Roman" w:eastAsia="Times New Roman" w:hAnsi="Times New Roman" w:cs="Times New Roman"/>
          <w:b/>
          <w:sz w:val="28"/>
          <w:szCs w:val="28"/>
        </w:rPr>
        <w:t>79</w:t>
      </w:r>
      <w:r w:rsidRPr="00127DAF">
        <w:rPr>
          <w:rFonts w:ascii="Times New Roman" w:eastAsia="Times New Roman" w:hAnsi="Times New Roman" w:cs="Times New Roman"/>
          <w:b/>
          <w:sz w:val="28"/>
          <w:szCs w:val="28"/>
        </w:rPr>
        <w:t>. Инвестиции в основной капитал за счет средств муниципального бюджета, млн. руб.</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1.2</w:t>
      </w:r>
      <w:r w:rsidR="00127DAF">
        <w:rPr>
          <w:rFonts w:ascii="Times New Roman" w:eastAsia="Times New Roman" w:hAnsi="Times New Roman" w:cs="Times New Roman"/>
          <w:sz w:val="28"/>
          <w:szCs w:val="28"/>
        </w:rPr>
        <w:t>8</w:t>
      </w:r>
    </w:p>
    <w:p w:rsidR="00153E07" w:rsidRPr="00E3313E" w:rsidRDefault="00153E07" w:rsidP="006D2568">
      <w:pPr>
        <w:spacing w:after="0" w:line="240" w:lineRule="auto"/>
        <w:jc w:val="both"/>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Инвестиции в основной капитал за счет средств муниципального бюджета, млн. руб.</w:t>
      </w:r>
    </w:p>
    <w:tbl>
      <w:tblPr>
        <w:tblStyle w:val="a7"/>
        <w:tblW w:w="9889" w:type="dxa"/>
        <w:tblLook w:val="04E0"/>
      </w:tblPr>
      <w:tblGrid>
        <w:gridCol w:w="3652"/>
        <w:gridCol w:w="2126"/>
        <w:gridCol w:w="1984"/>
        <w:gridCol w:w="2127"/>
      </w:tblGrid>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Муниципальный район</w:t>
            </w:r>
          </w:p>
        </w:tc>
        <w:tc>
          <w:tcPr>
            <w:tcW w:w="2126"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2013</w:t>
            </w:r>
          </w:p>
        </w:tc>
        <w:tc>
          <w:tcPr>
            <w:tcW w:w="1984"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2014</w:t>
            </w:r>
          </w:p>
        </w:tc>
        <w:tc>
          <w:tcPr>
            <w:tcW w:w="2127"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2015</w:t>
            </w:r>
          </w:p>
        </w:tc>
      </w:tr>
      <w:tr w:rsidR="00153E07" w:rsidRPr="00E3313E" w:rsidTr="00F405EC">
        <w:tc>
          <w:tcPr>
            <w:tcW w:w="3652"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Бардымский </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25,07</w:t>
            </w:r>
          </w:p>
        </w:tc>
        <w:tc>
          <w:tcPr>
            <w:tcW w:w="1984"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52,11</w:t>
            </w:r>
          </w:p>
        </w:tc>
        <w:tc>
          <w:tcPr>
            <w:tcW w:w="2127"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33,87</w:t>
            </w:r>
          </w:p>
        </w:tc>
      </w:tr>
      <w:tr w:rsidR="00153E07" w:rsidRPr="00E3313E" w:rsidTr="00F405EC">
        <w:tc>
          <w:tcPr>
            <w:tcW w:w="3652" w:type="dxa"/>
          </w:tcPr>
          <w:p w:rsidR="00153E07" w:rsidRPr="002A61CE" w:rsidRDefault="00E97C6A"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Бардымс</w:t>
            </w:r>
            <w:r w:rsidR="00153E07" w:rsidRPr="002A61CE">
              <w:rPr>
                <w:rFonts w:ascii="Times New Roman" w:eastAsia="Times New Roman" w:hAnsi="Times New Roman" w:cs="Times New Roman"/>
                <w:sz w:val="24"/>
                <w:szCs w:val="28"/>
              </w:rPr>
              <w:t xml:space="preserve">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93,41</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75,01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11,36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Березовский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12,78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21,67</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36,77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Большесосновский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26,94</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33,91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Верещагинский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31,22</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52,42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17,47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Горнозаводский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59,96</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31,52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4,15</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Гремячинский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58,07</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Добрянский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48,30</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73,35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88,29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Еловский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10,68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1,33</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0,14</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Ильинский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48,28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44,76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12,92</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Карагайский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6,69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13,54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11,04</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lastRenderedPageBreak/>
              <w:t>Кизеловский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7,53</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5,64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Кишертский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8,57</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7,68</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Красновишерский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148,18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19,64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43,61</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Краснокамский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40,04</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61,13</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52,37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Куединский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111,23</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45,56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29,00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Кунгурский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236,55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66,12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30,74</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Нытвенский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23,80</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33,11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14,69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Октябрьский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67,28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78,45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42,42</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Ординский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18,36</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16,02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36,22</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Осинский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12,48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16,19</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28,49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Оханский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7,66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7,19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Очерский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9,46</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12,01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39,60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Пермский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386,71</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205,76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129,56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Сивинский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12,01</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17,88</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3,38</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Соликамский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27,50</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17,04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10,99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Суксунский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38,82</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88,44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26,70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8,68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21,46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21,55</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Усольский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17,17</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50,10</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29,13</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Чайковский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35,39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17,93</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53,05</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Частинский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85,85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27,39</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Чердынский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18,79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10,68</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7,78</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Чернушинский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60,05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56,62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76,19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Чусовской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42,85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35,25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25,86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Итого</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1790,9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1375,5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936,3</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По объему расходов местного бюджета</w:t>
      </w:r>
      <w:r w:rsidR="00127DAF">
        <w:rPr>
          <w:rFonts w:ascii="Times New Roman" w:eastAsia="Times New Roman" w:hAnsi="Times New Roman" w:cs="Times New Roman"/>
          <w:sz w:val="28"/>
          <w:szCs w:val="28"/>
        </w:rPr>
        <w:t xml:space="preserve"> </w:t>
      </w:r>
      <w:r w:rsidRPr="00E3313E">
        <w:rPr>
          <w:rFonts w:ascii="Times New Roman" w:eastAsia="Times New Roman" w:hAnsi="Times New Roman" w:cs="Times New Roman"/>
          <w:sz w:val="28"/>
          <w:szCs w:val="28"/>
        </w:rPr>
        <w:t xml:space="preserve">в 2016 году Бардымский район занимает 14 место (688,12 млн. руб.), что соответствует 2,6% общих расходов местных бюджетов всего Пермского края. Наибольшие расходы зафиксированы в Пермском (2780,15 млн. руб.) и Чайковском (1977, 87 млн. руб.) районах.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Расходы местного бюджета Бардымского района в 2016 году увеличились на 2,8%, или 18,56 млн. руб. по сравнению с годом ранее.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lastRenderedPageBreak/>
        <w:drawing>
          <wp:inline distT="0" distB="0" distL="0" distR="0">
            <wp:extent cx="5648325" cy="6524625"/>
            <wp:effectExtent l="0" t="0" r="0" b="0"/>
            <wp:docPr id="2205"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1.8</w:t>
      </w:r>
      <w:r w:rsidR="00127DAF" w:rsidRPr="00127DAF">
        <w:rPr>
          <w:rFonts w:ascii="Times New Roman" w:eastAsia="Times New Roman" w:hAnsi="Times New Roman" w:cs="Times New Roman"/>
          <w:b/>
          <w:sz w:val="28"/>
          <w:szCs w:val="28"/>
        </w:rPr>
        <w:t>0</w:t>
      </w:r>
      <w:r w:rsidRPr="00127DAF">
        <w:rPr>
          <w:rFonts w:ascii="Times New Roman" w:eastAsia="Times New Roman" w:hAnsi="Times New Roman" w:cs="Times New Roman"/>
          <w:b/>
          <w:sz w:val="28"/>
          <w:szCs w:val="28"/>
        </w:rPr>
        <w:t>. Расходы местного бюджета, фактически исполненные, тысяча рублей, млн. руб. 2016 г.</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w:t>
      </w:r>
      <w:r w:rsidR="00127DAF">
        <w:rPr>
          <w:rFonts w:ascii="Times New Roman" w:eastAsia="Times New Roman" w:hAnsi="Times New Roman" w:cs="Times New Roman"/>
          <w:sz w:val="28"/>
          <w:szCs w:val="28"/>
        </w:rPr>
        <w:t>29</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Расходы местного бюджета, фактически исполненные, тысяча рублей, млн. руб. 2016 г.</w:t>
      </w:r>
    </w:p>
    <w:tbl>
      <w:tblPr>
        <w:tblStyle w:val="a7"/>
        <w:tblW w:w="9747" w:type="dxa"/>
        <w:tblLook w:val="04A0"/>
      </w:tblPr>
      <w:tblGrid>
        <w:gridCol w:w="3369"/>
        <w:gridCol w:w="2126"/>
        <w:gridCol w:w="2126"/>
        <w:gridCol w:w="2126"/>
      </w:tblGrid>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Муниципальный район</w:t>
            </w:r>
          </w:p>
        </w:tc>
        <w:tc>
          <w:tcPr>
            <w:tcW w:w="2126"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2014</w:t>
            </w:r>
          </w:p>
        </w:tc>
        <w:tc>
          <w:tcPr>
            <w:tcW w:w="2126"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2015</w:t>
            </w:r>
          </w:p>
        </w:tc>
        <w:tc>
          <w:tcPr>
            <w:tcW w:w="2126"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2016</w:t>
            </w:r>
          </w:p>
        </w:tc>
      </w:tr>
      <w:tr w:rsidR="00153E07" w:rsidRPr="00E3313E" w:rsidTr="00F405EC">
        <w:tc>
          <w:tcPr>
            <w:tcW w:w="3369"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Бардымский </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w:t>
            </w:r>
            <w:r w:rsidR="00F405EC" w:rsidRPr="002A61CE">
              <w:rPr>
                <w:rFonts w:ascii="Times New Roman" w:eastAsia="Times New Roman" w:hAnsi="Times New Roman" w:cs="Times New Roman"/>
                <w:sz w:val="24"/>
                <w:szCs w:val="24"/>
              </w:rPr>
              <w:t>20,24</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669,56</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688,12</w:t>
            </w:r>
          </w:p>
        </w:tc>
      </w:tr>
      <w:tr w:rsidR="00153E07" w:rsidRPr="00E3313E" w:rsidTr="00F405EC">
        <w:tc>
          <w:tcPr>
            <w:tcW w:w="3369" w:type="dxa"/>
          </w:tcPr>
          <w:p w:rsidR="00153E07" w:rsidRPr="002A61CE" w:rsidRDefault="00E97C6A"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Бардымс</w:t>
            </w:r>
            <w:r w:rsidR="00153E07" w:rsidRPr="002A61CE">
              <w:rPr>
                <w:rFonts w:ascii="Times New Roman" w:eastAsia="Times New Roman" w:hAnsi="Times New Roman" w:cs="Times New Roman"/>
                <w:sz w:val="24"/>
                <w:szCs w:val="24"/>
              </w:rPr>
              <w:t xml:space="preserve">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635,21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637,65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720,86</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Березовский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428,92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435,37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408,60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Большесосновский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415,60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463,94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420,77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Верещагинский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1022,09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949,32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965,41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Горнозаводский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597,26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526,56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553,07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Гремячинский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294,59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248,47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238,93</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lastRenderedPageBreak/>
              <w:t>Добрянский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1350,05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1286,90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1189,99</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Еловский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397,52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308,50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315,56</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Ильинский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591,01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549,70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537,71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Карагайский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680,68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723,36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684,91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Кизеловский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632,65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456,26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470,06</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Кишертский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341,36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323,37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417,07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Красновишерский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859,18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653,89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628,50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Краснокамский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1369,96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1269,84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1445,30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Куединский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839,94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888,15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899,94</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Кунгурский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1128,93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1270,04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1081,59</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Нытвенский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928,73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877,51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929,65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Октябрьский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808,39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805,88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807,45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Ординский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481,01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463,55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484,08</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Осинский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711,64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782,11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758,23</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Оханский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390,58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376,24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381,95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Очерский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526,10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613,94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530,05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Пермский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2847,09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2749,61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2780,15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Сивинский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478,31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454,13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517,30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Соликамский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451,82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453,96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429,21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Суксунский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547,45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497,91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542,17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Уинский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365,65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354,91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333,85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Усольский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394,99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344,24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463,71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Чайковский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2068,58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1917,51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1977,87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Частинский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482,21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524,36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477,72</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Чердынский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548,19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494,67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497,70</w:t>
            </w:r>
          </w:p>
        </w:tc>
      </w:tr>
      <w:tr w:rsidR="00153E07" w:rsidRPr="00E3313E" w:rsidTr="00F405EC">
        <w:trPr>
          <w:trHeight w:val="70"/>
        </w:trPr>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Чернушинский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1342,06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1378,88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1337,19</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Чусовской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1296,33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1258,54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1531,54</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Объем доходов Бардымского района в 2016 году составил 696, 57 млн. руб., что на 3,5%, или 23,66 млн. руб. больше, чем в 2015 году. По данному показателю район занимает 14 место среди 34 муниципальных районов Пермского края.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Среди лидеров выделяется Пермский и Чайковский районы, их доходы составляют 2773,22 и 2008 млн. руб. соответственно.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lastRenderedPageBreak/>
        <w:drawing>
          <wp:inline distT="0" distB="0" distL="0" distR="0">
            <wp:extent cx="5743575" cy="4940135"/>
            <wp:effectExtent l="0" t="0" r="0" b="0"/>
            <wp:docPr id="2206"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53E07" w:rsidRPr="00127DAF" w:rsidRDefault="00153E07" w:rsidP="006D2568">
      <w:pPr>
        <w:spacing w:after="0" w:line="240" w:lineRule="auto"/>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1.8</w:t>
      </w:r>
      <w:r w:rsidR="00127DAF" w:rsidRPr="00127DAF">
        <w:rPr>
          <w:rFonts w:ascii="Times New Roman" w:eastAsia="Times New Roman" w:hAnsi="Times New Roman" w:cs="Times New Roman"/>
          <w:b/>
          <w:sz w:val="28"/>
          <w:szCs w:val="28"/>
        </w:rPr>
        <w:t>1</w:t>
      </w:r>
      <w:r w:rsidRPr="00127DAF">
        <w:rPr>
          <w:rFonts w:ascii="Times New Roman" w:eastAsia="Times New Roman" w:hAnsi="Times New Roman" w:cs="Times New Roman"/>
          <w:b/>
          <w:sz w:val="28"/>
          <w:szCs w:val="28"/>
        </w:rPr>
        <w:t>. Доходы местного бюджета, фактически исполненные, млн. руб. 2016</w:t>
      </w:r>
      <w:r w:rsidR="00127DAF">
        <w:rPr>
          <w:rFonts w:ascii="Times New Roman" w:eastAsia="Times New Roman" w:hAnsi="Times New Roman" w:cs="Times New Roman"/>
          <w:b/>
          <w:sz w:val="28"/>
          <w:szCs w:val="28"/>
        </w:rPr>
        <w:t xml:space="preserve"> </w:t>
      </w:r>
      <w:r w:rsidRPr="00127DAF">
        <w:rPr>
          <w:rFonts w:ascii="Times New Roman" w:eastAsia="Times New Roman" w:hAnsi="Times New Roman" w:cs="Times New Roman"/>
          <w:b/>
          <w:sz w:val="28"/>
          <w:szCs w:val="28"/>
        </w:rPr>
        <w:t>г.</w:t>
      </w:r>
    </w:p>
    <w:p w:rsidR="00153E07" w:rsidRPr="00127DAF" w:rsidRDefault="00153E07" w:rsidP="006D2568">
      <w:pPr>
        <w:spacing w:after="0" w:line="240" w:lineRule="auto"/>
        <w:ind w:firstLine="709"/>
        <w:jc w:val="right"/>
        <w:rPr>
          <w:rFonts w:ascii="Times New Roman" w:eastAsia="Times New Roman" w:hAnsi="Times New Roman" w:cs="Times New Roman"/>
          <w:sz w:val="28"/>
          <w:szCs w:val="28"/>
        </w:rPr>
      </w:pPr>
      <w:r w:rsidRPr="00127DAF">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0</w:t>
      </w:r>
    </w:p>
    <w:p w:rsidR="00153E07" w:rsidRPr="00E3313E" w:rsidRDefault="00153E07" w:rsidP="006D2568">
      <w:pPr>
        <w:spacing w:after="0" w:line="240" w:lineRule="auto"/>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Доходы местного бюджета, фактически исполненные, млн. руб. 2016 г.</w:t>
      </w:r>
    </w:p>
    <w:tbl>
      <w:tblPr>
        <w:tblStyle w:val="a7"/>
        <w:tblW w:w="0" w:type="auto"/>
        <w:tblLook w:val="04A0"/>
      </w:tblPr>
      <w:tblGrid>
        <w:gridCol w:w="3794"/>
        <w:gridCol w:w="1984"/>
        <w:gridCol w:w="1843"/>
        <w:gridCol w:w="1843"/>
      </w:tblGrid>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Муниципальный район</w:t>
            </w:r>
          </w:p>
        </w:tc>
        <w:tc>
          <w:tcPr>
            <w:tcW w:w="1984"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2014</w:t>
            </w:r>
          </w:p>
        </w:tc>
        <w:tc>
          <w:tcPr>
            <w:tcW w:w="1843"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2015</w:t>
            </w:r>
          </w:p>
        </w:tc>
        <w:tc>
          <w:tcPr>
            <w:tcW w:w="1843"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2016</w:t>
            </w:r>
          </w:p>
        </w:tc>
      </w:tr>
      <w:tr w:rsidR="00153E07" w:rsidRPr="00E3313E" w:rsidTr="00127DAF">
        <w:tc>
          <w:tcPr>
            <w:tcW w:w="3794"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Бардымский </w:t>
            </w:r>
          </w:p>
        </w:tc>
        <w:tc>
          <w:tcPr>
            <w:tcW w:w="1984"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714,26</w:t>
            </w:r>
          </w:p>
        </w:tc>
        <w:tc>
          <w:tcPr>
            <w:tcW w:w="1843"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672,91</w:t>
            </w:r>
          </w:p>
        </w:tc>
        <w:tc>
          <w:tcPr>
            <w:tcW w:w="1843"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696,57</w:t>
            </w:r>
          </w:p>
        </w:tc>
      </w:tr>
      <w:tr w:rsidR="00153E07" w:rsidRPr="00E3313E" w:rsidTr="00127DAF">
        <w:tc>
          <w:tcPr>
            <w:tcW w:w="3794" w:type="dxa"/>
          </w:tcPr>
          <w:p w:rsidR="00153E07" w:rsidRPr="002A61CE" w:rsidRDefault="00E97C6A"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Бардымс</w:t>
            </w:r>
            <w:r w:rsidR="00153E07" w:rsidRPr="002A61CE">
              <w:rPr>
                <w:rFonts w:ascii="Times New Roman" w:eastAsia="Times New Roman" w:hAnsi="Times New Roman" w:cs="Times New Roman"/>
                <w:sz w:val="24"/>
                <w:szCs w:val="28"/>
              </w:rPr>
              <w:t xml:space="preserve">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633,48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638,35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716,48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Березовский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427,29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411,94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406,60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Большесосновский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441,24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426,72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417,71</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Верещагинский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1018,41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956,52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972,08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Горнозаводский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557,27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514,70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550,06</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Гремячинский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263,55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223,59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223,24</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Добрянский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1371,24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1249,33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1213,56</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Еловский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374,69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306,33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317,50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Ильинский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585,93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537,21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539,77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Карагайский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677,53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684,33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680,67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Кизеловский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463,08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432,43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466,74</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Кишертский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327,85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323,77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422,29</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Красновишерский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608,15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653,14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613,68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Краснокамский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1369,66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1254,63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1444,38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Куединский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845,47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894,22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911,92</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Кунгурский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1104,86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1209,27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1089,45</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Нытвенский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914,79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868,06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939,25</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lastRenderedPageBreak/>
              <w:t xml:space="preserve">Октябрьский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818,12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791,71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828,43</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Ординский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467,48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455,29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509,27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Осинский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727,32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748,33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752,18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Оханский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379,82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378,40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378,68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Очерский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514,40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517,27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499,77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Пермский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2833,73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2726,99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2773,22</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Сивинский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476,79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457,74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525,17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Соликамский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434,08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449,07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470,49</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Суксунский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538,46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505,17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528,33</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358,16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350,82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331,46</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Усольский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411,98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336,92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464,07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Чайковский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2107,13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1862,21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2008,00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Частинский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476,96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536,77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478,40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Чердынский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529,46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487,19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520,82</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Чернушинский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1327,50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1381,06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1334,65</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Таким образом, Бардымский муниципальный район занимает среднее место среди районов Пермского края, уступая более развитым в экономическом отношении районам, таким как Пермский, Чайковский районы. Наличие производственных, социальных связей с г. Пермь, оказывают влияние на социально-экономическое развитие муниципального района, что находит отражение в оживлении ряда экономических процессов – небольшого роста инвестиционных потоков, увеличения расходов и доходов местного бюджета, роста ввода нового жилья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Опосредованный положительный экономический эффект на развитие и освоение территории оказывает добыча и переработка нефти, однако основная доля налоговых поступлений аккумулируется в федеральном бюджете.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Наличие социально-демографических, инфраструктурных и производственных проблем сдерживает развитие территории.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 условиях современных требований к уровню социальных услуг и производственного процесса сохраняются кадровые проблемы по количеству трудовых ресурсов.</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Сохранятся проблемы, касаемо инфраструктурного обеспечения и развития сельской местности, характеризующееся высоким уровнем износа инженерных коммуникаций, жилого фонда, дорожной инфраструктуры.</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 целом необходимо отметить, что среди территорий сельскохозяйственной направленности Пермского края Бардымский муниципальный район играет важное место в развитии субъекта РФ.</w:t>
      </w:r>
    </w:p>
    <w:p w:rsidR="006D2568" w:rsidRDefault="006D2568" w:rsidP="006D2568">
      <w:pPr>
        <w:spacing w:after="0" w:line="240" w:lineRule="auto"/>
        <w:ind w:firstLine="709"/>
        <w:jc w:val="both"/>
        <w:rPr>
          <w:rFonts w:ascii="Times New Roman" w:eastAsia="Times New Roman" w:hAnsi="Times New Roman" w:cs="Times New Roman"/>
          <w:sz w:val="28"/>
          <w:szCs w:val="28"/>
        </w:rPr>
      </w:pPr>
    </w:p>
    <w:p w:rsidR="00153E07" w:rsidRDefault="00153E07" w:rsidP="006D2568">
      <w:pPr>
        <w:pStyle w:val="1"/>
        <w:numPr>
          <w:ilvl w:val="1"/>
          <w:numId w:val="17"/>
        </w:numPr>
        <w:spacing w:line="240" w:lineRule="auto"/>
      </w:pPr>
      <w:r w:rsidRPr="00E3313E">
        <w:t>Типология городских и сельских поселений Бардымского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Типология сельских поселений Бардымского муниципального района была проведена с использованием СП 42.13330.2016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СНиП 2.07.01-89. Градостроительство. Планировка и застройка городских и сельских поселений</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утвержденным Приказом Министерства строительства и жилищно-коммунального хозяйства Российской Федерации № 1034/прот 30.12.2016 г., введена в действие с 1.07.2017г.Городские и сельские поселения подразделяются на группы в соответствии с таблицей 1.32.</w:t>
      </w: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1.3</w:t>
      </w:r>
      <w:r w:rsidR="00127DAF">
        <w:rPr>
          <w:rFonts w:ascii="Times New Roman" w:eastAsia="Times New Roman" w:hAnsi="Times New Roman" w:cs="Times New Roman"/>
          <w:sz w:val="28"/>
          <w:szCs w:val="28"/>
        </w:rPr>
        <w:t>1</w:t>
      </w:r>
    </w:p>
    <w:p w:rsidR="00153E07" w:rsidRPr="00E3313E" w:rsidRDefault="00153E07" w:rsidP="006D2568">
      <w:pPr>
        <w:spacing w:after="0" w:line="240" w:lineRule="auto"/>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Классификация городских и сельских поселений в соответствии с численностью населения</w:t>
      </w:r>
      <w:r w:rsidRPr="00E3313E">
        <w:rPr>
          <w:rStyle w:val="aff2"/>
          <w:rFonts w:ascii="Times New Roman" w:eastAsia="Times New Roman" w:hAnsi="Times New Roman" w:cs="Times New Roman"/>
          <w:b/>
          <w:sz w:val="28"/>
          <w:szCs w:val="28"/>
        </w:rPr>
        <w:footnoteReference w:id="4"/>
      </w:r>
    </w:p>
    <w:tbl>
      <w:tblPr>
        <w:tblW w:w="5000" w:type="pct"/>
        <w:jc w:val="center"/>
        <w:tblLook w:val="04A0"/>
      </w:tblPr>
      <w:tblGrid>
        <w:gridCol w:w="2819"/>
        <w:gridCol w:w="3659"/>
        <w:gridCol w:w="3659"/>
      </w:tblGrid>
      <w:tr w:rsidR="00153E07" w:rsidRPr="00E3313E" w:rsidTr="00153E07">
        <w:trPr>
          <w:trHeight w:val="315"/>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Группы</w:t>
            </w:r>
          </w:p>
        </w:tc>
        <w:tc>
          <w:tcPr>
            <w:tcW w:w="3610"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Население, тыс. чел.</w:t>
            </w:r>
          </w:p>
        </w:tc>
      </w:tr>
      <w:tr w:rsidR="00153E07" w:rsidRPr="00E3313E" w:rsidTr="00153E07">
        <w:trPr>
          <w:trHeight w:val="300"/>
          <w:jc w:val="cent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Города</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Сельские поселения</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Крупнейшие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Свыше 1000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w:t>
            </w:r>
          </w:p>
        </w:tc>
      </w:tr>
      <w:tr w:rsidR="00153E07" w:rsidRPr="00E3313E" w:rsidTr="00153E07">
        <w:trPr>
          <w:trHeight w:val="300"/>
          <w:jc w:val="center"/>
        </w:trPr>
        <w:tc>
          <w:tcPr>
            <w:tcW w:w="1390"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Крупные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500-1000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Свыше 5</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250-500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3-5</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Большие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100-250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Средние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50-100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0,2-1</w:t>
            </w:r>
          </w:p>
        </w:tc>
      </w:tr>
      <w:tr w:rsidR="00153E07" w:rsidRPr="00E3313E" w:rsidTr="00153E07">
        <w:trPr>
          <w:trHeight w:val="300"/>
          <w:jc w:val="center"/>
        </w:trPr>
        <w:tc>
          <w:tcPr>
            <w:tcW w:w="1390"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Малые*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20-50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0,05-0,2</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0,05</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r>
      <w:tr w:rsidR="00153E07" w:rsidRPr="00E3313E" w:rsidTr="00153E07">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В группу малых городов включаются поселки городского типа</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Структура численности населения Бардымского муниципального района в разрезе сельских поселений представлена в таблице 1.3</w:t>
      </w:r>
      <w:r w:rsidR="00127DAF">
        <w:rPr>
          <w:rFonts w:ascii="Times New Roman" w:eastAsia="Times New Roman" w:hAnsi="Times New Roman" w:cs="Times New Roman"/>
          <w:sz w:val="28"/>
          <w:szCs w:val="28"/>
        </w:rPr>
        <w:t>2</w:t>
      </w:r>
      <w:r w:rsidRPr="00E3313E">
        <w:rPr>
          <w:rFonts w:ascii="Times New Roman" w:eastAsia="Times New Roman" w:hAnsi="Times New Roman" w:cs="Times New Roman"/>
          <w:sz w:val="28"/>
          <w:szCs w:val="28"/>
        </w:rPr>
        <w:t>.</w:t>
      </w:r>
    </w:p>
    <w:p w:rsidR="00E3313E" w:rsidRDefault="00E3313E" w:rsidP="006D2568">
      <w:pPr>
        <w:spacing w:after="0" w:line="240" w:lineRule="auto"/>
        <w:ind w:firstLine="709"/>
        <w:jc w:val="right"/>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2</w:t>
      </w:r>
    </w:p>
    <w:p w:rsidR="00153E07" w:rsidRPr="00E3313E" w:rsidRDefault="00153E07" w:rsidP="006D2568">
      <w:pPr>
        <w:spacing w:after="0" w:line="240" w:lineRule="auto"/>
        <w:jc w:val="center"/>
        <w:rPr>
          <w:rFonts w:ascii="Times New Roman" w:eastAsia="Times New Roman" w:hAnsi="Times New Roman" w:cs="Times New Roman"/>
          <w:b/>
          <w:color w:val="000000"/>
          <w:sz w:val="28"/>
          <w:szCs w:val="28"/>
        </w:rPr>
      </w:pPr>
      <w:r w:rsidRPr="00E3313E">
        <w:rPr>
          <w:rFonts w:ascii="Times New Roman" w:eastAsia="Times New Roman" w:hAnsi="Times New Roman" w:cs="Times New Roman"/>
          <w:b/>
          <w:sz w:val="28"/>
          <w:szCs w:val="28"/>
        </w:rPr>
        <w:t>Структура численности населения в разрезе сельских поселений Бардымского муниципального района на 01.01.2017</w:t>
      </w:r>
      <w:r w:rsidR="00127DAF">
        <w:rPr>
          <w:rFonts w:ascii="Times New Roman" w:eastAsia="Times New Roman" w:hAnsi="Times New Roman" w:cs="Times New Roman"/>
          <w:b/>
          <w:sz w:val="28"/>
          <w:szCs w:val="28"/>
        </w:rPr>
        <w:t xml:space="preserve"> </w:t>
      </w:r>
      <w:r w:rsidRPr="00E3313E">
        <w:rPr>
          <w:rFonts w:ascii="Times New Roman" w:eastAsia="Times New Roman" w:hAnsi="Times New Roman" w:cs="Times New Roman"/>
          <w:b/>
          <w:sz w:val="28"/>
          <w:szCs w:val="28"/>
        </w:rPr>
        <w:t>г.</w:t>
      </w:r>
      <w:r w:rsidRPr="00E3313E">
        <w:rPr>
          <w:rStyle w:val="aff2"/>
          <w:rFonts w:ascii="Times New Roman" w:eastAsia="Times New Roman" w:hAnsi="Times New Roman" w:cs="Times New Roman"/>
          <w:b/>
          <w:color w:val="000000"/>
          <w:sz w:val="28"/>
          <w:szCs w:val="28"/>
        </w:rPr>
        <w:footnoteReference w:id="5"/>
      </w:r>
    </w:p>
    <w:tbl>
      <w:tblPr>
        <w:tblW w:w="5000" w:type="pct"/>
        <w:tblLayout w:type="fixed"/>
        <w:tblLook w:val="04A0"/>
      </w:tblPr>
      <w:tblGrid>
        <w:gridCol w:w="3718"/>
        <w:gridCol w:w="3455"/>
        <w:gridCol w:w="1504"/>
        <w:gridCol w:w="1460"/>
      </w:tblGrid>
      <w:tr w:rsidR="00153E07" w:rsidRPr="00E3313E" w:rsidTr="00153E07">
        <w:trPr>
          <w:trHeight w:val="300"/>
        </w:trPr>
        <w:tc>
          <w:tcPr>
            <w:tcW w:w="18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Сельское поселение</w:t>
            </w:r>
          </w:p>
        </w:tc>
        <w:tc>
          <w:tcPr>
            <w:tcW w:w="17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Группа</w:t>
            </w:r>
          </w:p>
        </w:tc>
        <w:tc>
          <w:tcPr>
            <w:tcW w:w="1462"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Население на 01.01.2017г.</w:t>
            </w:r>
          </w:p>
        </w:tc>
      </w:tr>
      <w:tr w:rsidR="00153E07" w:rsidRPr="00E3313E" w:rsidTr="00153E07">
        <w:trPr>
          <w:trHeight w:val="300"/>
        </w:trPr>
        <w:tc>
          <w:tcPr>
            <w:tcW w:w="1834"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p>
        </w:tc>
        <w:tc>
          <w:tcPr>
            <w:tcW w:w="1704"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p>
        </w:tc>
        <w:tc>
          <w:tcPr>
            <w:tcW w:w="742"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человек</w:t>
            </w:r>
          </w:p>
        </w:tc>
        <w:tc>
          <w:tcPr>
            <w:tcW w:w="720"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Удельный вес, %</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Бардымское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Крупное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9827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38,9%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Красноярское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2249</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8,9%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Елпачихинское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1916</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7,6%</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Березниковское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1364</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5,4%</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Сарашевское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2487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9,8%</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Тюндюковское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1312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5,2%</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Бичуринское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1652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6,5%</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Брюзлинское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792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3,1%</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Федорковское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1184</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4,7%</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Печменское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1607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6,4%</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Новоашапское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422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1,7%</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Шермейское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479</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noWrap/>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Итого</w:t>
            </w:r>
          </w:p>
        </w:tc>
        <w:tc>
          <w:tcPr>
            <w:tcW w:w="1704" w:type="pct"/>
            <w:tcBorders>
              <w:top w:val="nil"/>
              <w:left w:val="nil"/>
              <w:bottom w:val="single" w:sz="4" w:space="0" w:color="auto"/>
              <w:right w:val="single" w:sz="4" w:space="0" w:color="auto"/>
            </w:tcBorders>
            <w:shd w:val="clear" w:color="auto" w:fill="auto"/>
            <w:noWrap/>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25291</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40697" w:rsidRPr="00127DAF" w:rsidRDefault="00140697" w:rsidP="00980ED1">
      <w:pPr>
        <w:spacing w:after="0" w:line="240" w:lineRule="auto"/>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1.4.1 Типология населенных пунктов Бардымского муниципального района</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Бардымском муниципальном районе расположен 61 населенный пункт. В соответствии с численностью населения в данных населенных пунктах их можно подразделить на 3 группы: развиваемые, сохраняемые и неперспективные населенные пункты.</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развиваемым населенным пунктам можно отнести те, в которых численность населения составляет от 300 до 10000 человек.</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Сохраняемыми населенными пунктами выступают села и деревни с численностью населения от 10 до 300 человек.</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Неперспективными считаются те, населенные пункты, в которых проживает до 10 человек, так называемые однодворки.</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1.3</w:t>
      </w:r>
      <w:r w:rsidR="00127DA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представлены населенные пункты Бардымского муниципального района в разрезе данной группировки.</w:t>
      </w:r>
    </w:p>
    <w:p w:rsidR="00EE309F" w:rsidRDefault="00EE309F" w:rsidP="006D2568">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3</w:t>
      </w:r>
    </w:p>
    <w:p w:rsidR="00EE309F" w:rsidRPr="00EF6379" w:rsidRDefault="00EE309F" w:rsidP="006D2568">
      <w:pPr>
        <w:spacing w:after="0" w:line="240" w:lineRule="auto"/>
        <w:ind w:firstLine="709"/>
        <w:jc w:val="center"/>
        <w:rPr>
          <w:rFonts w:ascii="Times New Roman" w:eastAsia="Times New Roman" w:hAnsi="Times New Roman" w:cs="Times New Roman"/>
          <w:b/>
          <w:sz w:val="28"/>
          <w:szCs w:val="28"/>
        </w:rPr>
      </w:pPr>
      <w:r w:rsidRPr="00EF6379">
        <w:rPr>
          <w:rFonts w:ascii="Times New Roman" w:eastAsia="Times New Roman" w:hAnsi="Times New Roman" w:cs="Times New Roman"/>
          <w:b/>
          <w:sz w:val="28"/>
          <w:szCs w:val="28"/>
        </w:rPr>
        <w:t xml:space="preserve">Населенные пункты Бардымского муниципального района </w:t>
      </w:r>
    </w:p>
    <w:p w:rsidR="00EE309F" w:rsidRPr="00EF6379" w:rsidRDefault="00EE309F" w:rsidP="006D2568">
      <w:pPr>
        <w:spacing w:after="0" w:line="240" w:lineRule="auto"/>
        <w:ind w:firstLine="709"/>
        <w:jc w:val="center"/>
        <w:rPr>
          <w:rFonts w:ascii="Times New Roman" w:eastAsia="Times New Roman" w:hAnsi="Times New Roman" w:cs="Times New Roman"/>
          <w:b/>
          <w:sz w:val="28"/>
          <w:szCs w:val="28"/>
        </w:rPr>
      </w:pPr>
      <w:r w:rsidRPr="00EF6379">
        <w:rPr>
          <w:rFonts w:ascii="Times New Roman" w:eastAsia="Times New Roman" w:hAnsi="Times New Roman" w:cs="Times New Roman"/>
          <w:b/>
          <w:sz w:val="28"/>
          <w:szCs w:val="28"/>
        </w:rPr>
        <w:t>по категориям развития</w:t>
      </w:r>
    </w:p>
    <w:tbl>
      <w:tblPr>
        <w:tblW w:w="5000" w:type="pct"/>
        <w:jc w:val="center"/>
        <w:tblLook w:val="04A0"/>
      </w:tblPr>
      <w:tblGrid>
        <w:gridCol w:w="2794"/>
        <w:gridCol w:w="2313"/>
        <w:gridCol w:w="2226"/>
        <w:gridCol w:w="2804"/>
      </w:tblGrid>
      <w:tr w:rsidR="00EE309F" w:rsidRPr="00EE309F" w:rsidTr="00EE309F">
        <w:trPr>
          <w:trHeight w:val="900"/>
          <w:jc w:val="center"/>
        </w:trPr>
        <w:tc>
          <w:tcPr>
            <w:tcW w:w="137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Сельское поселение / Населенный пункт</w:t>
            </w:r>
          </w:p>
        </w:tc>
        <w:tc>
          <w:tcPr>
            <w:tcW w:w="1141"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Развиваемый</w:t>
            </w:r>
          </w:p>
        </w:tc>
        <w:tc>
          <w:tcPr>
            <w:tcW w:w="1098"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Сохраняемый</w:t>
            </w:r>
          </w:p>
        </w:tc>
        <w:tc>
          <w:tcPr>
            <w:tcW w:w="1383"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Неперспективный</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Бардымское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Барда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Мостовая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Старый Чад</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Чалково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Березниковское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Березники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Ишимово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Кудаш</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Чувашаево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Куземьярово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Бичуринское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Бичурино</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Бардабашка-I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Бардабашка-II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Учкул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Брюзлинское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Брюзли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Батырбай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Сюзянь</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Елпачихинское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Елпачиха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Искирь</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Конюково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Усть-Тунтор</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Красноярское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lastRenderedPageBreak/>
              <w:t>с. Краснояр-I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Краснояр-II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Утяй</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Новоашапское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4</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Новый Ашап</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Верхний 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Никольск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Талканка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Усть-Шлык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Печменское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5</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Печмень</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Амировка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Асюл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Зязелга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Кармановка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75"/>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Нижняя Искильда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Константиновка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Сарашевское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Сараши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3A4F1A" w:rsidP="006D256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w:t>
            </w:r>
            <w:r w:rsidR="00EE309F" w:rsidRPr="00EE309F">
              <w:rPr>
                <w:rFonts w:ascii="Times New Roman" w:eastAsia="Times New Roman" w:hAnsi="Times New Roman" w:cs="Times New Roman"/>
                <w:color w:val="000000"/>
              </w:rPr>
              <w:t xml:space="preserve"> Игатка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Нарадка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Усаклы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Султанай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Танып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Тюндюковское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4</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Тюндюк</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Новая Казанка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Верх-Шлык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Новый Чад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Старый 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Аклуши</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Федорковское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Федорки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Юкшур</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Акбаш</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Уймуж</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Шермейское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7</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Шермейка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Антуфьево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Зайцево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Караул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Низовское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Шабарка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Шермеинск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Щипа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п. Искирский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lastRenderedPageBreak/>
              <w:t>Итого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33</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5</w:t>
            </w:r>
          </w:p>
        </w:tc>
      </w:tr>
    </w:tbl>
    <w:p w:rsidR="00140697" w:rsidRDefault="00DE336E"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к категории развиваемых относится 23 населенных пункта, из них </w:t>
      </w:r>
      <w:r w:rsidR="001B40D6">
        <w:rPr>
          <w:rFonts w:ascii="Times New Roman" w:eastAsia="Times New Roman" w:hAnsi="Times New Roman" w:cs="Times New Roman"/>
          <w:sz w:val="28"/>
          <w:szCs w:val="28"/>
        </w:rPr>
        <w:t xml:space="preserve">наибольшая доля располагается в Бардымском, Березниковском, Брюзлинском, Красноярском, </w:t>
      </w:r>
      <w:r w:rsidR="00592655">
        <w:rPr>
          <w:rFonts w:ascii="Times New Roman" w:eastAsia="Times New Roman" w:hAnsi="Times New Roman" w:cs="Times New Roman"/>
          <w:sz w:val="28"/>
          <w:szCs w:val="28"/>
        </w:rPr>
        <w:t xml:space="preserve">Елпачихинском и Федорковском сельских поселениях. При этом, по доле численности населения, приходящегося на </w:t>
      </w:r>
      <w:r w:rsidR="006034AD">
        <w:rPr>
          <w:rFonts w:ascii="Times New Roman" w:eastAsia="Times New Roman" w:hAnsi="Times New Roman" w:cs="Times New Roman"/>
          <w:sz w:val="28"/>
          <w:szCs w:val="28"/>
        </w:rPr>
        <w:t>развиваемые населенные пункты сюда также можно также добавить Сарашевское сельское поселение. В целом в развиваемых населенных пунктах проживает 87,2% всего населения Бардымского муниципального района.</w:t>
      </w:r>
    </w:p>
    <w:p w:rsidR="006034AD" w:rsidRDefault="006034AD"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сохраняемым населенным пунктам можно отнести</w:t>
      </w:r>
      <w:r w:rsidR="00FF0C59">
        <w:rPr>
          <w:rFonts w:ascii="Times New Roman" w:eastAsia="Times New Roman" w:hAnsi="Times New Roman" w:cs="Times New Roman"/>
          <w:sz w:val="28"/>
          <w:szCs w:val="28"/>
        </w:rPr>
        <w:t xml:space="preserve"> 33 населенных пункта, в которых проживает 12,7% населения всего Бардымского района. Наибольшая </w:t>
      </w:r>
      <w:r w:rsidR="008B4C8B">
        <w:rPr>
          <w:rFonts w:ascii="Times New Roman" w:eastAsia="Times New Roman" w:hAnsi="Times New Roman" w:cs="Times New Roman"/>
          <w:sz w:val="28"/>
          <w:szCs w:val="28"/>
        </w:rPr>
        <w:t>доля сохраняемых населенных пунктов располагается в Бичуринском, Новоашапском, Печменском, Тюндюковском и Шермейском населенных пунктах.</w:t>
      </w:r>
    </w:p>
    <w:p w:rsidR="008B4C8B" w:rsidRDefault="008B4C8B"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неперспективным (однодворкам) относится </w:t>
      </w:r>
      <w:r w:rsidR="003A4F1A">
        <w:rPr>
          <w:rFonts w:ascii="Times New Roman" w:eastAsia="Times New Roman" w:hAnsi="Times New Roman" w:cs="Times New Roman"/>
          <w:sz w:val="28"/>
          <w:szCs w:val="28"/>
        </w:rPr>
        <w:t xml:space="preserve">5 населенных пунктов. Доля населения, проживающего в них составляет 0,1% от всего сельского населения Бардымского муниципального района. </w:t>
      </w:r>
    </w:p>
    <w:p w:rsidR="003A4F1A" w:rsidRDefault="003A4F1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Неперспективными населенными пунктами являются деревня Утяй, в которой проживает 2 человека Красноярского сельского поселения, д. Усаклы (5 чел) и д. </w:t>
      </w:r>
      <w:r w:rsidR="00E36F81">
        <w:rPr>
          <w:rFonts w:ascii="Times New Roman" w:eastAsia="Times New Roman" w:hAnsi="Times New Roman" w:cs="Times New Roman"/>
          <w:sz w:val="28"/>
          <w:szCs w:val="28"/>
        </w:rPr>
        <w:t>Игатка (8 чел) С</w:t>
      </w:r>
      <w:r>
        <w:rPr>
          <w:rFonts w:ascii="Times New Roman" w:eastAsia="Times New Roman" w:hAnsi="Times New Roman" w:cs="Times New Roman"/>
          <w:sz w:val="28"/>
          <w:szCs w:val="28"/>
        </w:rPr>
        <w:t>арашевского сельского поселения, п. Искирский (3 чел.) и д. Шермеинск (3 чел.) Шермейского сельского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Формирование территорий сельских поселений Бардымского муниципального района, в соответствии с действующим законодательством, произведено на основе закрепления их границ, путем разработки соответствующих картографических описаний, состав и содержание которых, а также порядок их утверждения определен органами государственной власти Пермского края.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Федеральным законом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xml:space="preserve"> установлены требования к формированию территорий сельских поселений. В соответствии с данным законом: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 Границы территорий муниципальных образований устанавливаются и изменяются законами субъектов Российской Федерации;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 Территория субъекта Российской Федерации, за исключением территорий с низкой плотностью населения, разграничиваются между поселениями;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рекреационные земли, земли для развития поселения;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 Границы сельского поселения, в состав которого входят два и более населенных пункта устанавливаются с учетом пешеходной доступности до административного центра сельского поселения, туда и обратно в течение рабочего дня для жителей всех населенных пунктов, входящих в состав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5. Границы поселения не могут пересекаться границами населенного пункта;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6. Территория поселения не может находиться внутри территории другого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 Границы муниципального района не могут пересекаться границами поселения.</w:t>
      </w:r>
      <w:r w:rsidRPr="00E3313E">
        <w:rPr>
          <w:rStyle w:val="aff2"/>
          <w:rFonts w:ascii="Times New Roman" w:eastAsia="Times New Roman" w:hAnsi="Times New Roman" w:cs="Times New Roman"/>
          <w:sz w:val="28"/>
          <w:szCs w:val="28"/>
        </w:rPr>
        <w:footnoteReference w:id="6"/>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В связи с тем, что законом предусматриваются особые условия установления границ на территориях с низкой плотностью населения, Правительством РФ установлены территории, относящиеся к территориям с низкой плотностью населения. На таких территориях формируются так называемые межселенные территории, не относящиеся к территории сельских поселений.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муниципальный район включает в себя 12 сельских поселений, из них 1 сельское поселение относится к группе крупных поселений, 8 – к группе больших сельских поселений и 3 классифицируются как средние сельские поселения (таблица </w:t>
      </w:r>
      <w:r w:rsidR="0044735E">
        <w:rPr>
          <w:rFonts w:ascii="Times New Roman" w:eastAsia="Times New Roman" w:hAnsi="Times New Roman" w:cs="Times New Roman"/>
          <w:sz w:val="28"/>
          <w:szCs w:val="28"/>
        </w:rPr>
        <w:t>1.33</w:t>
      </w:r>
      <w:r w:rsidRPr="00E3313E">
        <w:rPr>
          <w:rFonts w:ascii="Times New Roman" w:eastAsia="Times New Roman" w:hAnsi="Times New Roman" w:cs="Times New Roman"/>
          <w:sz w:val="28"/>
          <w:szCs w:val="28"/>
        </w:rPr>
        <w:t xml:space="preserve">). Городских поселений и межселенных территорий Бардымский муниципальный район не имеет.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При установлении в 2004 году границ муниципальных образований Бардымского района Пермского края – сельских поселений учитывалось существующее кадастровое деление территории муниципального района, а также предложения органов местного самоуправления и населения района (картографическое описание) границ муниципальных образований Бардымского муниципального района Пермской области, Закона Пермской области № 1715-347 от 10.11.2004 г.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Об утверждении границ и о наделении статусом муниципальных образований Бардымского района Пермского края</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xml:space="preserve"> (в ред. от 14.12.2013г.).</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При установлении границ муниципальных образований Бардымского района соблюдались следующие требования: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 Сельские поселения агрегировались, как правило, из двух-пяти населенных пунктов и прилегающих к ним территорий. Населенный пункт с наибольшей численностью населения определялся административным центром сельского поселения. При этом соблюдалось условие о максимально возможной удаленности населенных пунктов от административного центра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2. К территориям традиционного природопользования были отнесены земли сельскохозяйственного назначения, которые использовались хозяйствующими субъектами, расположенными в соответствующих населенных пунктах. Границы сельскохозяйственных угодий за последние годы существенно не изменились, в том числе и в результате преобразования отношений собственности на землю.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Фактическое сокращение вовлечения сельхозугодий в хозяйственную деятельность в течение последних десяти лет, также не привело к изменению юридических границ землепользований. Поэтому на первом этапе эти границы рассматривались как базовые. Таким образом, формирование границ поселений осуществлялось в соответствии с ранее утвержденной землеустроительной документацией, что позволяет учесть интересы землепользователей. </w:t>
      </w:r>
    </w:p>
    <w:p w:rsidR="00153E07" w:rsidRPr="00E3313E" w:rsidRDefault="00153E07" w:rsidP="006D2568">
      <w:pPr>
        <w:spacing w:line="240" w:lineRule="auto"/>
        <w:ind w:firstLine="708"/>
        <w:jc w:val="both"/>
        <w:rPr>
          <w:rFonts w:ascii="Times New Roman" w:hAnsi="Times New Roman" w:cs="Times New Roman"/>
          <w:sz w:val="28"/>
          <w:szCs w:val="28"/>
        </w:rPr>
      </w:pPr>
      <w:r w:rsidRPr="00E3313E">
        <w:rPr>
          <w:rFonts w:ascii="Times New Roman" w:eastAsia="Times New Roman" w:hAnsi="Times New Roman" w:cs="Times New Roman"/>
          <w:sz w:val="28"/>
          <w:szCs w:val="28"/>
        </w:rPr>
        <w:lastRenderedPageBreak/>
        <w:t>3. Разграничение между поселениями земель лесного фонда осуществлено по принципу максимального их тяготения к сопредельным населенным пунктам. Деление таких территорий на части произведено по естественным и искусственным рубежам (линиям электропередачи, автодорогам, лесным и полевым дорогам и тропам, руслам рек).</w:t>
      </w:r>
    </w:p>
    <w:bookmarkEnd w:id="2"/>
    <w:bookmarkEnd w:id="3"/>
    <w:p w:rsidR="00E36F81" w:rsidRDefault="00E36F81" w:rsidP="006D2568">
      <w:pPr>
        <w:spacing w:line="240" w:lineRule="auto"/>
        <w:rPr>
          <w:rFonts w:ascii="Times New Roman" w:eastAsiaTheme="majorEastAsia" w:hAnsi="Times New Roman" w:cs="Times New Roman"/>
          <w:b/>
          <w:bCs/>
          <w:sz w:val="28"/>
          <w:szCs w:val="28"/>
        </w:rPr>
      </w:pPr>
      <w:r>
        <w:br w:type="page"/>
      </w:r>
    </w:p>
    <w:p w:rsidR="005E327B" w:rsidRPr="00333885" w:rsidRDefault="005E327B" w:rsidP="006D2568">
      <w:pPr>
        <w:pStyle w:val="1"/>
        <w:spacing w:line="240" w:lineRule="auto"/>
      </w:pPr>
      <w:r w:rsidRPr="00E3313E">
        <w:lastRenderedPageBreak/>
        <w:t xml:space="preserve">2 </w:t>
      </w:r>
      <w:bookmarkStart w:id="4" w:name="_Toc491943099"/>
      <w:r w:rsidRPr="00E3313E">
        <w:t>П</w:t>
      </w:r>
      <w:r w:rsidR="00E3313E">
        <w:t xml:space="preserve">редпосылки формирования Стратегии социально-экономического развития Бардымского муниципального района на </w:t>
      </w:r>
      <w:r w:rsidRPr="00E3313E">
        <w:t>2018-2030</w:t>
      </w:r>
      <w:r w:rsidR="00E3313E">
        <w:t xml:space="preserve"> годы в условиях современных угроз и ограничений</w:t>
      </w:r>
      <w:bookmarkEnd w:id="4"/>
    </w:p>
    <w:p w:rsidR="002A61CE" w:rsidRPr="00333885" w:rsidRDefault="002A61CE" w:rsidP="002A61CE"/>
    <w:p w:rsidR="005E327B" w:rsidRPr="00E3313E" w:rsidRDefault="005E327B"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Общемировые тенденции, характеризующие ухудшение демографической ситуации, введение санкций в адрес России, замедление экономического роста, ухудшение экологической ситуации требуют планирования использования имеющихся ресурсов и поиска направлений по их восстановлению.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Предпосылками формирования стратегии социально-экономического развития Бардымского муниципального района выступают приоритетные направления социально-экономического развития Российской Федерации, а именно, развитие промышленного производства, развитие человеческого капитала, ориентир на импортозамещение, развитие агропромышленного сектора, увеличение производительности труда и объемов производства на фоне сокращений численности трудоспособного населения за счет достижений научно-технического прогресса.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Pr="00153E07" w:rsidRDefault="005E327B" w:rsidP="006D2568">
      <w:pPr>
        <w:pStyle w:val="1"/>
        <w:numPr>
          <w:ilvl w:val="1"/>
          <w:numId w:val="1"/>
        </w:numPr>
        <w:spacing w:line="240" w:lineRule="auto"/>
      </w:pPr>
      <w:bookmarkStart w:id="5" w:name="_Toc491943100"/>
      <w:r w:rsidRPr="00153E07">
        <w:t>Общемировые и общероссийские тенденции социально-экономического развития до 2030 года</w:t>
      </w:r>
      <w:bookmarkEnd w:id="5"/>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Период с 2011 по 2016 год характеризуется постепенным ослаблением динамики социально-экономического развития России. Основной спад макроэкономических показателей пришелся на 2014 год, на что повлияло усиление экономических санкций в отношении Российской Федерации в связи с обострением геополитической обстановки.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ведением санкций российские компании оказались ограничены в доступе к мировым финансовым ресурсам, что увеличило стоимость кредитования физических и юридических лиц и соответственно оказало негативное влияние на инвестиционную политику и потребительские настроения.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Дальнейший экономический спад был обусловлен падением цен на нефть и обострением ситуации на внешнем рынке. Данные факторы спровоцировали рост неопределенности и ухудшение предпринимательской уверенности.</w:t>
      </w:r>
    </w:p>
    <w:p w:rsidR="00D922B3" w:rsidRDefault="00D922B3" w:rsidP="006D2568">
      <w:pPr>
        <w:spacing w:after="0" w:line="240" w:lineRule="auto"/>
        <w:ind w:firstLine="709"/>
        <w:jc w:val="right"/>
        <w:rPr>
          <w:rFonts w:ascii="Times New Roman" w:eastAsia="Times New Roman" w:hAnsi="Times New Roman" w:cs="Times New Roman"/>
          <w:sz w:val="28"/>
          <w:szCs w:val="28"/>
        </w:rPr>
      </w:pPr>
    </w:p>
    <w:p w:rsidR="005E327B" w:rsidRPr="00153E07" w:rsidRDefault="00DE2D0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w:t>
      </w:r>
    </w:p>
    <w:p w:rsidR="005E327B" w:rsidRPr="002F6162" w:rsidRDefault="005E327B" w:rsidP="006D2568">
      <w:pPr>
        <w:spacing w:after="0" w:line="240" w:lineRule="auto"/>
        <w:jc w:val="center"/>
        <w:rPr>
          <w:rFonts w:ascii="Times New Roman" w:eastAsia="Times New Roman" w:hAnsi="Times New Roman" w:cs="Times New Roman"/>
          <w:b/>
          <w:sz w:val="28"/>
          <w:szCs w:val="28"/>
        </w:rPr>
      </w:pPr>
      <w:r w:rsidRPr="002F6162">
        <w:rPr>
          <w:rFonts w:ascii="Times New Roman" w:eastAsia="Times New Roman" w:hAnsi="Times New Roman" w:cs="Times New Roman"/>
          <w:b/>
          <w:sz w:val="28"/>
          <w:szCs w:val="28"/>
        </w:rPr>
        <w:t>Динамика основных показателей социально-экономического развития Российской Федерации в 2011 – 2016 годах, %</w:t>
      </w:r>
    </w:p>
    <w:tbl>
      <w:tblPr>
        <w:tblW w:w="5000" w:type="pct"/>
        <w:tblLook w:val="04A0"/>
      </w:tblPr>
      <w:tblGrid>
        <w:gridCol w:w="4331"/>
        <w:gridCol w:w="967"/>
        <w:gridCol w:w="969"/>
        <w:gridCol w:w="967"/>
        <w:gridCol w:w="969"/>
        <w:gridCol w:w="967"/>
        <w:gridCol w:w="967"/>
      </w:tblGrid>
      <w:tr w:rsidR="005E327B" w:rsidRPr="00153E07" w:rsidTr="005E327B">
        <w:trPr>
          <w:trHeight w:val="315"/>
        </w:trPr>
        <w:tc>
          <w:tcPr>
            <w:tcW w:w="213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Показатели</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2011</w:t>
            </w:r>
          </w:p>
        </w:tc>
        <w:tc>
          <w:tcPr>
            <w:tcW w:w="478"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2012</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2013</w:t>
            </w:r>
          </w:p>
        </w:tc>
        <w:tc>
          <w:tcPr>
            <w:tcW w:w="478"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2014</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2015</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2016</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ВВП</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113,07</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101,8</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97,2</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99,8</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 xml:space="preserve">Индекс  потребительских цен, на конец года </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106,5</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111,4</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112,9</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105,4</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Индекс промышленного производства</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105,0</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103,4</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100,4</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96,6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Индекс производства продукции сельского хозяйства</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94,9</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110,8</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102,7</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114,1</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108,5</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101,8</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Инвестиции в основной капитал</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106,8</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100,8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98,5</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89,9</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99,1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lastRenderedPageBreak/>
              <w:t>Доля инвестиций в основной капитал, в % к ВВП</w:t>
            </w:r>
          </w:p>
        </w:tc>
        <w:tc>
          <w:tcPr>
            <w:tcW w:w="477" w:type="pct"/>
            <w:tcBorders>
              <w:top w:val="nil"/>
              <w:left w:val="nil"/>
              <w:bottom w:val="single" w:sz="4" w:space="0" w:color="auto"/>
              <w:right w:val="nil"/>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20,7</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20,9</w:t>
            </w:r>
          </w:p>
        </w:tc>
        <w:tc>
          <w:tcPr>
            <w:tcW w:w="477" w:type="pct"/>
            <w:tcBorders>
              <w:top w:val="nil"/>
              <w:left w:val="nil"/>
              <w:bottom w:val="single" w:sz="4" w:space="0" w:color="auto"/>
              <w:right w:val="nil"/>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21,2</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20,5</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19,6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20,4</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Реальные располагаемые денежные доходы</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100,5</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104,6</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104</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99,3</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96,8</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94,1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Реальная начисленная среднемесячная заработная плата</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108,4</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104,8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101,2</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91,0</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100,8</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Оборот розничной торговли</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107,1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106,3</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103,9</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90,0</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95,4</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bCs/>
                <w:color w:val="000000"/>
                <w:sz w:val="24"/>
                <w:szCs w:val="28"/>
              </w:rPr>
            </w:pPr>
            <w:r w:rsidRPr="002A61CE">
              <w:rPr>
                <w:rFonts w:ascii="Times New Roman" w:eastAsia="Times New Roman" w:hAnsi="Times New Roman" w:cs="Times New Roman"/>
                <w:color w:val="000000"/>
                <w:sz w:val="24"/>
                <w:szCs w:val="28"/>
              </w:rPr>
              <w:t>Объем платных услуг населению</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103,2</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103,5</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102,0</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101,0</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98,9</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100,7</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 xml:space="preserve">Экспорт товаров </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131,3</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102,3</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99,2</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95,1</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69,1</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83,1</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 xml:space="preserve">Импорт товаров </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129,7</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105,4</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101,7</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90,2</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63,7</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99,7</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4A18B0" w:rsidP="006D2568">
            <w:pPr>
              <w:spacing w:after="0" w:line="240" w:lineRule="auto"/>
              <w:jc w:val="both"/>
              <w:rPr>
                <w:rFonts w:ascii="Times New Roman" w:eastAsia="Times New Roman" w:hAnsi="Times New Roman" w:cs="Times New Roman"/>
                <w:color w:val="000000"/>
                <w:sz w:val="24"/>
                <w:szCs w:val="28"/>
              </w:rPr>
            </w:pPr>
            <w:bookmarkStart w:id="6" w:name="_GoBack"/>
            <w:bookmarkEnd w:id="6"/>
            <w:r w:rsidRPr="004A18B0">
              <w:rPr>
                <w:rFonts w:ascii="Times New Roman" w:eastAsia="Times New Roman" w:hAnsi="Times New Roman" w:cs="Times New Roman"/>
                <w:bCs/>
                <w:noProof/>
                <w:color w:val="000000"/>
                <w:sz w:val="24"/>
                <w:szCs w:val="28"/>
              </w:rPr>
              <w:pict>
                <v:shapetype id="_x0000_t202" coordsize="21600,21600" o:spt="202" path="m,l,21600r21600,l21600,xe">
                  <v:stroke joinstyle="miter"/>
                  <v:path gradientshapeok="t" o:connecttype="rect"/>
                </v:shapetype>
                <v:shape id="Текст 13" o:spid="_x0000_s1026" type="#_x0000_t202" style="position:absolute;left:0;text-align:left;margin-left:33.75pt;margin-top:5.25pt;width:0;height:0;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" stroked="f" strokeweight="3e-5mm">
                  <v:textbox style="mso-next-textbox:#Текст 13" inset="2.16pt,2.16pt,0,0">
                    <w:txbxContent>
                      <w:p w:rsidR="00A11ECC" w:rsidRDefault="00A11ECC" w:rsidP="005E327B">
                        <w:pPr>
                          <w:pStyle w:val="a8"/>
                          <w:spacing w:before="0" w:beforeAutospacing="0" w:after="0" w:afterAutospacing="0"/>
                        </w:pPr>
                        <w:r>
                          <w:rPr>
                            <w:color w:val="000000"/>
                          </w:rPr>
                          <w:t>1996 год</w:t>
                        </w:r>
                      </w:p>
                      <w:p w:rsidR="00A11ECC" w:rsidRDefault="00A11ECC" w:rsidP="005E327B">
                        <w:pPr>
                          <w:pStyle w:val="a8"/>
                          <w:spacing w:before="0" w:beforeAutospacing="0" w:after="0" w:afterAutospacing="0"/>
                        </w:pPr>
                        <w:r>
                          <w:rPr>
                            <w:color w:val="000000"/>
                          </w:rPr>
                          <w:t>1996 год</w:t>
                        </w:r>
                      </w:p>
                    </w:txbxContent>
                  </v:textbox>
                </v:shape>
              </w:pict>
            </w:r>
            <w:r w:rsidRPr="004A18B0">
              <w:rPr>
                <w:rFonts w:ascii="Times New Roman" w:eastAsia="Times New Roman" w:hAnsi="Times New Roman" w:cs="Times New Roman"/>
                <w:bCs/>
                <w:noProof/>
                <w:color w:val="000000"/>
                <w:sz w:val="24"/>
                <w:szCs w:val="28"/>
              </w:rPr>
              <w:pict>
                <v:shape id="Текст 14" o:spid="_x0000_s1027" type="#_x0000_t202" style="position:absolute;left:0;text-align:left;margin-left:33.75pt;margin-top:5.25pt;width:0;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" stroked="f" strokeweight="3e-5mm">
                  <v:textbox style="mso-next-textbox:#Текст 14" inset="2.16pt,2.16pt,0,0">
                    <w:txbxContent>
                      <w:p w:rsidR="00A11ECC" w:rsidRDefault="00A11ECC" w:rsidP="005E327B">
                        <w:pPr>
                          <w:pStyle w:val="a8"/>
                          <w:spacing w:before="0" w:beforeAutospacing="0" w:after="0" w:afterAutospacing="0"/>
                        </w:pPr>
                        <w:r>
                          <w:rPr>
                            <w:color w:val="000000"/>
                            <w:lang w:val="en-US"/>
                          </w:rPr>
                          <w:t xml:space="preserve">I </w:t>
                        </w:r>
                        <w:r>
                          <w:rPr>
                            <w:color w:val="000000"/>
                          </w:rPr>
                          <w:t>квартал</w:t>
                        </w:r>
                      </w:p>
                    </w:txbxContent>
                  </v:textbox>
                </v:shape>
              </w:pict>
            </w:r>
            <w:r w:rsidR="005E327B" w:rsidRPr="002A61CE">
              <w:rPr>
                <w:rFonts w:ascii="Times New Roman" w:eastAsia="Times New Roman" w:hAnsi="Times New Roman" w:cs="Times New Roman"/>
                <w:bCs/>
                <w:color w:val="000000"/>
                <w:sz w:val="24"/>
                <w:szCs w:val="28"/>
              </w:rPr>
              <w:t>Счет текущих операций, в % к ВВП</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5,2</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3,2</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1,5</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4,1</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6,0</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Денежная масса в национальном определении (агрегат М2)</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112,2</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114,7</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101,5</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111,3</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109,2</w:t>
            </w:r>
          </w:p>
        </w:tc>
      </w:tr>
    </w:tbl>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Отток капитала и сокращение инвестиционной активности в первую очередь был обусловлен ростом стоимости кредитования, которое в свою очередь произошло благодаря увеличению ставки рефинансирования. По той же причине снизилась потребительская активность, о чем свидетельствует</w:t>
      </w:r>
      <w:r w:rsidR="00F405EC">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снижение показателей оборота розничной торговли.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Однако, основным фактором, оказывающим влияние на потребительский спрос, является сокращение реальных располагаемых доходов населения и резкое снижение реальной номинальной начисленной заработной платы.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Показатель денежной массы в национальном определении имеет скачкообразную динамику. Резкий спад прироста агрегата М2 наблюдался в 2014 году, на что повлияло сокращение наличных денег в обращении, отток переводных депозитов (вкладов до востребования), принадлежащих как населению, так и организациям, отток срочных депозитов в банках, размещенных населением.</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2015 году на прирост денежной массы преимущественно оказало население страны: прирост переводных депозитов от населения составил 18,4%, срочных вкладов и вкладов в иностранной валюте – 19,7% к уровню 2014 года.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структуре денежной массы произошло сокращение доли наличных денег в обращении с 25% в 2011 году до 20% в 2016 году, на что повлияло несколько факторов: общая политика банков на постепенный переход в сторону интернет-услуг, и осуществление безналичных операций, решение населения размещать деньги в долгосрочном аспекте и в иностранной валюте.</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снижение экспорта и импорта в течение анализируемого периода времени помимо санкций повлияло изменение политики государства в пользу импортозамещения, что в свою очередь привело к оседанию экспорт-ориентированных товаров в России.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Общемировые и общероссийские тенденции в долгосрочной перспективе определяются возможностями использования капитальных и человеческих ресурсов, темпами развития научно-технического прогресса.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настоящее время имеют место экологические и демографические ограничения, что предопределяет приоритетные направления развития такие как </w:t>
      </w:r>
      <w:r w:rsidRPr="00153E07">
        <w:rPr>
          <w:rFonts w:ascii="Times New Roman" w:eastAsia="Times New Roman" w:hAnsi="Times New Roman" w:cs="Times New Roman"/>
          <w:sz w:val="28"/>
          <w:szCs w:val="28"/>
        </w:rPr>
        <w:lastRenderedPageBreak/>
        <w:t>инновационные технологии, экономика знаний, что позволит увеличить производительность труда при недостатке трудоспособного населения.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Приоритетными направлениями социально-экономического развития России являются образование, здравоохранение, физическое развитие, улучшение условий жизни населения, т.е. создание, воспитание и поддержание на высоком уровне человеческого капитала как ресурса.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Еще одним немаловажным приоритетом в развитии государства является государственная поддержка предпринимательства, так как малый бизнес играет немаловажную роль в экономике России.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долгосрочном периоде главными тенденциями развития мировой экономики станут: </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восстановление экономического баланса и удержание на высоких позициях темпов научно-технического прогресса и производительности труда;</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увеличение продолжительности жизни населения с целью сохранения экономической активности населения;</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динамики потребления в странах с высокой сберегательной способностью, снижение излишних трудовых ресурсов в странах с развивающейся экономикой;</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выход на торговую арену рынков Африки, Азии и Латинской Америки.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факторами замедления мирового экономического роста в ближайшие годы могут стать сокращение численности трудоспособного населения, сокращение производительности труда, увеличение экологических ограничений.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Проблема демографических ограничений заключается в изменении структуры возрастного состава населения в сторону пожилого возраста, что увеличит демографическую нагрузку в большинстве стран. С целью поддержания и увеличения доли экономически активного населения возможен пересмотр миграционной политики в сторону сокращения ограничений для мигрантов.</w:t>
      </w:r>
    </w:p>
    <w:p w:rsidR="00E21B77" w:rsidRDefault="00E21B77" w:rsidP="006D2568">
      <w:pPr>
        <w:spacing w:after="160" w:line="240" w:lineRule="auto"/>
        <w:jc w:val="both"/>
        <w:rPr>
          <w:rFonts w:ascii="Times New Roman" w:hAnsi="Times New Roman" w:cs="Times New Roman"/>
          <w:sz w:val="28"/>
          <w:szCs w:val="28"/>
        </w:rPr>
      </w:pPr>
    </w:p>
    <w:p w:rsidR="005E327B" w:rsidRDefault="005E327B" w:rsidP="006D2568">
      <w:pPr>
        <w:pStyle w:val="1"/>
        <w:numPr>
          <w:ilvl w:val="1"/>
          <w:numId w:val="1"/>
        </w:numPr>
        <w:spacing w:line="240" w:lineRule="auto"/>
      </w:pPr>
      <w:bookmarkStart w:id="7" w:name="_Toc491943101"/>
      <w:r w:rsidRPr="00153E07">
        <w:t>Основные принципы формирования Стратегии социально-экономического развития Бардымского муниципального района на период 2018-2030 годы</w:t>
      </w:r>
      <w:bookmarkEnd w:id="7"/>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и реализация агломерационных подходов при формировании системы пространственной организации Стратегии строится с учетом следующих принципов:</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ограниченности ресурсов</w:t>
      </w:r>
      <w:r w:rsidRPr="00153E07">
        <w:rPr>
          <w:rFonts w:ascii="Times New Roman" w:eastAsia="Times New Roman" w:hAnsi="Times New Roman" w:cs="Times New Roman"/>
          <w:sz w:val="28"/>
          <w:szCs w:val="28"/>
        </w:rPr>
        <w:t xml:space="preserve"> позволяет концентрировать усилия на определении ключевых точек роста и формировании Стратегии исходя из существующего конкурентного потенциала территории с учетом прогноза социально-экономического роста на среднесрочную перспективу;</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перманентной взаимосвязи</w:t>
      </w:r>
      <w:r w:rsidRPr="00153E07">
        <w:rPr>
          <w:rFonts w:ascii="Times New Roman" w:eastAsia="Times New Roman" w:hAnsi="Times New Roman" w:cs="Times New Roman"/>
          <w:sz w:val="28"/>
          <w:szCs w:val="28"/>
        </w:rPr>
        <w:t xml:space="preserve"> основных участников процесса: власти, бизнеса и граждан, который позволяет генерировать общественно ценные идеи и обеспечить практическую реализацию этих идей в рамках реализации целевых проектов и программ.</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D922B3">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синергетического эффекта</w:t>
      </w:r>
      <w:r w:rsidRPr="00153E07">
        <w:rPr>
          <w:rFonts w:ascii="Times New Roman" w:eastAsia="Times New Roman" w:hAnsi="Times New Roman" w:cs="Times New Roman"/>
          <w:sz w:val="28"/>
          <w:szCs w:val="28"/>
        </w:rPr>
        <w:t xml:space="preserve">, который определен в формировании системы пространственной организации с учетом </w:t>
      </w:r>
      <w:r w:rsidRPr="00153E07">
        <w:rPr>
          <w:rFonts w:ascii="Times New Roman" w:eastAsia="Times New Roman" w:hAnsi="Times New Roman" w:cs="Times New Roman"/>
          <w:sz w:val="28"/>
          <w:szCs w:val="28"/>
        </w:rPr>
        <w:lastRenderedPageBreak/>
        <w:t>местонахождения, природных, климатических, социально-экономических особенностей, уровне взаимодействия с соседними муниципальными районами.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Центральным районом, ядром агломерации, а также многофункциональным центром в агломерации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Бардымского муниципального района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является село Барда. Здесь находятся промышленные предприятия и организации, цех добычи нефти и газа, участок управления магистральных газопроводов, лесничество, а также объекты социальной, культурной, спортивной и медицинской сфер.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Интегрированность поселений в составе муниципального района и их взаимосвязь являются важным фактором определения агломерационных подходов.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учетом муниципальных и региональных программ сформирована система пространственной организации Бардымского муниципального района на</w:t>
      </w:r>
      <w:r w:rsidR="007C405B">
        <w:rPr>
          <w:rFonts w:ascii="Times New Roman" w:eastAsia="Times New Roman" w:hAnsi="Times New Roman" w:cs="Times New Roman"/>
          <w:sz w:val="28"/>
          <w:szCs w:val="28"/>
        </w:rPr>
        <w:t xml:space="preserve"> период до 2030 г. </w:t>
      </w:r>
      <w:r w:rsidRPr="00153E07">
        <w:rPr>
          <w:rFonts w:ascii="Times New Roman" w:eastAsia="Times New Roman" w:hAnsi="Times New Roman" w:cs="Times New Roman"/>
          <w:sz w:val="28"/>
          <w:szCs w:val="28"/>
        </w:rPr>
        <w:t>При ее формировании учтены пространственное месторасположение сельских поселений муниципального района, функциональная специализация, уровень инноваций, а также взаимодействия района с другими муниципальными образованиями Пермского края.</w:t>
      </w:r>
    </w:p>
    <w:p w:rsidR="00E21B77" w:rsidRDefault="00E21B77" w:rsidP="006D2568">
      <w:pPr>
        <w:spacing w:after="160" w:line="240" w:lineRule="auto"/>
        <w:jc w:val="both"/>
        <w:rPr>
          <w:rFonts w:ascii="Times New Roman" w:hAnsi="Times New Roman" w:cs="Times New Roman"/>
          <w:sz w:val="28"/>
          <w:szCs w:val="28"/>
        </w:rPr>
      </w:pPr>
    </w:p>
    <w:p w:rsidR="005E327B" w:rsidRDefault="005E327B" w:rsidP="006D2568">
      <w:pPr>
        <w:pStyle w:val="1"/>
        <w:numPr>
          <w:ilvl w:val="2"/>
          <w:numId w:val="1"/>
        </w:numPr>
        <w:spacing w:line="240" w:lineRule="auto"/>
      </w:pPr>
      <w:bookmarkStart w:id="8" w:name="_Toc491943102"/>
      <w:r w:rsidRPr="00153E07">
        <w:t>Агломерационный подход при формировании системы пространственной организации и Стратегии социально-экономического развития Бардымского муниципального района</w:t>
      </w:r>
      <w:bookmarkEnd w:id="8"/>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представляет собой административно-территориальную единицу муниципального образования в составе Пермского края Российской Федерации.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документами субъекта РФ, направленными на формирование пространственной организации Бардымского муниципального района Пермского края, являются:</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Градостроительный кодекс Российской Федерации № 190-ФЗ от 29.12.2004 (ред. от 29.07.2017).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Данный документ регулирует градостроительные отношения, связанные с планированием развития территорий городов и поселений, градостроительным зонированием, архитектурно-строительным проектированием, строительством, реконструкцией объектов капитального строительства, капитального ремонта, эксплуатацией зданий и сооружений.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Обязательным условием градостроительной деятельности выступает устойчивое развитие территорий, т.е. обеспечение при ее осуществлении благоприятных условий и безопасности жизнедеятельности человека, ограничение негативного воздействия деятельности человека на окружающую среду, а также обеспечение охраны и рационального использования природных ресурсов в интересах поколений.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bookmarkStart w:id="9" w:name="dst100011"/>
      <w:bookmarkEnd w:id="9"/>
      <w:r w:rsidRPr="00153E07">
        <w:rPr>
          <w:rFonts w:ascii="Times New Roman" w:eastAsia="Times New Roman" w:hAnsi="Times New Roman" w:cs="Times New Roman"/>
          <w:sz w:val="28"/>
          <w:szCs w:val="28"/>
        </w:rPr>
        <w:t xml:space="preserve">Градостроительный кодекс Российской Федерации устанавливает полномочия органов государственной власти в области градостроительной деятельности на федеральном, региональном уровнях, а также для органов местного самоуправления муниципальных районов и поселений. </w:t>
      </w:r>
    </w:p>
    <w:p w:rsidR="005E327B" w:rsidRPr="00153E07" w:rsidRDefault="005E327B" w:rsidP="006D2568">
      <w:pPr>
        <w:pStyle w:val="af1"/>
        <w:numPr>
          <w:ilvl w:val="0"/>
          <w:numId w:val="4"/>
        </w:numPr>
        <w:spacing w:after="0" w:line="240" w:lineRule="auto"/>
        <w:ind w:left="714" w:hanging="357"/>
        <w:jc w:val="both"/>
        <w:rPr>
          <w:rFonts w:ascii="Times New Roman" w:hAnsi="Times New Roman" w:cs="Times New Roman"/>
          <w:sz w:val="28"/>
          <w:szCs w:val="28"/>
        </w:rPr>
      </w:pPr>
      <w:r w:rsidRPr="00153E07">
        <w:rPr>
          <w:rFonts w:ascii="Times New Roman" w:hAnsi="Times New Roman" w:cs="Times New Roman"/>
          <w:sz w:val="28"/>
          <w:szCs w:val="28"/>
        </w:rPr>
        <w:t xml:space="preserve">Федеральный закон № 172-ФЗ от 28.06.2014 </w:t>
      </w:r>
      <w:r w:rsidR="00DE2D0E">
        <w:rPr>
          <w:rFonts w:ascii="Times New Roman" w:hAnsi="Times New Roman" w:cs="Times New Roman"/>
          <w:sz w:val="28"/>
          <w:szCs w:val="28"/>
        </w:rPr>
        <w:t>«</w:t>
      </w:r>
      <w:r w:rsidRPr="00153E07">
        <w:rPr>
          <w:rFonts w:ascii="Times New Roman" w:hAnsi="Times New Roman" w:cs="Times New Roman"/>
          <w:sz w:val="28"/>
          <w:szCs w:val="28"/>
        </w:rPr>
        <w:t>О стратегическом планировании в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предусматривает разработку </w:t>
      </w:r>
      <w:r w:rsidRPr="00153E07">
        <w:rPr>
          <w:rFonts w:ascii="Times New Roman" w:hAnsi="Times New Roman" w:cs="Times New Roman"/>
          <w:sz w:val="28"/>
          <w:szCs w:val="28"/>
        </w:rPr>
        <w:lastRenderedPageBreak/>
        <w:t xml:space="preserve">кардинально нового для России документа, сочетающего в себе элементы стратегического и территориального планирования – </w:t>
      </w:r>
      <w:r w:rsidR="00DE2D0E">
        <w:rPr>
          <w:rFonts w:ascii="Times New Roman" w:hAnsi="Times New Roman" w:cs="Times New Roman"/>
          <w:sz w:val="28"/>
          <w:szCs w:val="28"/>
        </w:rPr>
        <w:t>«</w:t>
      </w:r>
      <w:r w:rsidRPr="00153E07">
        <w:rPr>
          <w:rFonts w:ascii="Times New Roman" w:hAnsi="Times New Roman" w:cs="Times New Roman"/>
          <w:sz w:val="28"/>
          <w:szCs w:val="28"/>
        </w:rPr>
        <w:t>Стратегия пространственного развития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пространственного развития Российской Федерации определяет приоритеты, цели и задачи регионального развития территорий Российской Федерации и направлена на поддержание устойчивости системы расселения на территории Российской Федерации, исходя из социально-экономических приоритетов развития с целью гармонизации размещения производительных сил.</w:t>
      </w:r>
    </w:p>
    <w:p w:rsidR="005E327B" w:rsidRPr="00153E07" w:rsidRDefault="005E327B" w:rsidP="006D2568">
      <w:pPr>
        <w:pStyle w:val="af1"/>
        <w:numPr>
          <w:ilvl w:val="0"/>
          <w:numId w:val="4"/>
        </w:numPr>
        <w:spacing w:line="240" w:lineRule="auto"/>
        <w:jc w:val="both"/>
        <w:rPr>
          <w:rFonts w:ascii="Times New Roman" w:hAnsi="Times New Roman" w:cs="Times New Roman"/>
          <w:color w:val="000000"/>
          <w:sz w:val="28"/>
          <w:szCs w:val="28"/>
          <w:shd w:val="clear" w:color="auto" w:fill="FFFFFF"/>
        </w:rPr>
      </w:pPr>
      <w:r w:rsidRPr="00153E07">
        <w:rPr>
          <w:rFonts w:ascii="Times New Roman" w:hAnsi="Times New Roman" w:cs="Times New Roman"/>
          <w:sz w:val="28"/>
          <w:szCs w:val="28"/>
        </w:rPr>
        <w:t xml:space="preserve">Федеральный закон № 131-ФЗ от 06.10.2003 </w:t>
      </w:r>
      <w:r w:rsidR="00DE2D0E">
        <w:rPr>
          <w:rFonts w:ascii="Times New Roman" w:hAnsi="Times New Roman" w:cs="Times New Roman"/>
          <w:sz w:val="28"/>
          <w:szCs w:val="28"/>
        </w:rPr>
        <w:t>«</w:t>
      </w:r>
      <w:r w:rsidRPr="00153E07">
        <w:rPr>
          <w:rFonts w:ascii="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позволяет устанавливать общие правовые, территориальные, организационные и экономические принципы организации местного самоуправления в Российской Федерации, а также определяет государственные гарантии его осуществления</w:t>
      </w:r>
      <w:r w:rsidRPr="00153E07">
        <w:rPr>
          <w:rFonts w:ascii="Times New Roman" w:hAnsi="Times New Roman" w:cs="Times New Roman"/>
          <w:color w:val="000000"/>
          <w:sz w:val="28"/>
          <w:szCs w:val="28"/>
          <w:shd w:val="clear" w:color="auto" w:fill="FFFFFF"/>
        </w:rPr>
        <w:t>. Положениями данного закона определено, что границы и территории муниципальных районов устанавливаются, изменяются, преобразуются законами субъектов Российской Федерации по инициативе населения и местного самоуправления муниципальных образований, а также органов региональной и федеральной государственной власти. Закон наделяет муниципальные районы и сельские поселениями по утверждению схем территориального планирования муниципального района, документации по планировке территории, ведению информационной системы обеспечения градостроительной деятельности, осуществляемой на территории муниципального района, резервирования и изъятия земельных участков в границах муниципального района для муниципальных нужд. Федеральный закон</w:t>
      </w:r>
      <w:r w:rsidRPr="00153E07">
        <w:rPr>
          <w:rFonts w:ascii="Times New Roman" w:hAnsi="Times New Roman" w:cs="Times New Roman"/>
          <w:sz w:val="28"/>
          <w:szCs w:val="28"/>
        </w:rPr>
        <w:t>устанавливает требования к системам расселения и формированию территорий сельских поселений.</w:t>
      </w:r>
    </w:p>
    <w:p w:rsidR="005E327B" w:rsidRPr="00153E07" w:rsidRDefault="005E327B" w:rsidP="006D2568">
      <w:pPr>
        <w:pStyle w:val="af1"/>
        <w:numPr>
          <w:ilvl w:val="0"/>
          <w:numId w:val="4"/>
        </w:numPr>
        <w:spacing w:after="0" w:line="240" w:lineRule="auto"/>
        <w:ind w:left="851"/>
        <w:jc w:val="both"/>
        <w:rPr>
          <w:rFonts w:ascii="Times New Roman" w:hAnsi="Times New Roman" w:cs="Times New Roman"/>
          <w:color w:val="000000"/>
          <w:sz w:val="28"/>
          <w:szCs w:val="28"/>
          <w:shd w:val="clear" w:color="auto" w:fill="FFFFFF"/>
        </w:rPr>
      </w:pPr>
      <w:r w:rsidRPr="00153E07">
        <w:rPr>
          <w:rFonts w:ascii="Times New Roman" w:hAnsi="Times New Roman" w:cs="Times New Roman"/>
          <w:sz w:val="28"/>
          <w:szCs w:val="28"/>
        </w:rPr>
        <w:t xml:space="preserve">Указ Президента РФ № 13 от 16.01.2017г.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Основ государственной политики регионального развития Российской Федерации на период до 2025 года</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который определяет </w:t>
      </w:r>
      <w:r w:rsidRPr="00153E07">
        <w:rPr>
          <w:rFonts w:ascii="Times New Roman" w:eastAsia="Times New Roman" w:hAnsi="Times New Roman" w:cs="Times New Roman"/>
          <w:sz w:val="28"/>
          <w:szCs w:val="28"/>
        </w:rPr>
        <w:t>приоритеты, цели, задачи, принципы и механизмы реализации политики регионального развития Российской Федерации.</w:t>
      </w:r>
    </w:p>
    <w:p w:rsidR="005E327B" w:rsidRPr="00153E07" w:rsidRDefault="005E327B" w:rsidP="006D2568">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Основными задачами государственной политики регионального развития являются выявление перспективных конкурентных преимуществ регионов и муниципальных образований с учетом территориального разделения труда; определение основных направлений изменения пространственной структуры экономики, утверждения планируемого размещения инженерной, транспортной, энергетической и социальной инфраструктуры на территориях; совершенствование механизмов регулирования внутренней и внешней миграции; совершенствование механизмов стимулирования регионов и муниципальных образований к наращиванию собственного экономического потенциала.</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Распоряжение Правительства Российской Федерации от 07.02.2011 № 165-р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Стратегии социально-экономического развития Приволжского федерального округа на период до 2020 года</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Стратегия направлена на реализацию конкурентных преимуществ (географических, технологических, интеллектуальных) Приволжского </w:t>
      </w:r>
      <w:r w:rsidRPr="00153E07">
        <w:rPr>
          <w:rFonts w:ascii="Times New Roman" w:eastAsia="Times New Roman" w:hAnsi="Times New Roman" w:cs="Times New Roman"/>
          <w:sz w:val="28"/>
          <w:szCs w:val="28"/>
        </w:rPr>
        <w:lastRenderedPageBreak/>
        <w:t>федерального округа для обеспечения развития экономики и улучшения жизни людей.</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Стандарт деятельности органов местного самоуправления Пермского края по обеспечению благоприятного инвестиционного климата, утвержденный Протоколом Совета Пермского краевого регионального отделения Общероссийской общественной организации </w:t>
      </w:r>
      <w:r w:rsidR="00DE2D0E">
        <w:rPr>
          <w:rFonts w:ascii="Times New Roman" w:hAnsi="Times New Roman" w:cs="Times New Roman"/>
          <w:sz w:val="28"/>
          <w:szCs w:val="28"/>
        </w:rPr>
        <w:t>«</w:t>
      </w:r>
      <w:r w:rsidRPr="00153E07">
        <w:rPr>
          <w:rFonts w:ascii="Times New Roman" w:hAnsi="Times New Roman" w:cs="Times New Roman"/>
          <w:sz w:val="28"/>
          <w:szCs w:val="28"/>
        </w:rPr>
        <w:t>Деловая Россия</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от 21.03.2014 № 3/14;</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Стандарт деятельности органов местного самоуправления Пермского края</w:t>
      </w:r>
      <w:r w:rsidR="002625F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направлен на обеспечение благоприятного инвестиционного климата, а именно улучшение инвестиционного климата, как в отдельных муниципальных образованиях, так и в Пермском крае в целом. Данная стратегия предполагает определение инвестиционных приоритетов муниципального образования, таких как, территории, отрасли, технологии, осваиваемые виды продукции, работ и услуг, планируемые к реализации проекты. Также предполагается формирование плана создания инвестиционных объектов и необходимой транспортной, энергетической, социальной, инженерной, коммунальной и телекоммуникационной инфраструктуры.</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Постановление Законодательного собрания Пермского края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Стратегии социально-экономического развития Пермского края до 2026 года</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от 01.12.2011 № 3046;</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развития Пермского края имеет своей целью повышение численности постоянного населения Пермского края, рост числа вовлеченных в экономическую деятельность на территории края, а также увеличение количества людей, временно находящихся на территории края с личными, деловыми и общественными целями, как отражение привлекательности Пермского края для жизни, труда и отдыха людей.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числе целей и задач социально-экономического</w:t>
      </w:r>
      <w:r w:rsidR="002625F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развития Пермского края, относящихся к пространственному развитию территорий, относятся: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Природопользование и инфраструктура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Управление земельными ресурсами и имуществом</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Территориальное развитие</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5E327B" w:rsidRPr="00153E07" w:rsidRDefault="005E327B" w:rsidP="006D2568">
      <w:pPr>
        <w:pStyle w:val="af1"/>
        <w:numPr>
          <w:ilvl w:val="0"/>
          <w:numId w:val="4"/>
        </w:numPr>
        <w:spacing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Устав Бардымского муниципального района Пермского края гласит: </w:t>
      </w:r>
      <w:r w:rsidR="00DE2D0E">
        <w:rPr>
          <w:rFonts w:ascii="Times New Roman" w:hAnsi="Times New Roman" w:cs="Times New Roman"/>
          <w:sz w:val="28"/>
          <w:szCs w:val="28"/>
        </w:rPr>
        <w:t>«</w:t>
      </w:r>
      <w:r w:rsidRPr="00153E07">
        <w:rPr>
          <w:rFonts w:ascii="Times New Roman" w:hAnsi="Times New Roman" w:cs="Times New Roman"/>
          <w:sz w:val="28"/>
          <w:szCs w:val="28"/>
        </w:rPr>
        <w:t>Бардымский муниципальный район - муниципальное образование в составе Пермского края, состоящее из сельских поселений, объединенных общей территорией, в границах которой осуществляется местное самоуправление в целях решения вопросов местного значения межпоселенческого характера населением непосредственно и через выборные и иные органы местного самоуправления</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Устав муниципального района регулирует экономические основы местного самоуправления, характеристики и полномочия района в управлении муниципальным имуществом.</w:t>
      </w:r>
    </w:p>
    <w:p w:rsidR="005E327B" w:rsidRPr="00153E07" w:rsidRDefault="005E327B" w:rsidP="006D2568">
      <w:pPr>
        <w:pStyle w:val="af1"/>
        <w:numPr>
          <w:ilvl w:val="0"/>
          <w:numId w:val="4"/>
        </w:numPr>
        <w:spacing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Схема территориального планирования Бардымского муниципального района определяет </w:t>
      </w:r>
      <w:r w:rsidRPr="00153E07">
        <w:rPr>
          <w:rFonts w:ascii="Times New Roman" w:eastAsia="Times New Roman" w:hAnsi="Times New Roman" w:cs="Times New Roman"/>
          <w:sz w:val="28"/>
          <w:szCs w:val="28"/>
        </w:rPr>
        <w:t>назначения территорий на основе анализа социальных, экономических, экологических и иных факторов в целях обеспечения</w:t>
      </w:r>
      <w:hyperlink w:anchor="sub_103" w:history="1">
        <w:r w:rsidRPr="00153E07">
          <w:rPr>
            <w:rFonts w:ascii="Times New Roman" w:eastAsia="Times New Roman" w:hAnsi="Times New Roman" w:cs="Times New Roman"/>
            <w:sz w:val="28"/>
            <w:szCs w:val="28"/>
          </w:rPr>
          <w:t xml:space="preserve"> устойчивого развития территорий</w:t>
        </w:r>
      </w:hyperlink>
      <w:r w:rsidRPr="00153E07">
        <w:rPr>
          <w:rFonts w:ascii="Times New Roman" w:eastAsia="Times New Roman" w:hAnsi="Times New Roman" w:cs="Times New Roman"/>
          <w:sz w:val="28"/>
          <w:szCs w:val="28"/>
        </w:rPr>
        <w:t>, инженерной, транспортной и социальной инфраструктур с обеспечением учета интересов граждан;</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lastRenderedPageBreak/>
        <w:t>Генеральные планы поселений, входящих в состав Бардымского муниципального района, включают в себя характеристики территории сельских поселений, природные условия и ресурсы, минерально-сырьевые, лесосырьевые и рекреационные ресурсы, сведения о численности населения, описание социальной инфраструктуры, экономического потенциала с использованием программно-целевого программирования, жилищного строительства, инженерной и транспортной инфраструктуры, схемы озеленения территории и перечень основных факторов риска возникновения чрезвычайных ситуаций природного и техногенного характера. Территориально-планировочная организация территории содержит сведения об оптимизации системы расселения, обоснование территориального развития поселения, проектную организацию территории, архитектурно-планировочное решение.</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Муниципальные целевые программы Бардымского муниципального района;</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Инвестиционные муниципальные проекты (программы) Бардымского муниципального района.</w:t>
      </w:r>
    </w:p>
    <w:p w:rsidR="005E327B" w:rsidRPr="00153E07" w:rsidRDefault="005E327B" w:rsidP="006D2568">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Перечисленные документы направлены на развитие муниципального района, а именно: </w:t>
      </w:r>
      <w:r w:rsidRPr="00153E07">
        <w:rPr>
          <w:rFonts w:ascii="Times New Roman" w:hAnsi="Times New Roman" w:cs="Times New Roman"/>
          <w:sz w:val="28"/>
          <w:szCs w:val="28"/>
          <w:shd w:val="clear" w:color="auto" w:fill="FFFFFF"/>
        </w:rPr>
        <w:t xml:space="preserve">на повышение численности постоянного населения Пермского края, рост числа вовлеченных в экономическую деятельность на территории края, а также увеличение количества людей, временно находящихся на территории края с личными, деловыми и общественными целями. </w:t>
      </w:r>
    </w:p>
    <w:p w:rsidR="005E327B" w:rsidRPr="00153E07" w:rsidRDefault="005E327B" w:rsidP="006D2568">
      <w:pPr>
        <w:spacing w:after="0" w:line="240" w:lineRule="auto"/>
        <w:ind w:firstLine="709"/>
        <w:contextualSpacing/>
        <w:jc w:val="both"/>
        <w:rPr>
          <w:rFonts w:ascii="Times New Roman" w:hAnsi="Times New Roman" w:cs="Times New Roman"/>
          <w:sz w:val="28"/>
          <w:szCs w:val="28"/>
        </w:rPr>
      </w:pPr>
      <w:r w:rsidRPr="00153E07">
        <w:rPr>
          <w:rFonts w:ascii="Times New Roman" w:hAnsi="Times New Roman" w:cs="Times New Roman"/>
          <w:sz w:val="28"/>
          <w:szCs w:val="28"/>
        </w:rPr>
        <w:t xml:space="preserve">Согласно схеме территориального планирования Пермского края, утвержденной 27 октября 2009 года Постановлением Правительства Пермского края № </w:t>
      </w:r>
      <w:r w:rsidRPr="00153E07">
        <w:rPr>
          <w:rFonts w:ascii="Times New Roman" w:hAnsi="Times New Roman" w:cs="Times New Roman"/>
          <w:bCs/>
          <w:sz w:val="28"/>
          <w:szCs w:val="28"/>
        </w:rPr>
        <w:t xml:space="preserve">780-п, пространственная структура Пермского края формируется как планировочная система, основой которой являются урбанизированный, природно-экологический и историко-культурный каркасы.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представленных документов показал, что на текущий период времени в Бардымском муниципальном районе определены следующие агломерационные направления формирования пространственной организации муниципального образования:</w:t>
      </w:r>
    </w:p>
    <w:p w:rsidR="005E327B" w:rsidRPr="00153E07" w:rsidRDefault="005E327B" w:rsidP="006D2568">
      <w:pPr>
        <w:pStyle w:val="af1"/>
        <w:numPr>
          <w:ilvl w:val="0"/>
          <w:numId w:val="6"/>
        </w:numPr>
        <w:spacing w:after="0" w:line="240" w:lineRule="auto"/>
        <w:ind w:left="709" w:hanging="425"/>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сохранение существующих границ сельских поселений, с сохранением действующего статуса населенных пунктов;</w:t>
      </w:r>
    </w:p>
    <w:p w:rsidR="005E327B" w:rsidRPr="00153E07" w:rsidRDefault="005E327B" w:rsidP="006D2568">
      <w:pPr>
        <w:pStyle w:val="af1"/>
        <w:numPr>
          <w:ilvl w:val="0"/>
          <w:numId w:val="6"/>
        </w:numPr>
        <w:spacing w:after="0" w:line="240" w:lineRule="auto"/>
        <w:ind w:left="709" w:hanging="425"/>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отвод земель под новые микрорайоны, предназначенные под объекты социально-культурного значения и индивидуальное жилищное строительство.</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153E07">
        <w:rPr>
          <w:rFonts w:ascii="Times New Roman" w:eastAsia="Times New Roman" w:hAnsi="Times New Roman" w:cs="Times New Roman"/>
          <w:sz w:val="28"/>
          <w:szCs w:val="28"/>
        </w:rPr>
        <w:t xml:space="preserve">Так, в </w:t>
      </w:r>
      <w:r w:rsidRPr="00681E8B">
        <w:rPr>
          <w:rFonts w:ascii="Times New Roman" w:eastAsia="Times New Roman" w:hAnsi="Times New Roman" w:cs="Times New Roman"/>
          <w:b/>
          <w:sz w:val="28"/>
          <w:szCs w:val="28"/>
        </w:rPr>
        <w:t>Бардымском сельском поселении в с. Барда</w:t>
      </w:r>
      <w:r w:rsidRPr="00153E07">
        <w:rPr>
          <w:rFonts w:ascii="Times New Roman" w:eastAsia="Times New Roman" w:hAnsi="Times New Roman" w:cs="Times New Roman"/>
          <w:sz w:val="28"/>
          <w:szCs w:val="28"/>
        </w:rPr>
        <w:t xml:space="preserve"> предусматривается размещение на новых территориях 2-х новых </w:t>
      </w:r>
      <w:r w:rsidRPr="00153E07">
        <w:rPr>
          <w:rFonts w:ascii="Times New Roman" w:hAnsi="Times New Roman" w:cs="Times New Roman"/>
          <w:sz w:val="28"/>
          <w:szCs w:val="28"/>
          <w:shd w:val="clear" w:color="auto" w:fill="FFFFFF"/>
        </w:rPr>
        <w:t xml:space="preserve">микрорайонов, которые отводятся под индивидуальное коттеджное строительство, площадью </w:t>
      </w:r>
      <w:r w:rsidR="007C405B">
        <w:rPr>
          <w:rFonts w:ascii="Times New Roman" w:hAnsi="Times New Roman" w:cs="Times New Roman"/>
          <w:sz w:val="28"/>
          <w:szCs w:val="28"/>
          <w:shd w:val="clear" w:color="auto" w:fill="FFFFFF"/>
        </w:rPr>
        <w:t>444,7</w:t>
      </w:r>
      <w:r w:rsidRPr="00153E07">
        <w:rPr>
          <w:rFonts w:ascii="Times New Roman" w:hAnsi="Times New Roman" w:cs="Times New Roman"/>
          <w:sz w:val="28"/>
          <w:szCs w:val="28"/>
          <w:shd w:val="clear" w:color="auto" w:fill="FFFFFF"/>
        </w:rPr>
        <w:t xml:space="preserve"> га. </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153E07">
        <w:rPr>
          <w:rFonts w:ascii="Times New Roman" w:hAnsi="Times New Roman" w:cs="Times New Roman"/>
          <w:sz w:val="28"/>
          <w:szCs w:val="28"/>
          <w:shd w:val="clear" w:color="auto" w:fill="FFFFFF"/>
        </w:rPr>
        <w:t xml:space="preserve">В </w:t>
      </w:r>
      <w:r w:rsidR="00681E8B" w:rsidRPr="00681E8B">
        <w:rPr>
          <w:rFonts w:ascii="Times New Roman" w:hAnsi="Times New Roman" w:cs="Times New Roman"/>
          <w:sz w:val="28"/>
          <w:szCs w:val="28"/>
          <w:shd w:val="clear" w:color="auto" w:fill="FFFFFF"/>
        </w:rPr>
        <w:t>д.</w:t>
      </w:r>
      <w:r w:rsidRPr="00681E8B">
        <w:rPr>
          <w:rFonts w:ascii="Times New Roman" w:hAnsi="Times New Roman" w:cs="Times New Roman"/>
          <w:sz w:val="28"/>
          <w:szCs w:val="28"/>
          <w:shd w:val="clear" w:color="auto" w:fill="FFFFFF"/>
        </w:rPr>
        <w:t>Мостовая</w:t>
      </w:r>
      <w:r w:rsidRPr="00153E07">
        <w:rPr>
          <w:rFonts w:ascii="Times New Roman" w:hAnsi="Times New Roman" w:cs="Times New Roman"/>
          <w:sz w:val="28"/>
          <w:szCs w:val="28"/>
          <w:shd w:val="clear" w:color="auto" w:fill="FFFFFF"/>
        </w:rPr>
        <w:t xml:space="preserve"> проектом предусмотрено расширение территории под индивидуальное жилищное строительство на юго-восток на 13,5</w:t>
      </w:r>
      <w:r w:rsidR="00681E8B">
        <w:rPr>
          <w:rFonts w:ascii="Times New Roman" w:hAnsi="Times New Roman" w:cs="Times New Roman"/>
          <w:sz w:val="28"/>
          <w:szCs w:val="28"/>
          <w:shd w:val="clear" w:color="auto" w:fill="FFFFFF"/>
        </w:rPr>
        <w:t xml:space="preserve"> га, в д.</w:t>
      </w:r>
      <w:r w:rsidRPr="00153E07">
        <w:rPr>
          <w:rFonts w:ascii="Times New Roman" w:hAnsi="Times New Roman" w:cs="Times New Roman"/>
          <w:sz w:val="28"/>
          <w:szCs w:val="28"/>
          <w:shd w:val="clear" w:color="auto" w:fill="FFFFFF"/>
        </w:rPr>
        <w:t>Старый Чад - на юго-запад для тех же целей на 10</w:t>
      </w:r>
      <w:r w:rsidR="00681E8B">
        <w:rPr>
          <w:rFonts w:ascii="Times New Roman" w:hAnsi="Times New Roman" w:cs="Times New Roman"/>
          <w:sz w:val="28"/>
          <w:szCs w:val="28"/>
          <w:shd w:val="clear" w:color="auto" w:fill="FFFFFF"/>
        </w:rPr>
        <w:t xml:space="preserve"> </w:t>
      </w:r>
      <w:r w:rsidRPr="00153E07">
        <w:rPr>
          <w:rFonts w:ascii="Times New Roman" w:hAnsi="Times New Roman" w:cs="Times New Roman"/>
          <w:sz w:val="28"/>
          <w:szCs w:val="28"/>
          <w:shd w:val="clear" w:color="auto" w:fill="FFFFFF"/>
        </w:rPr>
        <w:t xml:space="preserve">га. </w:t>
      </w:r>
    </w:p>
    <w:p w:rsidR="005E327B" w:rsidRPr="00153E07" w:rsidRDefault="00681E8B" w:rsidP="006D256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Pr="00681E8B">
        <w:rPr>
          <w:rFonts w:ascii="Times New Roman" w:hAnsi="Times New Roman" w:cs="Times New Roman"/>
          <w:sz w:val="28"/>
          <w:szCs w:val="28"/>
          <w:shd w:val="clear" w:color="auto" w:fill="FFFFFF"/>
        </w:rPr>
        <w:t>д.</w:t>
      </w:r>
      <w:r w:rsidR="005E327B" w:rsidRPr="00681E8B">
        <w:rPr>
          <w:rFonts w:ascii="Times New Roman" w:hAnsi="Times New Roman" w:cs="Times New Roman"/>
          <w:sz w:val="28"/>
          <w:szCs w:val="28"/>
          <w:shd w:val="clear" w:color="auto" w:fill="FFFFFF"/>
        </w:rPr>
        <w:t>Чалково</w:t>
      </w:r>
      <w:r w:rsidR="007C405B">
        <w:rPr>
          <w:rFonts w:ascii="Times New Roman" w:hAnsi="Times New Roman" w:cs="Times New Roman"/>
          <w:sz w:val="28"/>
          <w:szCs w:val="28"/>
          <w:shd w:val="clear" w:color="auto" w:fill="FFFFFF"/>
        </w:rPr>
        <w:t xml:space="preserve"> проектом предусмотрено </w:t>
      </w:r>
      <w:r w:rsidR="005E327B" w:rsidRPr="00153E07">
        <w:rPr>
          <w:rFonts w:ascii="Times New Roman" w:hAnsi="Times New Roman" w:cs="Times New Roman"/>
          <w:sz w:val="28"/>
          <w:szCs w:val="28"/>
          <w:shd w:val="clear" w:color="auto" w:fill="FFFFFF"/>
        </w:rPr>
        <w:t xml:space="preserve">расширение </w:t>
      </w:r>
      <w:r w:rsidR="007C405B">
        <w:rPr>
          <w:rFonts w:ascii="Times New Roman" w:hAnsi="Times New Roman" w:cs="Times New Roman"/>
          <w:sz w:val="28"/>
          <w:szCs w:val="28"/>
          <w:shd w:val="clear" w:color="auto" w:fill="FFFFFF"/>
        </w:rPr>
        <w:t xml:space="preserve">территории </w:t>
      </w:r>
      <w:r w:rsidR="005E327B" w:rsidRPr="00153E07">
        <w:rPr>
          <w:rFonts w:ascii="Times New Roman" w:hAnsi="Times New Roman" w:cs="Times New Roman"/>
          <w:sz w:val="28"/>
          <w:szCs w:val="28"/>
          <w:shd w:val="clear" w:color="auto" w:fill="FFFFFF"/>
        </w:rPr>
        <w:t xml:space="preserve">под индивидуальное жилищное строительство </w:t>
      </w:r>
      <w:r w:rsidR="007C405B">
        <w:rPr>
          <w:rFonts w:ascii="Times New Roman" w:hAnsi="Times New Roman" w:cs="Times New Roman"/>
          <w:sz w:val="28"/>
          <w:szCs w:val="28"/>
          <w:shd w:val="clear" w:color="auto" w:fill="FFFFFF"/>
        </w:rPr>
        <w:t>площадью 25,8</w:t>
      </w:r>
      <w:r>
        <w:rPr>
          <w:rFonts w:ascii="Times New Roman" w:hAnsi="Times New Roman" w:cs="Times New Roman"/>
          <w:sz w:val="28"/>
          <w:szCs w:val="28"/>
          <w:shd w:val="clear" w:color="auto" w:fill="FFFFFF"/>
        </w:rPr>
        <w:t xml:space="preserve"> </w:t>
      </w:r>
      <w:r w:rsidR="007C405B">
        <w:rPr>
          <w:rFonts w:ascii="Times New Roman" w:hAnsi="Times New Roman" w:cs="Times New Roman"/>
          <w:sz w:val="28"/>
          <w:szCs w:val="28"/>
          <w:shd w:val="clear" w:color="auto" w:fill="FFFFFF"/>
        </w:rPr>
        <w:t>га</w:t>
      </w:r>
      <w:r w:rsidR="005E327B" w:rsidRPr="00153E07">
        <w:rPr>
          <w:rFonts w:ascii="Times New Roman" w:hAnsi="Times New Roman" w:cs="Times New Roman"/>
          <w:sz w:val="28"/>
          <w:szCs w:val="28"/>
          <w:shd w:val="clear" w:color="auto" w:fill="FFFFFF"/>
        </w:rPr>
        <w:t>.</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Березниковском сельском поселении</w:t>
      </w:r>
      <w:r w:rsidRPr="00153E07">
        <w:rPr>
          <w:rFonts w:ascii="Times New Roman" w:hAnsi="Times New Roman" w:cs="Times New Roman"/>
          <w:sz w:val="28"/>
          <w:szCs w:val="28"/>
          <w:shd w:val="clear" w:color="auto" w:fill="FFFFFF"/>
        </w:rPr>
        <w:t xml:space="preserve"> проектом предусматривается расширение с. Березники на юго-восток и строительство нового микрорайона, </w:t>
      </w:r>
      <w:r w:rsidRPr="00153E07">
        <w:rPr>
          <w:rFonts w:ascii="Times New Roman" w:hAnsi="Times New Roman" w:cs="Times New Roman"/>
          <w:sz w:val="28"/>
          <w:szCs w:val="28"/>
          <w:shd w:val="clear" w:color="auto" w:fill="FFFFFF"/>
        </w:rPr>
        <w:lastRenderedPageBreak/>
        <w:t xml:space="preserve">застройка индивидуальными жилыми домами с участками для ведения личного подсобного хозяйства, площадью </w:t>
      </w:r>
      <w:r w:rsidR="007C405B">
        <w:rPr>
          <w:rFonts w:ascii="Times New Roman" w:hAnsi="Times New Roman" w:cs="Times New Roman"/>
          <w:sz w:val="28"/>
          <w:szCs w:val="28"/>
          <w:shd w:val="clear" w:color="auto" w:fill="FFFFFF"/>
        </w:rPr>
        <w:t>42,2</w:t>
      </w:r>
      <w:r w:rsidR="00681E8B">
        <w:rPr>
          <w:rFonts w:ascii="Times New Roman" w:hAnsi="Times New Roman" w:cs="Times New Roman"/>
          <w:sz w:val="28"/>
          <w:szCs w:val="28"/>
          <w:shd w:val="clear" w:color="auto" w:fill="FFFFFF"/>
        </w:rPr>
        <w:t xml:space="preserve"> га. В с.</w:t>
      </w:r>
      <w:r w:rsidRPr="00153E07">
        <w:rPr>
          <w:rFonts w:ascii="Times New Roman" w:hAnsi="Times New Roman" w:cs="Times New Roman"/>
          <w:sz w:val="28"/>
          <w:szCs w:val="28"/>
          <w:shd w:val="clear" w:color="auto" w:fill="FFFFFF"/>
        </w:rPr>
        <w:t xml:space="preserve">Куземьярово предусмотрено расширение под индивидуальное жилищное строительство на юго-запад на </w:t>
      </w:r>
      <w:r w:rsidR="003421C8">
        <w:rPr>
          <w:rFonts w:ascii="Times New Roman" w:hAnsi="Times New Roman" w:cs="Times New Roman"/>
          <w:sz w:val="28"/>
          <w:szCs w:val="28"/>
          <w:shd w:val="clear" w:color="auto" w:fill="FFFFFF"/>
        </w:rPr>
        <w:t>5</w:t>
      </w:r>
      <w:r w:rsidRPr="00153E07">
        <w:rPr>
          <w:rFonts w:ascii="Times New Roman" w:hAnsi="Times New Roman" w:cs="Times New Roman"/>
          <w:sz w:val="28"/>
          <w:szCs w:val="28"/>
          <w:shd w:val="clear" w:color="auto" w:fill="FFFFFF"/>
        </w:rPr>
        <w:t>6,</w:t>
      </w:r>
      <w:r w:rsidR="003421C8">
        <w:rPr>
          <w:rFonts w:ascii="Times New Roman" w:hAnsi="Times New Roman" w:cs="Times New Roman"/>
          <w:sz w:val="28"/>
          <w:szCs w:val="28"/>
          <w:shd w:val="clear" w:color="auto" w:fill="FFFFFF"/>
        </w:rPr>
        <w:t>8</w:t>
      </w:r>
      <w:r w:rsidRPr="00153E07">
        <w:rPr>
          <w:rFonts w:ascii="Times New Roman" w:hAnsi="Times New Roman" w:cs="Times New Roman"/>
          <w:sz w:val="28"/>
          <w:szCs w:val="28"/>
          <w:shd w:val="clear" w:color="auto" w:fill="FFFFFF"/>
        </w:rPr>
        <w:t xml:space="preserve"> га, в д. Ишимово - на север и юго-запад на </w:t>
      </w:r>
      <w:r w:rsidR="003421C8">
        <w:rPr>
          <w:rFonts w:ascii="Times New Roman" w:hAnsi="Times New Roman" w:cs="Times New Roman"/>
          <w:sz w:val="28"/>
          <w:szCs w:val="28"/>
          <w:shd w:val="clear" w:color="auto" w:fill="FFFFFF"/>
        </w:rPr>
        <w:t>43,1</w:t>
      </w:r>
      <w:r w:rsidRPr="00153E07">
        <w:rPr>
          <w:rFonts w:ascii="Times New Roman" w:hAnsi="Times New Roman" w:cs="Times New Roman"/>
          <w:sz w:val="28"/>
          <w:szCs w:val="28"/>
          <w:shd w:val="clear" w:color="auto" w:fill="FFFFFF"/>
        </w:rPr>
        <w:t xml:space="preserve"> га, в д.Кудаш - на юго-восток на 21,5 га, в д.Чувашаево - на север на </w:t>
      </w:r>
      <w:r w:rsidR="003421C8">
        <w:rPr>
          <w:rFonts w:ascii="Times New Roman" w:hAnsi="Times New Roman" w:cs="Times New Roman"/>
          <w:sz w:val="28"/>
          <w:szCs w:val="28"/>
          <w:shd w:val="clear" w:color="auto" w:fill="FFFFFF"/>
        </w:rPr>
        <w:t>8,1</w:t>
      </w:r>
      <w:r w:rsidRPr="00153E07">
        <w:rPr>
          <w:rFonts w:ascii="Times New Roman" w:hAnsi="Times New Roman" w:cs="Times New Roman"/>
          <w:sz w:val="28"/>
          <w:szCs w:val="28"/>
          <w:shd w:val="clear" w:color="auto" w:fill="FFFFFF"/>
        </w:rPr>
        <w:t xml:space="preserve"> га.</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Бичуринском сельском поселении</w:t>
      </w:r>
      <w:r w:rsidRPr="00153E07">
        <w:rPr>
          <w:rFonts w:ascii="Times New Roman" w:hAnsi="Times New Roman" w:cs="Times New Roman"/>
          <w:sz w:val="28"/>
          <w:szCs w:val="28"/>
          <w:shd w:val="clear" w:color="auto" w:fill="FFFFFF"/>
        </w:rPr>
        <w:t xml:space="preserve"> в с. Бичурино планируется расширение границ индивидуальной застройки на северо-запад на 53 га, в д.Бардабашка-1 - на юго-запад на 7,4</w:t>
      </w:r>
      <w:r w:rsidR="00681E8B">
        <w:rPr>
          <w:rFonts w:ascii="Times New Roman" w:hAnsi="Times New Roman" w:cs="Times New Roman"/>
          <w:sz w:val="28"/>
          <w:szCs w:val="28"/>
          <w:shd w:val="clear" w:color="auto" w:fill="FFFFFF"/>
        </w:rPr>
        <w:t xml:space="preserve"> </w:t>
      </w:r>
      <w:r w:rsidRPr="00153E07">
        <w:rPr>
          <w:rFonts w:ascii="Times New Roman" w:hAnsi="Times New Roman" w:cs="Times New Roman"/>
          <w:sz w:val="28"/>
          <w:szCs w:val="28"/>
          <w:shd w:val="clear" w:color="auto" w:fill="FFFFFF"/>
        </w:rPr>
        <w:t>га.</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Бюзлинском сельском поселении</w:t>
      </w:r>
      <w:r w:rsidRPr="00153E07">
        <w:rPr>
          <w:rFonts w:ascii="Times New Roman" w:hAnsi="Times New Roman" w:cs="Times New Roman"/>
          <w:sz w:val="28"/>
          <w:szCs w:val="28"/>
          <w:shd w:val="clear" w:color="auto" w:fill="FFFFFF"/>
        </w:rPr>
        <w:t xml:space="preserve"> планируется выделение 40,9 га на новую индивидуальную постройку: в с.Брюзли – на юго-запад на 2</w:t>
      </w:r>
      <w:r w:rsidR="003421C8">
        <w:rPr>
          <w:rFonts w:ascii="Times New Roman" w:hAnsi="Times New Roman" w:cs="Times New Roman"/>
          <w:sz w:val="28"/>
          <w:szCs w:val="28"/>
          <w:shd w:val="clear" w:color="auto" w:fill="FFFFFF"/>
        </w:rPr>
        <w:t>1,3</w:t>
      </w:r>
      <w:r w:rsidRPr="00153E07">
        <w:rPr>
          <w:rFonts w:ascii="Times New Roman" w:hAnsi="Times New Roman" w:cs="Times New Roman"/>
          <w:sz w:val="28"/>
          <w:szCs w:val="28"/>
          <w:shd w:val="clear" w:color="auto" w:fill="FFFFFF"/>
        </w:rPr>
        <w:t xml:space="preserve"> га, в д.Сюзянь – на северо-запад и юго-запад села на </w:t>
      </w:r>
      <w:r w:rsidR="003421C8">
        <w:rPr>
          <w:rFonts w:ascii="Times New Roman" w:hAnsi="Times New Roman" w:cs="Times New Roman"/>
          <w:sz w:val="28"/>
          <w:szCs w:val="28"/>
          <w:shd w:val="clear" w:color="auto" w:fill="FFFFFF"/>
        </w:rPr>
        <w:t>6,1 га, в</w:t>
      </w:r>
      <w:r w:rsidRPr="00153E07">
        <w:rPr>
          <w:rFonts w:ascii="Times New Roman" w:hAnsi="Times New Roman" w:cs="Times New Roman"/>
          <w:sz w:val="28"/>
          <w:szCs w:val="28"/>
          <w:shd w:val="clear" w:color="auto" w:fill="FFFFFF"/>
        </w:rPr>
        <w:t xml:space="preserve"> д.Батырбай </w:t>
      </w:r>
      <w:r w:rsidR="003421C8">
        <w:rPr>
          <w:rFonts w:ascii="Times New Roman" w:hAnsi="Times New Roman" w:cs="Times New Roman"/>
          <w:sz w:val="28"/>
          <w:szCs w:val="28"/>
          <w:shd w:val="clear" w:color="auto" w:fill="FFFFFF"/>
        </w:rPr>
        <w:t>-12,5 га</w:t>
      </w:r>
      <w:r w:rsidRPr="00153E07">
        <w:rPr>
          <w:rFonts w:ascii="Times New Roman" w:hAnsi="Times New Roman" w:cs="Times New Roman"/>
          <w:sz w:val="28"/>
          <w:szCs w:val="28"/>
          <w:shd w:val="clear" w:color="auto" w:fill="FFFFFF"/>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Елпачихинском сельском поселении</w:t>
      </w:r>
      <w:r w:rsidRPr="00153E07">
        <w:rPr>
          <w:rFonts w:ascii="Times New Roman" w:hAnsi="Times New Roman" w:cs="Times New Roman"/>
          <w:bCs/>
          <w:sz w:val="28"/>
          <w:szCs w:val="28"/>
        </w:rPr>
        <w:t xml:space="preserve"> для развития поселения предусматривается отвод земель под новые микрорайоны, предназначенные под индивидуальное жилищное строительство, площадь под строительство составит </w:t>
      </w:r>
      <w:r w:rsidR="003421C8">
        <w:rPr>
          <w:rFonts w:ascii="Times New Roman" w:hAnsi="Times New Roman" w:cs="Times New Roman"/>
          <w:bCs/>
          <w:sz w:val="28"/>
          <w:szCs w:val="28"/>
        </w:rPr>
        <w:t xml:space="preserve">91,5 </w:t>
      </w:r>
      <w:r w:rsidRPr="00153E07">
        <w:rPr>
          <w:rFonts w:ascii="Times New Roman" w:hAnsi="Times New Roman" w:cs="Times New Roman"/>
          <w:bCs/>
          <w:sz w:val="28"/>
          <w:szCs w:val="28"/>
        </w:rPr>
        <w:t xml:space="preserve">га. В с.Елпачиха планируется построить микрорайон в северной части села для целей индивидуальной застройки с участками для ведения личного подсобного хозяйства. В д.Искирь под расширение индивидуального строительства в северо-западной </w:t>
      </w:r>
      <w:r w:rsidR="00681E8B">
        <w:rPr>
          <w:rFonts w:ascii="Times New Roman" w:hAnsi="Times New Roman" w:cs="Times New Roman"/>
          <w:bCs/>
          <w:sz w:val="28"/>
          <w:szCs w:val="28"/>
        </w:rPr>
        <w:t>части села отводится 11га. В д.</w:t>
      </w:r>
      <w:r w:rsidRPr="00153E07">
        <w:rPr>
          <w:rFonts w:ascii="Times New Roman" w:hAnsi="Times New Roman" w:cs="Times New Roman"/>
          <w:bCs/>
          <w:sz w:val="28"/>
          <w:szCs w:val="28"/>
        </w:rPr>
        <w:t>Усть-Тунтор и д. Конюково отведение земель под расширение не предусмотрено.</w:t>
      </w:r>
    </w:p>
    <w:p w:rsidR="005E327B" w:rsidRPr="00153E07" w:rsidRDefault="00681E8B" w:rsidP="006D2568">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с.</w:t>
      </w:r>
      <w:r w:rsidR="005E327B" w:rsidRPr="00153E07">
        <w:rPr>
          <w:rFonts w:ascii="Times New Roman" w:hAnsi="Times New Roman" w:cs="Times New Roman"/>
          <w:bCs/>
          <w:sz w:val="28"/>
          <w:szCs w:val="28"/>
        </w:rPr>
        <w:t xml:space="preserve">Краснояр </w:t>
      </w:r>
      <w:r w:rsidR="00F72EA5">
        <w:rPr>
          <w:rFonts w:ascii="Times New Roman" w:hAnsi="Times New Roman" w:cs="Times New Roman"/>
          <w:bCs/>
          <w:sz w:val="28"/>
          <w:szCs w:val="28"/>
          <w:lang w:val="en-US"/>
        </w:rPr>
        <w:t>I</w:t>
      </w:r>
      <w:r w:rsidR="005E327B" w:rsidRPr="00153E07">
        <w:rPr>
          <w:rFonts w:ascii="Times New Roman" w:hAnsi="Times New Roman" w:cs="Times New Roman"/>
          <w:bCs/>
          <w:sz w:val="28"/>
          <w:szCs w:val="28"/>
        </w:rPr>
        <w:t xml:space="preserve"> </w:t>
      </w:r>
      <w:r w:rsidR="005E327B" w:rsidRPr="00681E8B">
        <w:rPr>
          <w:rFonts w:ascii="Times New Roman" w:hAnsi="Times New Roman" w:cs="Times New Roman"/>
          <w:b/>
          <w:bCs/>
          <w:sz w:val="28"/>
          <w:szCs w:val="28"/>
        </w:rPr>
        <w:t>Красноярского сельского поселения</w:t>
      </w:r>
      <w:r w:rsidR="005E327B" w:rsidRPr="00153E07">
        <w:rPr>
          <w:rFonts w:ascii="Times New Roman" w:hAnsi="Times New Roman" w:cs="Times New Roman"/>
          <w:bCs/>
          <w:sz w:val="28"/>
          <w:szCs w:val="28"/>
        </w:rPr>
        <w:t xml:space="preserve"> планируется размещен</w:t>
      </w:r>
      <w:r w:rsidR="00F72EA5">
        <w:rPr>
          <w:rFonts w:ascii="Times New Roman" w:hAnsi="Times New Roman" w:cs="Times New Roman"/>
          <w:bCs/>
          <w:sz w:val="28"/>
          <w:szCs w:val="28"/>
        </w:rPr>
        <w:t>ие нового микрорайона площадью 289,6</w:t>
      </w:r>
      <w:r>
        <w:rPr>
          <w:rFonts w:ascii="Times New Roman" w:hAnsi="Times New Roman" w:cs="Times New Roman"/>
          <w:bCs/>
          <w:sz w:val="28"/>
          <w:szCs w:val="28"/>
        </w:rPr>
        <w:t xml:space="preserve"> </w:t>
      </w:r>
      <w:r w:rsidR="005E327B" w:rsidRPr="00153E07">
        <w:rPr>
          <w:rFonts w:ascii="Times New Roman" w:hAnsi="Times New Roman" w:cs="Times New Roman"/>
          <w:bCs/>
          <w:sz w:val="28"/>
          <w:szCs w:val="28"/>
        </w:rPr>
        <w:t>га</w:t>
      </w:r>
      <w:r>
        <w:rPr>
          <w:rFonts w:ascii="Times New Roman" w:hAnsi="Times New Roman" w:cs="Times New Roman"/>
          <w:bCs/>
          <w:sz w:val="28"/>
          <w:szCs w:val="28"/>
        </w:rPr>
        <w:t>, в с.</w:t>
      </w:r>
      <w:r w:rsidR="00F72EA5">
        <w:rPr>
          <w:rFonts w:ascii="Times New Roman" w:hAnsi="Times New Roman" w:cs="Times New Roman"/>
          <w:bCs/>
          <w:sz w:val="28"/>
          <w:szCs w:val="28"/>
        </w:rPr>
        <w:t xml:space="preserve">Краснояр </w:t>
      </w:r>
      <w:r w:rsidR="00F72EA5">
        <w:rPr>
          <w:rFonts w:ascii="Times New Roman" w:hAnsi="Times New Roman" w:cs="Times New Roman"/>
          <w:bCs/>
          <w:sz w:val="28"/>
          <w:szCs w:val="28"/>
          <w:lang w:val="en-US"/>
        </w:rPr>
        <w:t>II</w:t>
      </w:r>
      <w:r>
        <w:rPr>
          <w:rFonts w:ascii="Times New Roman" w:hAnsi="Times New Roman" w:cs="Times New Roman"/>
          <w:bCs/>
          <w:sz w:val="28"/>
          <w:szCs w:val="28"/>
        </w:rPr>
        <w:t xml:space="preserve"> – 45,1 га, в д.</w:t>
      </w:r>
      <w:r w:rsidR="00F72EA5">
        <w:rPr>
          <w:rFonts w:ascii="Times New Roman" w:hAnsi="Times New Roman" w:cs="Times New Roman"/>
          <w:bCs/>
          <w:sz w:val="28"/>
          <w:szCs w:val="28"/>
        </w:rPr>
        <w:t>Утяй – 23,31 га под садоводство</w:t>
      </w:r>
      <w:r w:rsidR="005E327B"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Печменском сельском поселении</w:t>
      </w:r>
      <w:r w:rsidRPr="00153E07">
        <w:rPr>
          <w:rFonts w:ascii="Times New Roman" w:hAnsi="Times New Roman" w:cs="Times New Roman"/>
          <w:bCs/>
          <w:sz w:val="28"/>
          <w:szCs w:val="28"/>
        </w:rPr>
        <w:t xml:space="preserve">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Печмень – 20</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 с</w:t>
      </w:r>
      <w:r w:rsidR="00681E8B">
        <w:rPr>
          <w:rFonts w:ascii="Times New Roman" w:hAnsi="Times New Roman" w:cs="Times New Roman"/>
          <w:bCs/>
          <w:sz w:val="28"/>
          <w:szCs w:val="28"/>
        </w:rPr>
        <w:t>еверо-западной части села, в д.</w:t>
      </w:r>
      <w:r w:rsidRPr="00153E07">
        <w:rPr>
          <w:rFonts w:ascii="Times New Roman" w:hAnsi="Times New Roman" w:cs="Times New Roman"/>
          <w:bCs/>
          <w:sz w:val="28"/>
          <w:szCs w:val="28"/>
        </w:rPr>
        <w:t>Зязелга- 6,8га</w:t>
      </w:r>
      <w:r w:rsidR="00681E8B">
        <w:rPr>
          <w:rFonts w:ascii="Times New Roman" w:hAnsi="Times New Roman" w:cs="Times New Roman"/>
          <w:bCs/>
          <w:sz w:val="28"/>
          <w:szCs w:val="28"/>
        </w:rPr>
        <w:t xml:space="preserve"> в северной части деревни, в с.</w:t>
      </w:r>
      <w:r w:rsidRPr="00153E07">
        <w:rPr>
          <w:rFonts w:ascii="Times New Roman" w:hAnsi="Times New Roman" w:cs="Times New Roman"/>
          <w:bCs/>
          <w:sz w:val="28"/>
          <w:szCs w:val="28"/>
        </w:rPr>
        <w:t xml:space="preserve">Кармановка – </w:t>
      </w:r>
      <w:r w:rsidR="00681E8B">
        <w:rPr>
          <w:rFonts w:ascii="Times New Roman" w:hAnsi="Times New Roman" w:cs="Times New Roman"/>
          <w:bCs/>
          <w:sz w:val="28"/>
          <w:szCs w:val="28"/>
        </w:rPr>
        <w:t>18,2 га в южной части села, в с.</w:t>
      </w:r>
      <w:r w:rsidRPr="00153E07">
        <w:rPr>
          <w:rFonts w:ascii="Times New Roman" w:hAnsi="Times New Roman" w:cs="Times New Roman"/>
          <w:bCs/>
          <w:sz w:val="28"/>
          <w:szCs w:val="28"/>
        </w:rPr>
        <w:t>Константиновка – 21,4га в юго-западной части села.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Сарашевском сельском поселении</w:t>
      </w:r>
      <w:r w:rsidRPr="00153E07">
        <w:rPr>
          <w:rFonts w:ascii="Times New Roman" w:hAnsi="Times New Roman" w:cs="Times New Roman"/>
          <w:bCs/>
          <w:sz w:val="28"/>
          <w:szCs w:val="28"/>
        </w:rPr>
        <w:t xml:space="preserve"> для развития поселения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Сараши -</w:t>
      </w:r>
      <w:r w:rsidR="00681E8B">
        <w:rPr>
          <w:rFonts w:ascii="Times New Roman" w:hAnsi="Times New Roman" w:cs="Times New Roman"/>
          <w:bCs/>
          <w:sz w:val="28"/>
          <w:szCs w:val="28"/>
        </w:rPr>
        <w:t xml:space="preserve"> </w:t>
      </w:r>
      <w:r w:rsidR="003421C8">
        <w:rPr>
          <w:rFonts w:ascii="Times New Roman" w:hAnsi="Times New Roman" w:cs="Times New Roman"/>
          <w:bCs/>
          <w:sz w:val="28"/>
          <w:szCs w:val="28"/>
        </w:rPr>
        <w:t>399,2</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 западной, юго-западной, южной</w:t>
      </w:r>
      <w:r w:rsidR="00681E8B">
        <w:rPr>
          <w:rFonts w:ascii="Times New Roman" w:hAnsi="Times New Roman" w:cs="Times New Roman"/>
          <w:bCs/>
          <w:sz w:val="28"/>
          <w:szCs w:val="28"/>
        </w:rPr>
        <w:t xml:space="preserve"> и юго-восточной части села, д.</w:t>
      </w:r>
      <w:r w:rsidRPr="00153E07">
        <w:rPr>
          <w:rFonts w:ascii="Times New Roman" w:hAnsi="Times New Roman" w:cs="Times New Roman"/>
          <w:bCs/>
          <w:sz w:val="28"/>
          <w:szCs w:val="28"/>
        </w:rPr>
        <w:t>Усть-Ашап – 16</w:t>
      </w:r>
      <w:r w:rsidR="003421C8">
        <w:rPr>
          <w:rFonts w:ascii="Times New Roman" w:hAnsi="Times New Roman" w:cs="Times New Roman"/>
          <w:bCs/>
          <w:sz w:val="28"/>
          <w:szCs w:val="28"/>
        </w:rPr>
        <w:t>,2</w:t>
      </w:r>
      <w:r w:rsidR="00681E8B">
        <w:rPr>
          <w:rFonts w:ascii="Times New Roman" w:hAnsi="Times New Roman" w:cs="Times New Roman"/>
          <w:bCs/>
          <w:sz w:val="28"/>
          <w:szCs w:val="28"/>
        </w:rPr>
        <w:t xml:space="preserve"> </w:t>
      </w:r>
      <w:r w:rsidR="003421C8">
        <w:rPr>
          <w:rFonts w:ascii="Times New Roman" w:hAnsi="Times New Roman" w:cs="Times New Roman"/>
          <w:bCs/>
          <w:sz w:val="28"/>
          <w:szCs w:val="28"/>
        </w:rPr>
        <w:t>г</w:t>
      </w:r>
      <w:r w:rsidR="00681E8B">
        <w:rPr>
          <w:rFonts w:ascii="Times New Roman" w:hAnsi="Times New Roman" w:cs="Times New Roman"/>
          <w:bCs/>
          <w:sz w:val="28"/>
          <w:szCs w:val="28"/>
        </w:rPr>
        <w:t>а в юго-восточной части села, с.Танып – 21,1 га, с.</w:t>
      </w:r>
      <w:r w:rsidR="003421C8">
        <w:rPr>
          <w:rFonts w:ascii="Times New Roman" w:hAnsi="Times New Roman" w:cs="Times New Roman"/>
          <w:bCs/>
          <w:sz w:val="28"/>
          <w:szCs w:val="28"/>
        </w:rPr>
        <w:t>Султанай – 5,5 га.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Тюндюковском сельском поселении</w:t>
      </w:r>
      <w:r w:rsidRPr="00153E07">
        <w:rPr>
          <w:rFonts w:ascii="Times New Roman" w:hAnsi="Times New Roman" w:cs="Times New Roman"/>
          <w:bCs/>
          <w:sz w:val="28"/>
          <w:szCs w:val="28"/>
        </w:rPr>
        <w:t xml:space="preserve">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 xml:space="preserve">Тюндюк </w:t>
      </w:r>
      <w:r w:rsidR="003421C8">
        <w:rPr>
          <w:rFonts w:ascii="Times New Roman" w:hAnsi="Times New Roman" w:cs="Times New Roman"/>
          <w:bCs/>
          <w:sz w:val="28"/>
          <w:szCs w:val="28"/>
        </w:rPr>
        <w:t>–199,2</w:t>
      </w:r>
      <w:r w:rsidRPr="00153E07">
        <w:rPr>
          <w:rFonts w:ascii="Times New Roman" w:hAnsi="Times New Roman" w:cs="Times New Roman"/>
          <w:bCs/>
          <w:sz w:val="28"/>
          <w:szCs w:val="28"/>
        </w:rPr>
        <w:t>га в юго-восточной и западной части села</w:t>
      </w:r>
      <w:r w:rsidR="003421C8">
        <w:rPr>
          <w:rFonts w:ascii="Times New Roman" w:hAnsi="Times New Roman" w:cs="Times New Roman"/>
          <w:bCs/>
          <w:sz w:val="28"/>
          <w:szCs w:val="28"/>
        </w:rPr>
        <w:t>, в с.Аклуши – 60,8 га</w:t>
      </w:r>
      <w:r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Федорковском сельском поселении</w:t>
      </w:r>
      <w:r w:rsidRPr="00153E07">
        <w:rPr>
          <w:rFonts w:ascii="Times New Roman" w:hAnsi="Times New Roman" w:cs="Times New Roman"/>
          <w:bCs/>
          <w:sz w:val="28"/>
          <w:szCs w:val="28"/>
        </w:rPr>
        <w:t xml:space="preserve"> отвод земель под новые микрорайоны в с. Федорки составит </w:t>
      </w:r>
      <w:r w:rsidR="003421C8">
        <w:rPr>
          <w:rFonts w:ascii="Times New Roman" w:hAnsi="Times New Roman" w:cs="Times New Roman"/>
          <w:bCs/>
          <w:sz w:val="28"/>
          <w:szCs w:val="28"/>
        </w:rPr>
        <w:t>18,2</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w:t>
      </w:r>
      <w:r w:rsidR="00681E8B">
        <w:rPr>
          <w:rFonts w:ascii="Times New Roman" w:hAnsi="Times New Roman" w:cs="Times New Roman"/>
          <w:bCs/>
          <w:sz w:val="28"/>
          <w:szCs w:val="28"/>
        </w:rPr>
        <w:t xml:space="preserve"> юго-восточной части села, в с.</w:t>
      </w:r>
      <w:r w:rsidRPr="00153E07">
        <w:rPr>
          <w:rFonts w:ascii="Times New Roman" w:hAnsi="Times New Roman" w:cs="Times New Roman"/>
          <w:bCs/>
          <w:sz w:val="28"/>
          <w:szCs w:val="28"/>
        </w:rPr>
        <w:t>Уймуж – 20,66</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 xml:space="preserve">га в юго-восточной части села, </w:t>
      </w:r>
      <w:r w:rsidR="003421C8">
        <w:rPr>
          <w:rFonts w:ascii="Times New Roman" w:hAnsi="Times New Roman" w:cs="Times New Roman"/>
          <w:bCs/>
          <w:sz w:val="28"/>
          <w:szCs w:val="28"/>
        </w:rPr>
        <w:t>в с. Акбаш – 7,1 га.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Шермейском сельском поселении</w:t>
      </w:r>
      <w:r w:rsidRPr="00153E07">
        <w:rPr>
          <w:rFonts w:ascii="Times New Roman" w:hAnsi="Times New Roman" w:cs="Times New Roman"/>
          <w:bCs/>
          <w:sz w:val="28"/>
          <w:szCs w:val="28"/>
        </w:rPr>
        <w:t xml:space="preserve"> </w:t>
      </w:r>
      <w:r w:rsidR="003421C8">
        <w:rPr>
          <w:rFonts w:ascii="Times New Roman" w:hAnsi="Times New Roman" w:cs="Times New Roman"/>
          <w:bCs/>
          <w:sz w:val="28"/>
          <w:szCs w:val="28"/>
        </w:rPr>
        <w:t xml:space="preserve">предусмотрено </w:t>
      </w:r>
      <w:r w:rsidRPr="00153E07">
        <w:rPr>
          <w:rFonts w:ascii="Times New Roman" w:hAnsi="Times New Roman" w:cs="Times New Roman"/>
          <w:bCs/>
          <w:sz w:val="28"/>
          <w:szCs w:val="28"/>
        </w:rPr>
        <w:t>расширени</w:t>
      </w:r>
      <w:r w:rsidR="003421C8">
        <w:rPr>
          <w:rFonts w:ascii="Times New Roman" w:hAnsi="Times New Roman" w:cs="Times New Roman"/>
          <w:bCs/>
          <w:sz w:val="28"/>
          <w:szCs w:val="28"/>
        </w:rPr>
        <w:t>е</w:t>
      </w:r>
      <w:r w:rsidRPr="00153E07">
        <w:rPr>
          <w:rFonts w:ascii="Times New Roman" w:hAnsi="Times New Roman" w:cs="Times New Roman"/>
          <w:bCs/>
          <w:sz w:val="28"/>
          <w:szCs w:val="28"/>
        </w:rPr>
        <w:t xml:space="preserve"> под развитие </w:t>
      </w:r>
      <w:r w:rsidR="00681E8B">
        <w:rPr>
          <w:rFonts w:ascii="Times New Roman" w:hAnsi="Times New Roman" w:cs="Times New Roman"/>
          <w:bCs/>
          <w:sz w:val="28"/>
          <w:szCs w:val="28"/>
        </w:rPr>
        <w:t>в с.</w:t>
      </w:r>
      <w:r w:rsidR="003421C8">
        <w:rPr>
          <w:rFonts w:ascii="Times New Roman" w:hAnsi="Times New Roman" w:cs="Times New Roman"/>
          <w:bCs/>
          <w:sz w:val="28"/>
          <w:szCs w:val="28"/>
        </w:rPr>
        <w:t>Шермейка – 14,6 га</w:t>
      </w:r>
      <w:r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153E07">
        <w:rPr>
          <w:rFonts w:ascii="Times New Roman" w:hAnsi="Times New Roman" w:cs="Times New Roman"/>
          <w:bCs/>
          <w:sz w:val="28"/>
          <w:szCs w:val="28"/>
        </w:rPr>
        <w:t xml:space="preserve">Общий объем земель к расширению в Бардымском муниципальном районе составляет порядка </w:t>
      </w:r>
      <w:r w:rsidR="00F72EA5">
        <w:rPr>
          <w:rFonts w:ascii="Times New Roman" w:hAnsi="Times New Roman" w:cs="Times New Roman"/>
          <w:bCs/>
          <w:sz w:val="28"/>
          <w:szCs w:val="28"/>
        </w:rPr>
        <w:t>2056,47</w:t>
      </w:r>
      <w:r w:rsidRPr="00153E07">
        <w:rPr>
          <w:rFonts w:ascii="Times New Roman" w:hAnsi="Times New Roman" w:cs="Times New Roman"/>
          <w:bCs/>
          <w:sz w:val="28"/>
          <w:szCs w:val="28"/>
        </w:rPr>
        <w:t xml:space="preserve"> га, затрагивающие все сельские поселения за исключением Шермейское сельское поселение.</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153E07">
        <w:rPr>
          <w:rFonts w:ascii="Times New Roman" w:hAnsi="Times New Roman" w:cs="Times New Roman"/>
          <w:bCs/>
          <w:sz w:val="28"/>
          <w:szCs w:val="28"/>
        </w:rPr>
        <w:lastRenderedPageBreak/>
        <w:t>В рамках развития промышленного комплекса, согласно схеме территориального планирования Пермского края, планируется сформировать шесть региональных промышленных кластеров: топливно-энергетический, горно-химический, лесопромышленный, машиностроительно-металлургический, строительный, агропромышленный. Село Барда Бардымского муниципального района рекомендовано к созданию и размещению научных организаций с перспективой их дальнейшего преобразования в технико-внедренческие зоны и технопарки. Подробнее о кластерном развитии представлено в последующих разделах Стратегии.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Default="005E327B" w:rsidP="006D2568">
      <w:pPr>
        <w:pStyle w:val="1"/>
        <w:numPr>
          <w:ilvl w:val="2"/>
          <w:numId w:val="1"/>
        </w:numPr>
        <w:spacing w:line="240" w:lineRule="auto"/>
      </w:pPr>
      <w:bookmarkStart w:id="10" w:name="_Toc491943103"/>
      <w:r w:rsidRPr="00153E07">
        <w:t>Факторы экономического роста</w:t>
      </w:r>
      <w:bookmarkEnd w:id="10"/>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Факторы экономического роста определяют возможности увеличения реального объема производства муниципального образования, повышения эффективности и качества роста.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определения ключевых направлений и факторов роста проведен анализ на основе информационных данных предшествующих периодов с использованием коэффициента корреляции Пирсона, для определения тесноты взаимосвязи применена шкала показателей Чеддока (Приложения </w:t>
      </w:r>
      <w:r w:rsidR="00E97C6A">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w:t>
      </w:r>
      <w:r w:rsidR="00E97C6A">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ходе исследования были проанализированы следующие факторы:</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E327B" w:rsidRPr="00153E07">
        <w:rPr>
          <w:rFonts w:ascii="Times New Roman" w:eastAsia="Times New Roman" w:hAnsi="Times New Roman" w:cs="Times New Roman"/>
          <w:sz w:val="28"/>
          <w:szCs w:val="28"/>
        </w:rPr>
        <w:t>оличество зарегистрированных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E327B" w:rsidRPr="00153E07">
        <w:rPr>
          <w:rFonts w:ascii="Times New Roman" w:eastAsia="Times New Roman" w:hAnsi="Times New Roman" w:cs="Times New Roman"/>
          <w:sz w:val="28"/>
          <w:szCs w:val="28"/>
        </w:rPr>
        <w:t>оличество ИП и КФХ</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работников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постоянного и трудоспособного населения;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E327B" w:rsidRPr="00153E07">
        <w:rPr>
          <w:rFonts w:ascii="Times New Roman" w:eastAsia="Times New Roman" w:hAnsi="Times New Roman" w:cs="Times New Roman"/>
          <w:sz w:val="28"/>
          <w:szCs w:val="28"/>
        </w:rPr>
        <w:t>роизводительность труда работников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E327B" w:rsidRPr="00153E07">
        <w:rPr>
          <w:rFonts w:ascii="Times New Roman" w:eastAsia="Times New Roman" w:hAnsi="Times New Roman" w:cs="Times New Roman"/>
          <w:sz w:val="28"/>
          <w:szCs w:val="28"/>
        </w:rPr>
        <w:t>оходы бюджета Бардымского муниципального района;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5E327B" w:rsidRPr="00153E07">
        <w:rPr>
          <w:rFonts w:ascii="Times New Roman" w:eastAsia="Times New Roman" w:hAnsi="Times New Roman" w:cs="Times New Roman"/>
          <w:sz w:val="28"/>
          <w:szCs w:val="28"/>
        </w:rPr>
        <w:t>стественный прирост населения;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безработных.</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Факторами спроса, которые позволяют реализовать растущий объем производства, являются следующие:</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E327B" w:rsidRPr="00153E07">
        <w:rPr>
          <w:rFonts w:ascii="Times New Roman" w:eastAsia="Times New Roman" w:hAnsi="Times New Roman" w:cs="Times New Roman"/>
          <w:sz w:val="28"/>
          <w:szCs w:val="28"/>
        </w:rPr>
        <w:t>бъем отгруженных товаров собственного производства, работ, услуг.</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E327B" w:rsidRPr="00153E07">
        <w:rPr>
          <w:rFonts w:ascii="Times New Roman" w:eastAsia="Times New Roman" w:hAnsi="Times New Roman" w:cs="Times New Roman"/>
          <w:sz w:val="28"/>
          <w:szCs w:val="28"/>
        </w:rPr>
        <w:t>тношения курса рубля к курсу доллара;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5E327B" w:rsidRPr="00153E07">
        <w:rPr>
          <w:rFonts w:ascii="Times New Roman" w:eastAsia="Times New Roman" w:hAnsi="Times New Roman" w:cs="Times New Roman"/>
          <w:sz w:val="28"/>
          <w:szCs w:val="28"/>
        </w:rPr>
        <w:t>асходы бюджета Бардымского муниципального района;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E327B" w:rsidRPr="00153E07">
        <w:rPr>
          <w:rFonts w:ascii="Times New Roman" w:eastAsia="Times New Roman" w:hAnsi="Times New Roman" w:cs="Times New Roman"/>
          <w:sz w:val="28"/>
          <w:szCs w:val="28"/>
        </w:rPr>
        <w:t>окупательная способность заработной платы по отношению к прожиточному минимуму;</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5E327B" w:rsidRPr="00153E07">
        <w:rPr>
          <w:rFonts w:ascii="Times New Roman" w:eastAsia="Times New Roman" w:hAnsi="Times New Roman" w:cs="Times New Roman"/>
          <w:sz w:val="28"/>
          <w:szCs w:val="28"/>
        </w:rPr>
        <w:t>нвестиции в основной капитал;</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E327B" w:rsidRPr="00153E07">
        <w:rPr>
          <w:rFonts w:ascii="Times New Roman" w:eastAsia="Times New Roman" w:hAnsi="Times New Roman" w:cs="Times New Roman"/>
          <w:sz w:val="28"/>
          <w:szCs w:val="28"/>
        </w:rPr>
        <w:t>ыбросы в атмосферу загрязняющих веществ от стационарных источников в расчете на 1 жителя;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5E327B" w:rsidRPr="00153E07">
        <w:rPr>
          <w:rFonts w:ascii="Times New Roman" w:eastAsia="Times New Roman" w:hAnsi="Times New Roman" w:cs="Times New Roman"/>
          <w:sz w:val="28"/>
          <w:szCs w:val="28"/>
        </w:rPr>
        <w:t>аявленная предприятиями и организациями потребность в работниках.</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факторами, оказывающими прямое влияние на объем отгруженных товаров, являются увеличение производительности труда, рост курса доллара, увеличение числа индивидуальных предпринимателей и крестьянских фермерских хозяйств. Выбросы в атмосферу загрязняющих веществ имеют слабую взаимосвязь с объемом отгруженных товаров по причине сельскохозяйственной направленности Бардымского муниципального района, в </w:t>
      </w:r>
      <w:r w:rsidRPr="00153E07">
        <w:rPr>
          <w:rFonts w:ascii="Times New Roman" w:eastAsia="Times New Roman" w:hAnsi="Times New Roman" w:cs="Times New Roman"/>
          <w:sz w:val="28"/>
          <w:szCs w:val="28"/>
        </w:rPr>
        <w:lastRenderedPageBreak/>
        <w:t>объеме отгруженных товаров преобладает продукция сельскохозяйственного производства, где выбросы в атмосферу незначительны.</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показателями, имеющими обратную взаимосвзяь с объемом отгруженных товаров собственного производства, являются доходы и расходы бюджета муниципального района. При сокращении объемов отгрузки продукции недобор налоговых платежей увеличивает доходы бюджета в части дотаций. Аналогично обстоит ситуация с расходами бюджета района: при сокращении объема отгруженной продукции собственного производства, которой преимущественно является сельскохозяйственная продукция, увеличиваются расходы бюджета на поддержание фермерских хозяйств.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курса доллара способствует росту числа крестьянских фермерских хозяйств (умеренная связь, r=0,405) и производительности труда (высокая связь, r=0,849), которая зависит от объема отгруженной продукции.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Негативное влияние роста курса доллара на экономику района выражается в сокращении числа предприятий и организаций (r=-0,811), что влечет за собой сокращение численности работников организаций (r=-0,746) и, соответственно, потребности организаций в работниках (r=-0,579). Численность зарегистрированных безработных граждан при этом имеет умеренную обратную зависимость (r=-0,472) от курса доллара, что позволяет предположить наличие желания граждан заниматься собственным бизнесом, данный факт подтверждается ростом числа КФХ. Высокая обратная взаимосвязь наблюдается относительно расходов бюджета района (r=-0,837)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рост курса доллара оказывает значительное негативное влияние и на демографическую ситуацию в районе. Это выражается в сокращении естественного прироста населения (r=-0,645) и, как следствие, численности постоянного населения (r=-0,577).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количества зарегистрированных организаций имеет прямое высокое влияние на естественный прирост населения, что говорит об отсутствии уверенности граждан в будущем, о нестабильности социально-экономической ситуации в районе. Также значительное влияние данный показатель оказывает на сокращение инвестиций в основной капитал, учитывая, что преобладающую долю инвестиционного потока представляют собственные и привлеченные средства.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существует взаимосвязь численности трудоспособного населения с доходами и расходами бюджета. Так сокращение численности трудоспособного населения приводит к сокращению налоговых доходов от физических лиц (r=0,385) и сокращению расходов бюджета на социальную сферу (r=0,765).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численности трудоспособного населения оказывает значительное влияние на рост числа ИП и КФХ (r=-0,610), т.е. приводит к увеличению числа предпринимателей, и, как следствие, увеличивает производительность труда.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производительность труда в расчете на одного работника увеличивается не за счет прироста объема выпуска и отгрузки продукции, а за счет сокращения численности трудоспособного населения, и, как следствие, численности работников организаций.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Такие показатели как число ИП и КФХ, выбросы в атмосферу загрязняющих веществ, естественный прирост населения, потребность предприятий в работниках, инвестиции в основной капитал оказывают прямое, но незначительное влияние на доходы бюджета района.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Расходы бюджета напрямую зависят от объема поступающих денежных средств (r=0,867). Также расходы бюджета района имеют высокую прямую взаимосвязь с естественным приростом населения (r=0,614), что говорит о значительной доле социальной составляющей в общем объеме расходов бюджета, в частности это расходы в сфере образования.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покупательной способности заработной платы имеет прямую значительную связь с ростом числа ИП и КФХ (r=0,557). Высокое обратное влияние на рост покупательной способности заработной платы оказывает сокращение численности безработных (r=-0,890).</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Выбросы в атмосферу загрязняющих веществ от стационарных источников имеют прямую высокую связь с численностью постоянного населения (r=0,862).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можно сделать вывод, что на экономический рост в Бардымском муниципальном районе основное влияние оказывают демографические факторы, на которые в свою очередь оказывают влияние два фактора -  ситуация на рынке труда, и экологическая обстановка в районе.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Положительное влияние в Бардымском муниципальном районе на экономическое развитие оказывает развитие агропромышленного комплекса, благодаря которому создаются крестьянские фермерские хозяйства, новые рабочие места, что в свою очередь увеличивает производительность труда и объем отгруженных товаров собственного производства, который на уровне муниципального района приравнивается в валовому продукту. Все эти факторы в совокупности увеличивают налоговые и неналоговые доходы бюджета района, благодаря чему существует возможность сокращать межбюджетные трансферты в адрес района.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то же время в структуре доходов бюджета Бардымского муниципального района объем дотаций очень велик, что говорит о необходимости дальнейшего развития сельского хозяйства, а также диверсификации экономики муниципального района.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представлена информация о наличии производств и сырьевых месторождений на территории Бардымского муниципального района.</w:t>
      </w:r>
    </w:p>
    <w:p w:rsidR="005E327B" w:rsidRPr="00153E07" w:rsidRDefault="005E327B" w:rsidP="006D2568">
      <w:pPr>
        <w:spacing w:after="160" w:line="240" w:lineRule="auto"/>
        <w:jc w:val="right"/>
        <w:rPr>
          <w:rFonts w:ascii="Times New Roman" w:hAnsi="Times New Roman" w:cs="Times New Roman"/>
          <w:sz w:val="28"/>
          <w:szCs w:val="28"/>
        </w:rPr>
      </w:pPr>
      <w:r w:rsidRPr="00153E07">
        <w:rPr>
          <w:rFonts w:ascii="Times New Roman" w:hAnsi="Times New Roman" w:cs="Times New Roman"/>
          <w:sz w:val="28"/>
          <w:szCs w:val="28"/>
        </w:rPr>
        <w:t>Таблица</w:t>
      </w:r>
      <w:r w:rsidR="00DE2D0E">
        <w:rPr>
          <w:rFonts w:ascii="Times New Roman" w:hAnsi="Times New Roman" w:cs="Times New Roman"/>
          <w:sz w:val="28"/>
          <w:szCs w:val="28"/>
        </w:rPr>
        <w:t xml:space="preserve"> 2.2</w:t>
      </w:r>
    </w:p>
    <w:p w:rsidR="005E327B" w:rsidRPr="00681E8B" w:rsidRDefault="005E327B" w:rsidP="006D2568">
      <w:pPr>
        <w:spacing w:after="160" w:line="240" w:lineRule="auto"/>
        <w:jc w:val="center"/>
        <w:rPr>
          <w:rFonts w:ascii="Times New Roman" w:hAnsi="Times New Roman" w:cs="Times New Roman"/>
          <w:b/>
          <w:sz w:val="28"/>
          <w:szCs w:val="28"/>
        </w:rPr>
      </w:pPr>
      <w:r w:rsidRPr="00681E8B">
        <w:rPr>
          <w:rFonts w:ascii="Times New Roman" w:hAnsi="Times New Roman" w:cs="Times New Roman"/>
          <w:b/>
          <w:sz w:val="28"/>
          <w:szCs w:val="28"/>
        </w:rPr>
        <w:t>Наличие производств и сырьевых месторождений в Бардымском муниципальном районе</w:t>
      </w:r>
    </w:p>
    <w:tbl>
      <w:tblPr>
        <w:tblW w:w="4878" w:type="pct"/>
        <w:tblLayout w:type="fixed"/>
        <w:tblLook w:val="04A0"/>
      </w:tblPr>
      <w:tblGrid>
        <w:gridCol w:w="4079"/>
        <w:gridCol w:w="1984"/>
        <w:gridCol w:w="1984"/>
        <w:gridCol w:w="1843"/>
      </w:tblGrid>
      <w:tr w:rsidR="00E21B77" w:rsidRPr="00153E07" w:rsidTr="00E21B77">
        <w:trPr>
          <w:trHeight w:val="300"/>
        </w:trPr>
        <w:tc>
          <w:tcPr>
            <w:tcW w:w="2062" w:type="pct"/>
            <w:tcBorders>
              <w:top w:val="single" w:sz="4" w:space="0" w:color="auto"/>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p>
        </w:tc>
        <w:tc>
          <w:tcPr>
            <w:tcW w:w="1003" w:type="pct"/>
            <w:tcBorders>
              <w:top w:val="single" w:sz="4" w:space="0" w:color="auto"/>
              <w:left w:val="nil"/>
              <w:bottom w:val="single" w:sz="4" w:space="0" w:color="auto"/>
              <w:right w:val="single" w:sz="4" w:space="0" w:color="auto"/>
            </w:tcBorders>
            <w:noWrap/>
            <w:vAlign w:val="bottom"/>
            <w:hideMark/>
          </w:tcPr>
          <w:p w:rsidR="005E327B" w:rsidRPr="002F6162" w:rsidRDefault="005E327B" w:rsidP="006D2568">
            <w:pPr>
              <w:spacing w:after="160" w:line="240" w:lineRule="auto"/>
              <w:rPr>
                <w:rFonts w:ascii="Times New Roman" w:hAnsi="Times New Roman" w:cs="Times New Roman"/>
                <w:sz w:val="24"/>
                <w:szCs w:val="28"/>
              </w:rPr>
            </w:pPr>
            <w:r w:rsidRPr="002F6162">
              <w:rPr>
                <w:rFonts w:ascii="Times New Roman" w:hAnsi="Times New Roman" w:cs="Times New Roman"/>
                <w:sz w:val="24"/>
                <w:szCs w:val="28"/>
              </w:rPr>
              <w:t>Действует / Разрабатывается</w:t>
            </w:r>
          </w:p>
        </w:tc>
        <w:tc>
          <w:tcPr>
            <w:tcW w:w="1003" w:type="pct"/>
            <w:tcBorders>
              <w:top w:val="single" w:sz="4" w:space="0" w:color="auto"/>
              <w:left w:val="nil"/>
              <w:bottom w:val="single" w:sz="4" w:space="0" w:color="auto"/>
              <w:right w:val="single" w:sz="4" w:space="0" w:color="auto"/>
            </w:tcBorders>
            <w:noWrap/>
            <w:vAlign w:val="bottom"/>
            <w:hideMark/>
          </w:tcPr>
          <w:p w:rsidR="005E327B" w:rsidRPr="002F6162" w:rsidRDefault="005E327B" w:rsidP="00E21B77">
            <w:pPr>
              <w:spacing w:after="0" w:line="240" w:lineRule="auto"/>
              <w:rPr>
                <w:rFonts w:ascii="Times New Roman" w:hAnsi="Times New Roman" w:cs="Times New Roman"/>
                <w:sz w:val="24"/>
                <w:szCs w:val="28"/>
              </w:rPr>
            </w:pPr>
            <w:r w:rsidRPr="002F6162">
              <w:rPr>
                <w:rFonts w:ascii="Times New Roman" w:hAnsi="Times New Roman" w:cs="Times New Roman"/>
                <w:sz w:val="24"/>
                <w:szCs w:val="28"/>
              </w:rPr>
              <w:t xml:space="preserve">Не действует / </w:t>
            </w:r>
          </w:p>
          <w:p w:rsidR="005E327B" w:rsidRPr="002F6162" w:rsidRDefault="005E327B" w:rsidP="00E21B77">
            <w:pPr>
              <w:spacing w:after="0" w:line="240" w:lineRule="auto"/>
              <w:jc w:val="both"/>
              <w:rPr>
                <w:rFonts w:ascii="Times New Roman" w:hAnsi="Times New Roman" w:cs="Times New Roman"/>
                <w:sz w:val="24"/>
                <w:szCs w:val="28"/>
              </w:rPr>
            </w:pPr>
            <w:r w:rsidRPr="002F6162">
              <w:rPr>
                <w:rFonts w:ascii="Times New Roman" w:hAnsi="Times New Roman" w:cs="Times New Roman"/>
                <w:sz w:val="24"/>
                <w:szCs w:val="28"/>
              </w:rPr>
              <w:t>Не разрабатывается</w:t>
            </w:r>
          </w:p>
        </w:tc>
        <w:tc>
          <w:tcPr>
            <w:tcW w:w="932" w:type="pct"/>
            <w:tcBorders>
              <w:top w:val="single" w:sz="4" w:space="0" w:color="auto"/>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Ликвидирован</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добычи нефти и газа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красной глины</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ПГС</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5</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lastRenderedPageBreak/>
              <w:t>Месторождение строительного песка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торфа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Пищевое производство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Сельское хозяйство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Торговля</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Производство строительных материалов</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Итого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37</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r>
    </w:tbl>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 всех сельских поселениях активно представлено только сельское хозяйство и торговля. На территории Бардымского муниципального района действует 2 пищевых производства: хлебобулочное и кондитерское и 3 производства строительных материалов, в том числе деревообработка и лесозаготовка.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на территории района существуют месторождения таких полезных ископаемых, песчано-гравийные смеси (ПГС), красная глина, известковый туф, строительный песок, торф и далеко не все из них разрабатываются. В настоящее время разрабатываемыми являются 5 месторождений ПГС, 2 месторождения нефти и 1 месторождение торфа.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Месторождения красной глины не разрабатываются по причине отсутствия перерабатывающего производства (кирпичного завода). Месторождения строительного песка также не разрабатываются, используются, как правило, наносные ПГС в руслах рек.</w:t>
      </w:r>
    </w:p>
    <w:p w:rsidR="005E327B" w:rsidRPr="00153E07" w:rsidRDefault="005E327B" w:rsidP="002F6162">
      <w:pPr>
        <w:spacing w:after="160" w:line="240"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3152775"/>
            <wp:effectExtent l="19050" t="0" r="0" b="0"/>
            <wp:docPr id="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 xml:space="preserve">Рисунок </w:t>
      </w:r>
      <w:r w:rsidR="00DE2D0E" w:rsidRPr="00681E8B">
        <w:rPr>
          <w:rFonts w:ascii="Times New Roman" w:eastAsia="Times New Roman" w:hAnsi="Times New Roman" w:cs="Times New Roman"/>
          <w:b/>
          <w:sz w:val="28"/>
          <w:szCs w:val="28"/>
        </w:rPr>
        <w:t>2.1</w:t>
      </w:r>
      <w:r w:rsidRPr="00681E8B">
        <w:rPr>
          <w:rFonts w:ascii="Times New Roman" w:eastAsia="Times New Roman" w:hAnsi="Times New Roman" w:cs="Times New Roman"/>
          <w:b/>
          <w:sz w:val="28"/>
          <w:szCs w:val="28"/>
        </w:rPr>
        <w:t>. Структура производств и сырьевых месторождений в Бардымском муниципальном районе</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Получение доходов бюджетом муниципального района от нефтяной и лесной отрасли ограничено по причине принадлежности данных сырьевых </w:t>
      </w:r>
      <w:r w:rsidRPr="00153E07">
        <w:rPr>
          <w:rFonts w:ascii="Times New Roman" w:eastAsia="Times New Roman" w:hAnsi="Times New Roman" w:cs="Times New Roman"/>
          <w:sz w:val="28"/>
          <w:szCs w:val="28"/>
        </w:rPr>
        <w:lastRenderedPageBreak/>
        <w:t>ресурсов, расположенных на территории района, к соседним районам: Куединскому, Осинскому, Чернушинскому.</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Однако, благодаря наличию на территории Бардымского муниципального района других минерально-сырьевых ресурсов возможно производство огнеупорной продукции, дорожно-строительных материалов, цемента, удобрений, облицовочного камня, гончарной продукции.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Благодаря диверсификации экономических видов деятельности на территории Бардымского муниципального района, организации обрабатывающих и перерабатывающих производств увеличится количество предприятий, возрастет инвестиционная привлекательность района, что положительным образом отразится на доходах бюджета, и позволит обеспечить развитие социальной сферы и стабилизацию демографической ситуации в муниципальном районе. </w:t>
      </w:r>
    </w:p>
    <w:p w:rsidR="005E327B" w:rsidRPr="00153E07" w:rsidRDefault="005E327B" w:rsidP="006D2568">
      <w:pPr>
        <w:spacing w:after="0" w:line="240" w:lineRule="auto"/>
        <w:ind w:firstLine="709"/>
        <w:jc w:val="both"/>
        <w:rPr>
          <w:rFonts w:ascii="Times New Roman" w:eastAsiaTheme="majorEastAsia" w:hAnsi="Times New Roman" w:cs="Times New Roman"/>
          <w:b/>
          <w:bCs/>
          <w:sz w:val="28"/>
          <w:szCs w:val="28"/>
        </w:rPr>
      </w:pPr>
    </w:p>
    <w:p w:rsidR="005E327B" w:rsidRDefault="005E327B" w:rsidP="006D2568">
      <w:pPr>
        <w:pStyle w:val="1"/>
        <w:numPr>
          <w:ilvl w:val="2"/>
          <w:numId w:val="1"/>
        </w:numPr>
        <w:spacing w:line="240" w:lineRule="auto"/>
      </w:pPr>
      <w:bookmarkStart w:id="11" w:name="_Toc491943104"/>
      <w:r w:rsidRPr="00153E07">
        <w:t>Принципы формирования Стратегии социально-экономического развития Бардымского муниципального района на 2018-2030 годы</w:t>
      </w:r>
      <w:bookmarkEnd w:id="11"/>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социально-экономического развития Бардымского муниципального района Пермского края на 2018-2030 годы носит характер публичных обязательств органов муниципальной власти, которые стремятся соответствовать принципам прозрачности и предсказуемости, установленным Правительством Пермского края и Правительством Российской Федерации.</w:t>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Основные задачи Стратегии:</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существующего социально-экономического положения экономики и социальной сферы;</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целей, задач и миссии Бардымского муниципального района на период до 20</w:t>
      </w:r>
      <w:r w:rsidR="00055C85">
        <w:rPr>
          <w:rFonts w:ascii="Times New Roman" w:eastAsia="Times New Roman" w:hAnsi="Times New Roman" w:cs="Times New Roman"/>
          <w:sz w:val="28"/>
          <w:szCs w:val="28"/>
        </w:rPr>
        <w:t>30</w:t>
      </w:r>
      <w:r w:rsidRPr="00153E07">
        <w:rPr>
          <w:rFonts w:ascii="Times New Roman" w:eastAsia="Times New Roman" w:hAnsi="Times New Roman" w:cs="Times New Roman"/>
          <w:sz w:val="28"/>
          <w:szCs w:val="28"/>
        </w:rPr>
        <w:t xml:space="preserve"> года;</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оценка возможных направлений развития экономики в увязке со стратегией развития Пермского края;</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комплекса программных мероприятий по достижению поставленных целей;</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этапы реализации выбранной стратегии;</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механизмов реализации программы и решение задач ее ресурсного обеспечения;</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механизмов мониторинга и контроля за выполнением программы;</w:t>
      </w:r>
    </w:p>
    <w:p w:rsidR="00055C85" w:rsidRDefault="005E327B" w:rsidP="00055C85">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оценка социально-экономических последствий реализации стратегии</w:t>
      </w:r>
      <w:r w:rsidR="00055C85">
        <w:rPr>
          <w:rFonts w:ascii="Times New Roman" w:eastAsia="Times New Roman" w:hAnsi="Times New Roman" w:cs="Times New Roman"/>
          <w:sz w:val="28"/>
          <w:szCs w:val="28"/>
        </w:rPr>
        <w:t>.</w:t>
      </w:r>
    </w:p>
    <w:p w:rsidR="005E327B" w:rsidRPr="00055C85" w:rsidRDefault="00055C85" w:rsidP="00055C85">
      <w:pPr>
        <w:pStyle w:val="af1"/>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E327B" w:rsidRPr="00055C85">
        <w:rPr>
          <w:rFonts w:ascii="Times New Roman" w:eastAsia="Times New Roman" w:hAnsi="Times New Roman" w:cs="Times New Roman"/>
          <w:sz w:val="28"/>
          <w:szCs w:val="28"/>
        </w:rPr>
        <w:t>ействия по реализации Стратегии должны соответствовать принципам, ценностям и приоритетам заложенным в Стратегии.</w:t>
      </w:r>
    </w:p>
    <w:p w:rsidR="002F6162" w:rsidRDefault="002F6162" w:rsidP="006D2568">
      <w:pPr>
        <w:spacing w:after="0" w:line="240" w:lineRule="auto"/>
        <w:ind w:firstLine="709"/>
        <w:jc w:val="both"/>
        <w:rPr>
          <w:rFonts w:ascii="Times New Roman" w:eastAsia="Times New Roman" w:hAnsi="Times New Roman" w:cs="Times New Roman"/>
          <w:sz w:val="28"/>
          <w:szCs w:val="28"/>
        </w:rPr>
      </w:pP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Основные принципы Стратегии:</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программно-целевого планирования и управления, означающий, что планирование и управление должно осуществляться на основе и в соответствии со стратегическими целями, установленными в Стратегии;</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системности, означающий, что все элементы Стратегии должны представлять целостную систему взаимоувязанных и сбалансированных задач и целей;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lastRenderedPageBreak/>
        <w:t>принцип приоритетности, означающий, что время и объем реализации целей и задач, представленных в Стратегии определены приоритетностью развития направлений и их вкладом в достижение стратегических целей;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единства целей и средств их достижения, означающий, что для каждой цели должны существовать и быть приведены и описаны средства ее достижения;</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равноправия и баланса интересов, означающий, что реализация Стратегии в максимальной степени учитывает интересы всех хозяйствующих субъектов муниципального района;</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открытости планирования Стратегии, означающий, что весь процесс планирования является открытой процедурой;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адресности, означающий, что реализация Стратегии нацелена на конкретизацию действий и объекта, на который данные действия направлены;</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единства реализации Стратегии, означающий, что реализация Стратегии осуществляется с участием всего населения муниципального района;</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подотчетности, означающий, что реализация Стратегии должна контролироваться и осуществляться согласно механизмам реализации и контроля.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Основная ценность Стратегии заключается в том, что планомерная и четкая реализация стратегии позволяет ежедневно приближать муниципальный район к поставленным целям.</w:t>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 xml:space="preserve">Стратегия социально-экономического развития Бардымского муниципального района определяет основные направления развития района на долгосрочный период, является стратегическим документом района, определяющим основные ценности и приоритеты развития, цели и задачи развития, план действий по реализации поставленных целей, контроль по выполнению поставленных целей, оцифровку полученных результатов.   </w:t>
      </w:r>
    </w:p>
    <w:p w:rsidR="005E327B" w:rsidRPr="00153E07" w:rsidRDefault="005E327B" w:rsidP="00153E07">
      <w:pPr>
        <w:spacing w:after="0"/>
        <w:ind w:firstLine="709"/>
        <w:jc w:val="both"/>
        <w:rPr>
          <w:rFonts w:ascii="Times New Roman" w:eastAsia="Times New Roman" w:hAnsi="Times New Roman" w:cs="Times New Roman"/>
          <w:sz w:val="28"/>
          <w:szCs w:val="28"/>
        </w:rPr>
      </w:pPr>
    </w:p>
    <w:p w:rsidR="005E327B" w:rsidRPr="00153E07" w:rsidRDefault="005E327B" w:rsidP="00153E07">
      <w:pPr>
        <w:spacing w:after="0"/>
        <w:ind w:firstLine="709"/>
        <w:jc w:val="both"/>
        <w:rPr>
          <w:rFonts w:ascii="Times New Roman" w:eastAsia="Times New Roman" w:hAnsi="Times New Roman" w:cs="Times New Roman"/>
          <w:sz w:val="28"/>
          <w:szCs w:val="28"/>
        </w:rPr>
      </w:pPr>
    </w:p>
    <w:p w:rsidR="00DE2D0E" w:rsidRDefault="00DE2D0E">
      <w:pPr>
        <w:rPr>
          <w:rFonts w:ascii="Times New Roman" w:eastAsiaTheme="majorEastAsia" w:hAnsi="Times New Roman" w:cs="Times New Roman"/>
          <w:b/>
          <w:bCs/>
          <w:sz w:val="28"/>
          <w:szCs w:val="28"/>
        </w:rPr>
      </w:pPr>
      <w:bookmarkStart w:id="12" w:name="_Toc494124311"/>
      <w:r>
        <w:br w:type="page"/>
      </w:r>
    </w:p>
    <w:p w:rsidR="00153E07" w:rsidRDefault="00153E07" w:rsidP="006D2568">
      <w:pPr>
        <w:pStyle w:val="1"/>
        <w:spacing w:line="240" w:lineRule="auto"/>
      </w:pPr>
      <w:r w:rsidRPr="00153E07">
        <w:lastRenderedPageBreak/>
        <w:t>3 С</w:t>
      </w:r>
      <w:r w:rsidR="002F6162">
        <w:t xml:space="preserve">тратегия социально-экономического развития Бардымского муниципального района </w:t>
      </w:r>
    </w:p>
    <w:p w:rsidR="002F6162" w:rsidRPr="002F6162" w:rsidRDefault="002F6162" w:rsidP="006D2568">
      <w:pPr>
        <w:spacing w:line="240" w:lineRule="auto"/>
      </w:pPr>
    </w:p>
    <w:p w:rsidR="00153E07" w:rsidRDefault="00153E07" w:rsidP="006D2568">
      <w:pPr>
        <w:pStyle w:val="1"/>
        <w:numPr>
          <w:ilvl w:val="1"/>
          <w:numId w:val="7"/>
        </w:numPr>
        <w:spacing w:line="240" w:lineRule="auto"/>
      </w:pPr>
      <w:r w:rsidRPr="00153E07">
        <w:t>Анализ сложившихся тенденций и проблем в экономике и социальной и демографической сфере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включает в себя 12 сельских поселений, из них 1 сельское поселение относится к группе крупных поселений, 8 – к группе больших сельских поселений и 3 классифицируются как средние сельские поселения. Городские поселения в муниципальном районе отсутствуют.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Проблемами развития пространственной территории являются высокая доля мелких населенных пунктов, труднодоступность некоторых из них, и, как следствие, высокие затраты на проведение коммуникаций (водо- и газоснабжение, телефонную связь и интернет) в населенные пункты и поддержание необходимого в них уровня инфраструктуры. Также, большое значение для пространственного развития территорий имеет развитие дорожной сети местного значения. На текущий период времени плотность дорог Бардымского муниципального района на 56% лучше среднерегионального значения.</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Протяженность автодорог общего пользования в Бардымском районе, находящихся в собственности муниципального образования в 2016 году составляла 649,5 км. из них с твердым покрытием 603,3 км., что составляет 93% от общей протяженности автодорог.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градостроительства и инженерной инфраструктуры также наблюдаются положительные тенденции. Так, увеличивается ввод жилья на территории района. Генеральными планами сельских поселений предусмотрен отвод земель под селитебные территории.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Программами социально-экономического развития сельских поселений предусмотрена газификация населенных пунктов, обеспечение телефонной связью и интернетом. Проблемой медленного развития инженерной инфраструктуры в Бардымском муниципальном районе выступает невысокий объем доходов бюджета для обеспечения программ развития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муниципальном районе в течение анализируемого периода времени социально-экономическая ситуация характеризуется как стабильная.</w:t>
      </w:r>
      <w:r w:rsidRPr="00153E07">
        <w:rPr>
          <w:rStyle w:val="aff2"/>
          <w:rFonts w:ascii="Times New Roman" w:eastAsia="Times New Roman" w:hAnsi="Times New Roman" w:cs="Times New Roman"/>
          <w:sz w:val="28"/>
          <w:szCs w:val="28"/>
        </w:rPr>
        <w:footnoteReference w:id="7"/>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 этом, сокращение численности трудоспособного населения оказывает большее влияние на производительность труда, чем прирост объема производства.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социальной сферы Бардымского муниципального района характерно ухудшение демографической ситуации.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Факторами, определяющими сокращения численности населения района, являются показатели сферы здравоохранения, а именно: смертности от заболеваний и от внешних причин; а также</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миграционный отток населения по социальным причинам.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Сравнивая значения статистического и похозяйственного учета, были выявлены показатели маятниковой миграции по причинам работы и учебы за пределами района, благодаря чему можно сделать вывод, что критическими </w:t>
      </w:r>
      <w:r w:rsidRPr="00153E07">
        <w:rPr>
          <w:rFonts w:ascii="Times New Roman" w:eastAsia="Times New Roman" w:hAnsi="Times New Roman" w:cs="Times New Roman"/>
          <w:sz w:val="28"/>
          <w:szCs w:val="28"/>
        </w:rPr>
        <w:lastRenderedPageBreak/>
        <w:t>годами были 2012-2013 годы. В последующие годы ситуация незначительно стабилизировалась, сократился отток населения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В сфере образования наблюдается недостаточность квалифицированных кадров в малокомплектных высокозатратных основных школах (учителей русского языка и литературы, начальных классов, физической культуры, английского языка, физики). Крупные средние школы района нуждаются в специалистах узкого профиля – в хореографах, музыкальных руководителях. Бардымская СОШ №2 обучает детей в две смены; требуется строительство новых школ в с.Тюндюк и с.Брюзли.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здравоохранения общая заболеваемость населения имеет динамику роста при сокращении общей численности населения в течение 2011- 2016 годов.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Основной прирост произошел по следующим группам заболеваний: онкология, заболевания кожи и подкожной клетчатки, органов дыхания, травмы, отравления и последствия внешних причин, в числе которых большую долю составляют суициды в состоянии алкогольного опьянения.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Кроме того, расположение на территории Бардымского муниципального района сибиреязвенных скотомогильников, даже при условии соблюдения санитарных норм при их содержании, не дает уверенности в том, что они не приносят вреда здоровью населения района, так как невозможно достигнуть 100% изоляцию от жизнедеятельности человека.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Споры сибирской язвы жизнеспособны в течение нескольких сотен лет, а наличие на территории района большого количества водных объектов может способствовать заражению населения.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Одной из основных проблем в экологической сфере района является неграмотность населения в данном направлении, так как существует проблема ограничения населения района от сбора ягод, грибов и отдыха в районе скотомогильников, соблюдения санитарных норм и требований и др.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Помимо невысокого уровня экологической грамотности населения, в сфере экологии крупной проблемой являются выбросы в атмосферу загрязняющих веществ от стационарных источников, в частности нефтедобывающих и нефтеперерабатывающих предприятий.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Еще одной проблемой в сфере экологии выступает отсутствие предприятий по переработке и утилизации бытовых отходов. В Бардымском муниципальном районе запланировано строительство мусороперегрузочной станции в районе села Барда, однако до настоящего времени данный объект не построен по причине отсутствия денежных средств в бюджете.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культуры Бардымского муниципального района отмечены следующие проблемы:</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устаревание библиотечного фонда, низкая скорость его обновления.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Развитию спорта в районе и вовлеченности молодежи</w:t>
      </w:r>
      <w:r w:rsidR="008B24F0">
        <w:rPr>
          <w:rFonts w:ascii="Times New Roman" w:eastAsia="Times New Roman" w:hAnsi="Times New Roman" w:cs="Times New Roman"/>
          <w:sz w:val="28"/>
          <w:szCs w:val="28"/>
        </w:rPr>
        <w:t xml:space="preserve"> в спортивные мероприятия </w:t>
      </w:r>
      <w:r w:rsidRPr="00153E07">
        <w:rPr>
          <w:rFonts w:ascii="Times New Roman" w:eastAsia="Times New Roman" w:hAnsi="Times New Roman" w:cs="Times New Roman"/>
          <w:sz w:val="28"/>
          <w:szCs w:val="28"/>
        </w:rPr>
        <w:t>в настоящее время препятствует</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недостаток спортивных залов и сооружений.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Туризм в Бардымском муниципальном районе развит недостаточно. Наиболее популярными видами туризма в районе выступают спортивный туризм и рекреационный.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Основными проблемами в сфере развития туризма являются недостаточно развитая туристская инфраструктура, отсутствие разработанных туристических маршрутов, недостаток информационных материалов об объектах показа.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социальной защиты населения свидетельствуют о приросте пенсионеров и увеличении их доли в общей численности населения района, и, как следствие, росте демографической нагрузки на трудоспособное население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Средний размер пенсий ежегодно увеличивается, однако индексация пенсий не превышает среднегодового уровня инфляции за тот же период времени.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Доход Бардымского муниципального района в 2016 году составил 696,57 млн. руб., показав поступательную динамику и увеличив капитализацию доходной части на 3,5% по сравнению с годом ранее.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Наибольшая доля основного капитала в Бардымском районе была проинвестирована частными инвесторами в 2013 году (90,9%). Однако, в последующие годы доля частных инвестиций в основной капитал сократилась из-за увеличения притока вложений за счет бюджетных средств. На конец 2016 года доля инвестиций за счет бюджетных средств увеличилась до 36,2% с 9,1% в 2013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Бюджет по расходам муниципального района не был исполнен в сфере жилищно-коммунального хозяйства, национальной экономики, образования, спорта и физической культуры, общих вопросов, социальной политики, здравоохранения в течение всего анализируемого периода. Расходы по статье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Средства массовой информации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не были исполнены только в 2012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Исполненные расходы бюджета являются наиболее близкими к плановым показателям в сфере национальной безопасности и абсолютно исполненными в сфере СМИ.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видами деятельности в Бардымском муниципальном районе выступают сельское хозяйство, предпринимательство, торговля и общественное питание, добыча и переработка нефти, строительство. Дифференциация производства практически отсутствует. В Бардымском муниципальном районе недостаточное количество предприятий по переработке продукции сельского хозяйства.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преобладающей отрасли – сельском хозяйстве - наблюдается положительная тенденция роста объемов продукции собственного производства благодаря стимулированию производителей сельскохозяйственной продукции.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производственных, социальных связей с г. Пермь, оказывают влияние на социально-экономическое развитие муниципального района, что отражается на повышении уровня инвестиционной привлекательности территории и развитии градостроительной сферы. Развитие социально-экономического комплекса Бардымского муниципального района неразрывно связано с развитием Перми. Влияние данного фактора носит комплексное влияние на развитие и хозяйственное освоение территории.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условиях современных требований к уровню социальных услуг и производственному процессу сохраняются кадровые проблемы по количеству и качеству трудовых ресурсов.</w:t>
      </w:r>
    </w:p>
    <w:p w:rsidR="00153E07" w:rsidRPr="00153E07" w:rsidRDefault="00153E07" w:rsidP="006D2568">
      <w:pPr>
        <w:spacing w:line="240" w:lineRule="auto"/>
        <w:jc w:val="both"/>
        <w:rPr>
          <w:rFonts w:ascii="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lastRenderedPageBreak/>
        <w:t>Риски и ограничения развития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Существенным фактором, ограничивающим производственный потенциал Бардымского муниципального района, является принадлежность ресурсов, расположенных на территории района соседним муниципальным образованиям. </w:t>
      </w:r>
      <w:r w:rsidR="007555CD">
        <w:rPr>
          <w:rFonts w:ascii="Times New Roman" w:eastAsia="Times New Roman" w:hAnsi="Times New Roman" w:cs="Times New Roman"/>
          <w:sz w:val="28"/>
          <w:szCs w:val="28"/>
        </w:rPr>
        <w:tab/>
      </w:r>
      <w:r w:rsidRPr="00153E07">
        <w:rPr>
          <w:rFonts w:ascii="Times New Roman" w:eastAsia="Times New Roman" w:hAnsi="Times New Roman" w:cs="Times New Roman"/>
          <w:sz w:val="28"/>
          <w:szCs w:val="28"/>
        </w:rPr>
        <w:t>Нефтяные месторождения, расположенные на территории Бардымского района разрабатываются предприятиями соседних муниципальных районов. Таким образом, доходы от данной</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деятельности пополняют их бюджет. Большая доля сельскохозяйственной продукции также перерабатывается в соседних муниципальных районах.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компенсирующих отраслей народного хозяйства в Бардымском районе ведет к риску недополучения прибыли. Природные явления, например, засуха, приводят к убыткам в сфере сельского хозяйства, которое наиболее развито в Бардымском муниципальном районе. При этом недостаток промышленных и обрабатывающих производств и предприятий в других отраслях экономики ведет к невозможности формирования резерва для финансирования дотационных отраслей.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Отдаленность от железнодорожных сообщений увеличивает затраты на доставку отсутствующих в районе ресурсов, сырья, а также сбыт продукции собственного производства, что провоцирует увеличение себестоимости производимых товаров.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в районе недостаточно развита система продвижения сельскохозяйственной продукции ЛПХ и КФХ на товарные рынки региона и соседних областей.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Низкий уровень производительности труда связан с отсутствием в Бардымском муниципальном районе опытных высококвалифицированных специалистов для села. Также на производительность труда и объем производства продукции большое влияние оказывает изношенность основных производственных фондов, низкий уровень внедрения инновационных технологий в сельскохозяйственном производстве.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крупных проектов приводит к недостатку инвестиций в экономику Бардымского муниципального района и нивелированию существующего социально-экономического потенциала муниципального образования.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Важной социальной проблемой является проблема строительства водопроводных сетей, дорог, линий электропередач, уличного освещения, газификации вследствие отсутствия свободных бюджетных ресурсов для реализации мероприятий по территориальному развитию.</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Одним из главных факторов, влияющих на развитие экономики муниципального района, является ухудшение демографической ситуации: наличие естественного оттока населения, старение населения и, как следствие, сокращение населения трудоспособного возраста.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Слабое развитие социальной инфраструктуры в большей части территории Бардымского муниципального района сдерживает инвестирование и создание новых рабочих мест.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Наличие на территории Бардымского муниципального района месторождений добычи нефти и газа несет в себе экологические риски, так как в нефтеперерабатывающей отрасли 80% выбросов в атмосферу составляют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парниковые</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газы: метан и другие летучие органические соединения, имеющие 1-4 классы опасности, что в свою очередь влияет на заболеваемость населения.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Ограничивающим фактором для развития туристической отрасли является недостаточно развитая туристская инфраструктура для приема гостей и туристов, отсутствие разработанных туров и маршрутов, недостаток информации о туристических объектах.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основные риски и ограничения Бардымского муниципального района аккумулируются в следующих формациях: ухудшение демографических показателей, слабое финансирование предприятий реального сектора экономики и муниципальных финансов, отсутствие компенсирующих отраслей народного хозяйства района.</w:t>
      </w:r>
    </w:p>
    <w:p w:rsidR="00153E07" w:rsidRPr="00153E07" w:rsidRDefault="00153E07" w:rsidP="006D2568">
      <w:pPr>
        <w:spacing w:line="240" w:lineRule="auto"/>
        <w:jc w:val="both"/>
        <w:rPr>
          <w:rFonts w:ascii="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t>Факторы, определяющие развитие экономики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развитие социально-экономической ситуации в Бардымском муниципальном районе оказывают влияние внешние и внутренние факторы.</w:t>
      </w:r>
    </w:p>
    <w:p w:rsidR="00153E07" w:rsidRPr="008B24F0" w:rsidRDefault="00153E07" w:rsidP="006D2568">
      <w:pPr>
        <w:spacing w:after="0" w:line="240" w:lineRule="auto"/>
        <w:ind w:firstLine="709"/>
        <w:jc w:val="both"/>
        <w:rPr>
          <w:rFonts w:ascii="Times New Roman" w:eastAsia="Times New Roman" w:hAnsi="Times New Roman" w:cs="Times New Roman"/>
          <w:b/>
          <w:sz w:val="28"/>
          <w:szCs w:val="28"/>
        </w:rPr>
      </w:pPr>
      <w:r w:rsidRPr="008B24F0">
        <w:rPr>
          <w:rFonts w:ascii="Times New Roman" w:eastAsia="Times New Roman" w:hAnsi="Times New Roman" w:cs="Times New Roman"/>
          <w:b/>
          <w:sz w:val="28"/>
          <w:szCs w:val="28"/>
        </w:rPr>
        <w:t>К внешним факторам относятся:</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53E07" w:rsidRPr="00153E07">
        <w:rPr>
          <w:rFonts w:ascii="Times New Roman" w:eastAsia="Times New Roman" w:hAnsi="Times New Roman" w:cs="Times New Roman"/>
          <w:sz w:val="28"/>
          <w:szCs w:val="28"/>
        </w:rPr>
        <w:t>риродно-климатические условия;</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53E07" w:rsidRPr="00153E07">
        <w:rPr>
          <w:rFonts w:ascii="Times New Roman" w:eastAsia="Times New Roman" w:hAnsi="Times New Roman" w:cs="Times New Roman"/>
          <w:sz w:val="28"/>
          <w:szCs w:val="28"/>
        </w:rPr>
        <w:t>ранспортная доступность муниципального района;</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53E07" w:rsidRPr="00153E07">
        <w:rPr>
          <w:rFonts w:ascii="Times New Roman" w:eastAsia="Times New Roman" w:hAnsi="Times New Roman" w:cs="Times New Roman"/>
          <w:sz w:val="28"/>
          <w:szCs w:val="28"/>
        </w:rPr>
        <w:t>лизость к региональному центру – г. Пермь.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8B24F0">
        <w:rPr>
          <w:rFonts w:ascii="Times New Roman" w:eastAsia="Times New Roman" w:hAnsi="Times New Roman" w:cs="Times New Roman"/>
          <w:b/>
          <w:sz w:val="28"/>
          <w:szCs w:val="28"/>
        </w:rPr>
        <w:t>Внутренними факторами</w:t>
      </w:r>
      <w:r w:rsidRPr="00153E07">
        <w:rPr>
          <w:rFonts w:ascii="Times New Roman" w:eastAsia="Times New Roman" w:hAnsi="Times New Roman" w:cs="Times New Roman"/>
          <w:sz w:val="28"/>
          <w:szCs w:val="28"/>
        </w:rPr>
        <w:t xml:space="preserve">, определяющими развитие Бардымского муниципального района, являются: </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153E07" w:rsidRPr="00153E07">
        <w:rPr>
          <w:rFonts w:ascii="Times New Roman" w:eastAsia="Times New Roman" w:hAnsi="Times New Roman" w:cs="Times New Roman"/>
          <w:sz w:val="28"/>
          <w:szCs w:val="28"/>
        </w:rPr>
        <w:t>емографическое положение в муниципальном районе;</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53E07" w:rsidRPr="00153E07">
        <w:rPr>
          <w:rFonts w:ascii="Times New Roman" w:eastAsia="Times New Roman" w:hAnsi="Times New Roman" w:cs="Times New Roman"/>
          <w:sz w:val="28"/>
          <w:szCs w:val="28"/>
        </w:rPr>
        <w:t>аличие производственных предприятий;</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53E07" w:rsidRPr="00153E07">
        <w:rPr>
          <w:rFonts w:ascii="Times New Roman" w:eastAsia="Times New Roman" w:hAnsi="Times New Roman" w:cs="Times New Roman"/>
          <w:sz w:val="28"/>
          <w:szCs w:val="28"/>
        </w:rPr>
        <w:t>аличие ресурсов для развития муниципального района;</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53E07" w:rsidRPr="00153E07">
        <w:rPr>
          <w:rFonts w:ascii="Times New Roman" w:eastAsia="Times New Roman" w:hAnsi="Times New Roman" w:cs="Times New Roman"/>
          <w:sz w:val="28"/>
          <w:szCs w:val="28"/>
        </w:rPr>
        <w:t>бъем инвестиций.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муниципальном районе умеренно-континентальный климат, с широкой амплитудой температур в течение года. Зима в Бардымском районе продолжительная и </w:t>
      </w:r>
      <w:r w:rsidR="00F25E88">
        <w:rPr>
          <w:rFonts w:ascii="Times New Roman" w:eastAsia="Times New Roman" w:hAnsi="Times New Roman" w:cs="Times New Roman"/>
          <w:sz w:val="28"/>
          <w:szCs w:val="28"/>
        </w:rPr>
        <w:t>с большим количеством осадков</w:t>
      </w:r>
      <w:r w:rsidRPr="00153E07">
        <w:rPr>
          <w:rFonts w:ascii="Times New Roman" w:eastAsia="Times New Roman" w:hAnsi="Times New Roman" w:cs="Times New Roman"/>
          <w:sz w:val="28"/>
          <w:szCs w:val="28"/>
        </w:rPr>
        <w:t xml:space="preserve">, а лето – сравнительно короткое и умеренно-теплое. На формирование климата района оказывает влияние давление воздуха в течение всего года. Среднее давление воздуха в Бардымском муниципальном районе выше среднекраевого значения.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течение года в районе преобладают южные, юго-западные и западные ветры. В составе почвенного покрова Бардымского муниципального района преобладают дерново-подзолистые, глинистые и суглинистые почвы, в которых присутствует более развитый гумусовый горизонт. Данные почвы относятся к высоким плодородным почвам.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Природно-климатические условия Бардымского муниципального района считаются удовлетворительными для развития сельского хозяйства с учетом минерализации почвы.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Нельзя оставить без внимания природно-энергетический фактор. Богатство топливно-энергетическими ресурсами позволяет вести добычу нефти и газа. </w:t>
      </w:r>
      <w:r w:rsidRPr="00153E07">
        <w:rPr>
          <w:rFonts w:ascii="Times New Roman" w:eastAsia="Times New Roman" w:hAnsi="Times New Roman" w:cs="Times New Roman"/>
          <w:sz w:val="28"/>
          <w:szCs w:val="28"/>
        </w:rPr>
        <w:lastRenderedPageBreak/>
        <w:t xml:space="preserve">Однако, необходимо учитывать, что помимо потенциала региона существует экономический фактор. А именно, уровень самостоятельности в распоряжении природными богатствами.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Помимо климатических условий, которые определяют размещение производств, немаловажен фактор обеспечения экологической безопасности.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Гидрогеологические условия Бардымского муниципального района благоприятны для накопления и использования ресурсов пресных подземных вод, организации хозяйственно-питьевого водоснабжения большинства населенных пунктов.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климатические и агроклиматические ресурсы играют важную роль в развитии экономики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Торговые отношения увеличивают значимость транспортной доступности муниципального района.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схеме территориального планирования Пермского края предполагается восстановление в Бардымском муниципальном районе местной авиалинии, что дает дополнительные конкурентные преимущества муниципальному району.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Близость к региональному центру – городу Пермь – также дает Бардымскому району преимущества. Бардымский муниципальный район расположен в 157 километрах от краевого центра, что позволяет налаживать социальные и экономические связи с краевым центром, а также увеличивает инвестиционную привлекательность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Демографическое положение в настоящее время в Бардымском муниципальном районе неутешительно. Наблюдается сокращение численности населения, в частности, трудоспособного, увеличение числа пенсионеров, рост демографической нагрузки, высокая смертность среди мужчин и трудоспособного населения в целом, а также миграционный отток.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Данная ситуация стала изменяться в сторону улучшения с введением целевых программ, стимулирующих рост рождаемости за счет предоставления жилья молодым семьям. Так, в последние годы наблюдается прирост числа детей в возрасте от 0 до 6 лет.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Кроме того, жилье предоставляют молодым квалифицированным специалистам с целью привлечения и удержания их в Бардымском муниципальном районе.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Уровень развития экономики района также зависит от наличия, диверсификации, уровня инвестиционной привлекательности, технологических инноваций базовых отраслейэкономики муниципального района. Бардымский муниципальный район имеет сельскохозяйственную специализацию, благодаря чему существует возможность применения кластерного подхода в развитии агропромышленного комплекса.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Применение кластерного подхода подразумевает под собой присвоение Бардымскому муниципальному району статуса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соответствии с Федеральным законом № 116 от 22.07.20015г.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особых экономических зонах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существует 4 типа особых экономических зон:</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промышленно-производственные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2) технико-внедренческие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туристско-рекреационные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портовые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Промышленно-производственные особые экономические зоны создаются на участках территории, площадь которых составляет не более чем 40 кв.км. Технико-внедренческие особые экономические зоны создаются на участках территории, общая площадь которых составляет не более чем 4 кв.км. Туристско-рекреационные особые экономические зоны особые экономические зоны создаются на одном или нескольких участках территории.</w:t>
      </w:r>
      <w:r w:rsidRPr="00153E07">
        <w:rPr>
          <w:rStyle w:val="aff2"/>
          <w:rFonts w:ascii="Times New Roman" w:eastAsia="Times New Roman" w:hAnsi="Times New Roman" w:cs="Times New Roman"/>
          <w:sz w:val="28"/>
          <w:szCs w:val="28"/>
        </w:rPr>
        <w:footnoteReference w:id="8"/>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муниципального района возможно создание промышленно – производственной, технико-внедренческой и туристско-рекреационной особых экономических зон.</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В пределах промышленно-производственной особой</w:t>
      </w:r>
      <w:r w:rsidRPr="00153E07">
        <w:rPr>
          <w:rFonts w:ascii="Times New Roman" w:eastAsia="Times New Roman" w:hAnsi="Times New Roman" w:cs="Times New Roman"/>
          <w:sz w:val="28"/>
          <w:szCs w:val="28"/>
        </w:rPr>
        <w:t xml:space="preserve"> экономической зоны возможно не только производство сельскохозяйственной продукции, но и ее переработка (переработка в сфере растениеводства, животноводства и рыбоводства, организация хранилищ сельскохозяйственной продукции, пчеловодство, овощеводство), а также производство вспомогательных расходных материалов для развития сельского хозяйства (например, удобрений).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 промышленно-производственнойособой экономической зоне также относятся обрабатывающие производства: лесообрабатывающие производства, производства строительных материалов и т.п.</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Ресурсный потенциал Бардымского муниципального района характеризуется наличием на территории муниципального образования минерально-сырьевых месторождений, которые могут быть использованы для производства продукции, как для собственного использования, так и для реализации на внешние товарные рынки.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 благодаря наличию на территории района месторождений красных глин возможно производство полнотелого кирпича и развитие гончарного ремесла. Наличие месторождений песчано-гравийных смесей и песка позволяет создавать производства по их переработке и производству строительных смесей и материалов. Наличие месторождений известкового туфа позволяет производить облицовочную плитку и минеральные удобрения. Разработка данных месторождений дает возможность Бардымскому муниципальному району применять продукцию собственного производства в жилищном и промышленном строительстве, которое в настоящее время интенсивно ведется на территории муниципального района, по более низкой себестоимости, чем импортируемую из соседних регионов. Кроме того, у предпринимателей Бардымского района открывается возможность выхода на внешние рынки со своей продукцией и расширение рынков сбыта.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пределах кластерного подхода в Бардымском муниципальном районе возможно развитие селекционной индустрии, так, например, картофель, выращиваемый в районе, известен на весь Пермский край. Данная деятельность возможна на территории </w:t>
      </w:r>
      <w:r w:rsidRPr="00153E07">
        <w:rPr>
          <w:rFonts w:ascii="Times New Roman" w:eastAsia="Times New Roman" w:hAnsi="Times New Roman" w:cs="Times New Roman"/>
          <w:b/>
          <w:sz w:val="28"/>
          <w:szCs w:val="28"/>
        </w:rPr>
        <w:t>технико-внедренческой особой экономической зоны</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Кроме того, Бардымский муниципальный район обладает туристским потенциалом, благодаря чему возможно создание </w:t>
      </w:r>
      <w:r w:rsidRPr="00153E07">
        <w:rPr>
          <w:rFonts w:ascii="Times New Roman" w:eastAsia="Times New Roman" w:hAnsi="Times New Roman" w:cs="Times New Roman"/>
          <w:b/>
          <w:sz w:val="28"/>
          <w:szCs w:val="28"/>
        </w:rPr>
        <w:t>туристско-рекреационной особой экономической зоны</w:t>
      </w:r>
      <w:r w:rsidRPr="00153E07">
        <w:rPr>
          <w:rFonts w:ascii="Times New Roman" w:eastAsia="Times New Roman" w:hAnsi="Times New Roman" w:cs="Times New Roman"/>
          <w:sz w:val="28"/>
          <w:szCs w:val="28"/>
        </w:rPr>
        <w:t xml:space="preserve">.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можно говорить о создании комплексной экономической зоны на территории Бардымского муниципального района, т.е. присвоению Бардымскому муниципальному району статуса особой экономической зоны с целью предоставления льгот всем или почти всем предпринимателям для поддержки данного муниципального образования.</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sz w:val="28"/>
          <w:szCs w:val="28"/>
        </w:rPr>
        <w:t xml:space="preserve">Согласно </w:t>
      </w:r>
      <w:r w:rsidRPr="00153E07">
        <w:rPr>
          <w:rFonts w:ascii="Times New Roman" w:eastAsia="Times New Roman" w:hAnsi="Times New Roman" w:cs="Times New Roman"/>
          <w:bCs/>
          <w:sz w:val="28"/>
          <w:szCs w:val="28"/>
        </w:rPr>
        <w:t xml:space="preserve">Федеральному закону № 116-ФЗ от 22.07.2005г.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Об особых экономических зонах в Российской Федерации</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 xml:space="preserve"> решение о создании особой экономической зоны на территории муниципального образования принимается Правительством Российской Федерации исходя из критериев создания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Основными критериями создания особой экономической зоны являются:</w:t>
      </w:r>
      <w:r w:rsidRPr="00153E07">
        <w:rPr>
          <w:rStyle w:val="aff2"/>
          <w:rFonts w:ascii="Times New Roman" w:eastAsia="Times New Roman" w:hAnsi="Times New Roman" w:cs="Times New Roman"/>
          <w:bCs/>
          <w:sz w:val="28"/>
          <w:szCs w:val="28"/>
        </w:rPr>
        <w:footnoteReference w:id="9"/>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 Наличие естественных экономико-географических конкурентных преимуществ для реализации инвестиционных проектов, соответствующих специализации предполагаемой к созданию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 xml:space="preserve">2. Соответствие целей создания особой экономической зоны следующим документам стратегического планирования в соответствии с Федеральным законом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О стратегическом планировании в Российской Федерации</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:стратегия социально-экономического развития Российской Федерации;стратегия национальной безопасности Российской Федерации;отраслевые документы стратегического планирования Российской Федерации;стратегия научно-технологического развития Российской Федерации;стратегия пространственного развития Российской Федерации;стратегии социально-экономического развития макрорегионов;государственные программы Российской Федерации;стратегии социально-экономического развития субъектов Российской Федерации;государственные программы субъектов Российской Федерации;схемы территориального планирования субъекта Российской Федерации.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3. Прогнозная положительная динамика (включая обоснование) роста объемов дополнительных доходов, поступающих в федеральный бюджет, бюджет субъекта Российской Федерации, на территории которого предполагается создание особой экономической зоны, а также в местный бюджет в связи с созданием и функционированием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4. Наличие инвестиционных проектов (включая их финансово-экономические показатели) и потенциальных инвесторов, подтвердивших в письменной форме готовность реализовать эти проекты на территории предполагаемой к созданию особой экономической зоны, с объемом запланированных инвестиций накопленным итогом за 3 года со дня создания особой экономической зоны не менее планируемого объема необходимых для создания ее инфраструктуры средств федерального бюджета, бюджета субъекта Российской Федерации, местного бюджета.</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5. Обоснованность плановых показателей развития инженерной, транспортной, инновационной, социальной и иной инфраструктуры предполагаемой к созданию особой экономической зоны и оценки стоимости затрат на ее развитие.</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6. Значение и обоснованность прогнозных показателей эффективности функционирования предполагаемой к созданию особой экономической зоны, необходимых для проведения оценки эффективности функционирования особых экономических зон, а такженаличие оценки предполагаемой к созданию особой экономической зоны по показателям рентабельности, доходности и срока окупаемости.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Значение показателя рентабельности, рассчитанного как отношение планируемого объема инвестиций резидентов особой экономической зоны, а также планируемых к уплате резидентами особой экономической зоны и управляющей компанией особой экономической зоны налоговых отчислений в бюджеты всех уровней бюджетной системы Российской Федерации и таможенных платежей на конец 10-го года реализации проекта накопленным итогом к размеру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для предполагаемой к созданию особой экономической зоны промышленно-производственного типа должно составлять не менее 2, для предполагаемых к созданию особых экономических зон туристско-рекреационного типа, технико-внедренческого типа и портовых особых экономических зон - не менее 1.</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Значение показателя доходности, рассчитанного как отношение размера выручки, планируемой к получению резидентами особой экономической зоны и управляющей компанией особой экономической зоны на конец 10-го года реализации проекта накопленным итогом, к размеру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и планируемых инвестиций резидентов особой экономической зоны, для предполагаемой к созданию особой экономической зоны промышленно-производственного типа должно составлять не менее 1,2, для предполагаемых к созданию особых экономических зон туристско-рекреационного типа, технико-внедренческого типа и портовых особых экономических зон - не менее 1.</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Срок окупаемости предполагаемой к созданию особой экономической зоны промышленно-производственного типа должен составлять не более 8 лет, для особых экономических зон туристско-рекреационного типа, технико-внедренческого типа и портовых особых экономических зон - не более 15 лет. При определении срока окупаемости учитывается разница между размером выручки, планируемой к получению резидентами особой экономической зоны и управляющей компанией особой экономической зоны, и размером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и планируемых инвестиций резидентов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7. Наличие не менее одного хозяйственного общества, намеревающегося осуществлять функции управляющей компании и подтвердившего в письменной форме наличие у него или его учредителей (участников) опыта создания и обеспечения функционирования объектов инфраструктуры с представлением документов о вводе их в эксплуатацию, их количества и размера фактического финансирования, а также готовность заключить с уполномоченным Правительством Российской Федерации органом исполнительной власти соглашение об управлении особой экономической зоной и принять на себя обязательство привлечь не менее 50 процентов планируемого объема внебюджетных инвестиций на создание и функционирование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8. Возможность обеспечить планируемых к размещению в особой экономической зоне резидентов необходимыми ресурсами, в том числе кадровыми. Наличие, в случае имеющихся инфраструктурных и иных ограничений, предложений по их устранению, достаточных для обеспечения планируемых к размещению в особой экономической зоне резидентов необходимыми ресурсами.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9. Наличие успешного опыта реализации в субъекте Российской Федерации или муниципальном образовании, на территориях которых предполагается создание особой экономической зоны, крупных инвестиционных проектов с участием российских и иностранных инвесторов, объем фактически привлеченных частных инвестиций в которые составляет не менее объема запланированных инвестиций потенциальных инвесторов особой экономической зоны, и (или) опыта создания инновационных кластеров, индустриальных парков и технопарков (с указанием размера затрат бюджета субъекта Российской Федерации и (или) местного бюджета на единицу площади (рублей на один гектар общей площади индустриальных парков и инновационных кластеров либо рублей на один квадратный метр общей площади технопарков).</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10. Наличие на территории, где предполагается создание особой экономической зоны, а также на прилегающей территории объектов внутренней и внешней инженерной, транспортной, инновационной, социальной и иной инфраструктуры, которые возможно использовать для целей функционирования и развития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11. Наличие проекта планировки территории особой экономической зоны и перспективного плана развития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12. Наличие анализа экологических рисков проекта создания особой экономической зоны и (или) стратегии управления экологической эффективностью.</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Преимуществами осуществления предпринимательской деятельности для резидентов особой экономической зоны являются налоговые льготы.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Налоговая нагрузка на предпринимателей-резидентов особых экономических зон уменьшается в части налога на прибыль организаций, налога на имущество, земельного налога, страховых взносов.</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Такие налоговые каникулы для резидентов особых экономических зон действуют в течение 5-10 лет с момента признания предпринимателя резидентом ОЭЗ.</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Особые экономические зоны могут устанавливать собственные льготные ставки по налогу на прибыль, транспортному налогу и НДС. Так работы, связанные с инновационной деятельностью, не облагаются НДС. В таблице приведено сравнение налоговых ставок для резидентов ОЭЗ и обычных предпринимателей.</w:t>
      </w:r>
    </w:p>
    <w:p w:rsidR="00153E07" w:rsidRPr="00153E07" w:rsidRDefault="00153E07" w:rsidP="006D2568">
      <w:pPr>
        <w:spacing w:after="0" w:line="240" w:lineRule="auto"/>
        <w:ind w:firstLine="709"/>
        <w:jc w:val="right"/>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Таблица 3.1</w:t>
      </w:r>
    </w:p>
    <w:p w:rsidR="00153E07" w:rsidRPr="00FD0291" w:rsidRDefault="00153E07" w:rsidP="006D2568">
      <w:pPr>
        <w:spacing w:after="0" w:line="240" w:lineRule="auto"/>
        <w:jc w:val="center"/>
        <w:rPr>
          <w:rFonts w:ascii="Times New Roman" w:eastAsia="Times New Roman" w:hAnsi="Times New Roman" w:cs="Times New Roman"/>
          <w:b/>
          <w:bCs/>
          <w:sz w:val="28"/>
          <w:szCs w:val="28"/>
        </w:rPr>
      </w:pPr>
      <w:r w:rsidRPr="00FD0291">
        <w:rPr>
          <w:rFonts w:ascii="Times New Roman" w:eastAsia="Times New Roman" w:hAnsi="Times New Roman" w:cs="Times New Roman"/>
          <w:b/>
          <w:bCs/>
          <w:sz w:val="28"/>
          <w:szCs w:val="28"/>
        </w:rPr>
        <w:t>Налоговые льготы для резидентов ОЗС</w:t>
      </w:r>
    </w:p>
    <w:tbl>
      <w:tblPr>
        <w:tblW w:w="10031" w:type="dxa"/>
        <w:tblLook w:val="04A0"/>
      </w:tblPr>
      <w:tblGrid>
        <w:gridCol w:w="2040"/>
        <w:gridCol w:w="2040"/>
        <w:gridCol w:w="2040"/>
        <w:gridCol w:w="3911"/>
      </w:tblGrid>
      <w:tr w:rsidR="00153E07" w:rsidRPr="00153E07" w:rsidTr="00FD0291">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Вид налога</w:t>
            </w:r>
          </w:p>
        </w:tc>
        <w:tc>
          <w:tcPr>
            <w:tcW w:w="2040"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Обычная ставка</w:t>
            </w:r>
          </w:p>
        </w:tc>
        <w:tc>
          <w:tcPr>
            <w:tcW w:w="2040"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Льготная ставка</w:t>
            </w:r>
          </w:p>
        </w:tc>
        <w:tc>
          <w:tcPr>
            <w:tcW w:w="3911"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Срок действия льготы</w:t>
            </w:r>
          </w:p>
        </w:tc>
      </w:tr>
      <w:tr w:rsidR="00153E07" w:rsidRPr="00153E07" w:rsidTr="00FD0291">
        <w:trPr>
          <w:trHeight w:val="1140"/>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Налог на прибыль</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18%</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 + 13,5%</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5 + 10 лет с месяца получения статуса резидента, либо различные ставки по годам</w:t>
            </w:r>
          </w:p>
        </w:tc>
      </w:tr>
      <w:tr w:rsidR="00153E07" w:rsidRPr="00153E07" w:rsidTr="00FD0291">
        <w:trPr>
          <w:trHeight w:val="855"/>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Налог на имущество</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2,20%</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10 лет с месяца, следующего за месяцем постановки имущества на учет</w:t>
            </w:r>
          </w:p>
        </w:tc>
      </w:tr>
      <w:tr w:rsidR="00153E07" w:rsidRPr="00153E07" w:rsidTr="00FD0291">
        <w:trPr>
          <w:trHeight w:val="1140"/>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Земельный налог</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1,50%</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5 лет с месяца возникновения собственности на каждый участок</w:t>
            </w:r>
          </w:p>
        </w:tc>
      </w:tr>
      <w:tr w:rsidR="00153E07" w:rsidRPr="00153E07" w:rsidTr="00FD0291">
        <w:trPr>
          <w:trHeight w:val="300"/>
        </w:trPr>
        <w:tc>
          <w:tcPr>
            <w:tcW w:w="2040"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Страховые взносы</w:t>
            </w:r>
          </w:p>
        </w:tc>
        <w:tc>
          <w:tcPr>
            <w:tcW w:w="20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 xml:space="preserve">ПФР + 22% </w:t>
            </w:r>
          </w:p>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 xml:space="preserve">ФСС + 2,9% </w:t>
            </w:r>
          </w:p>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+ 8%</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2016 + 2017 годы</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+ 4%</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+ 13%</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2018 год</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+ 2,9%</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+ 20%</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2019 год</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+ 2,9%</w:t>
            </w:r>
          </w:p>
        </w:tc>
        <w:tc>
          <w:tcPr>
            <w:tcW w:w="3911"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3911"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r>
    </w:tbl>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 xml:space="preserve">Еще одним преимуществом особой экономической зоны является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налоговый иммунитет</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 На резидентов особых экономических зон не распространяются изменения налогового законодательства, ухудшающие их положение. При этом резиденты особых экономических зон применяют ускоренную амортизацию с двойным коэффициентом.</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Стимулирующим фактором развития района выступает рост инвестиционной привлекательности и привлечение инвестиций в хозяйственную деятельность действующих субъектов малого и среднего бизнеса и открытие новых. Улучшение инвестиционной привлекательности района способствует занятости населения, росту налоговых поступлений в районный бюджет. ВБардымском муниципальном районевопросы инвестиций частично были решены с помощью самообложения граждан, решение о котором принято на референдуме граждан сельских поселений. Данный проект предполагает самообложение граждан. Согласно Федеральному закону от 06.10.2003 № 131-ФЗ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под средствами самообложения граждан понимаются разовые </w:t>
      </w:r>
      <w:r w:rsidRPr="00153E07">
        <w:rPr>
          <w:rFonts w:ascii="Times New Roman" w:eastAsia="Times New Roman" w:hAnsi="Times New Roman" w:cs="Times New Roman"/>
          <w:sz w:val="28"/>
          <w:szCs w:val="28"/>
        </w:rPr>
        <w:lastRenderedPageBreak/>
        <w:t>платежи граждан, осуществляемые для решения конкретных вопросов местного значения.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Согласно закону, в некоторых поселениях определяется проблема, для которой необходимо собрать денежные средства местных жителей, денежные средства собираются и происходит финансирование проекта. Таким образом, жители фактически сами решают вопросы тротуаров, ремонта дорог, водопроводов, уличного освещения, скважин, детских площадок и тому подобное.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Самообложение является неналоговым доходом бюджета, как некий акт добровольных пожертвований. По результатам референдумов, проведенных в Пермском крае в сельских поселениях Бардымского района, жители проголосовали за введение разового платежа в 2014 г. (в размере 100 рублей) на мероприятия по благоустройству и озеленению территорий.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районы получают дополнительную финансовую поддержку из регионального бюджета. В 2011 году эта помощь составляла один к трем, с 2014 года краевое правительство по поручению Губернатора области увеличило финансирование программы самообложения до пяти рублей на рубль.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в современных условиях немаловажную роль играют факторы информационных ресурсов, а также коммуникаций для полного владения информацией о текущем состоянии развития мировой и российской экономике, современных тенденциях и технологиях развития и др.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сегодняшний день для эффективного управления экономикой в целом активно привлекаются научно-технические составляющие. Научно-технический прогресс стремится к тому, чтобы использовать человеческий и технический потенциал, экономить капитал, труд, энергию, сырье и финансы при этом извлекая выгоду. Ресурсосберегающие технологии актуальны в современном мире.</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ни один район или регион не имеет одинаковое преимущество по всем факторам. Однако, природные ресурсы, человеческий потенциал, предприятия, инновации и инвестиции главные факторы, оказывающие влияние на развитие экономики района. </w:t>
      </w:r>
    </w:p>
    <w:p w:rsidR="00E21B77" w:rsidRDefault="00E21B7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t>Основные итоги анализа социально-экономического развития Бардымского муниципального района с использованием метода свод-анализ</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выявления тенденций развития и проблем Бардымского муниципального района был проведен SWOT-анализ, в котором отражены сильные и слабые стороны, а также возможности и угрозы развития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результате проведенного SWOT-анализа было выявлено, что в Бардымском муниципальном районе существует потенциал для социально-экономического развития территории: наличие месторождений полезных ископаемых, природных ресурсов, земельных угодий, территорий для размещения производительных сил.</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слабыми сторонами в Бардымском муниципальном районе являются недостаток компенсирующих отраслей народного хозяйства, недостаток необходимой развитой инфраструктуры и коммуникаций для размещения </w:t>
      </w:r>
      <w:r w:rsidRPr="00153E07">
        <w:rPr>
          <w:rFonts w:ascii="Times New Roman" w:eastAsia="Times New Roman" w:hAnsi="Times New Roman" w:cs="Times New Roman"/>
          <w:sz w:val="28"/>
          <w:szCs w:val="28"/>
        </w:rPr>
        <w:lastRenderedPageBreak/>
        <w:t>производительных сил, невысокий уровень внедрения передовых технологий, ухудшающаяся демографическая ситуация.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Возможностями для развития социальной и экономической сфер в Бардымском районе являются развитие основной специализации района – сельского хозяйства. Наибольший экономический эффект в данном случае будет достигнут посредством развития компенсирующих отраслей народного хозяйства, организации промышленных производств, благодаря чему район сможет выйти на внешние рынки со своей продукцией и обеспечить собственные нужды в строительстве, сельском хозяйстве и т.д. Обеспечение нужд района продукцией собственного производства позволит сократить себестоимость сырья и материалов, необходимых в строительстве, что имеет высокую актуальность в режиме интенсивной застройки. Кроме того, целесообразно рассмотреть вопрос об объединении м</w:t>
      </w:r>
      <w:r w:rsidR="00FD0291">
        <w:rPr>
          <w:rFonts w:ascii="Times New Roman" w:eastAsia="Times New Roman" w:hAnsi="Times New Roman" w:cs="Times New Roman"/>
          <w:sz w:val="28"/>
          <w:szCs w:val="28"/>
        </w:rPr>
        <w:t>алона</w:t>
      </w:r>
      <w:r w:rsidRPr="00153E07">
        <w:rPr>
          <w:rFonts w:ascii="Times New Roman" w:eastAsia="Times New Roman" w:hAnsi="Times New Roman" w:cs="Times New Roman"/>
          <w:sz w:val="28"/>
          <w:szCs w:val="28"/>
        </w:rPr>
        <w:t>селенных сельских поселений по принципу кустовой системы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Кустовые или межхозяйственные системы расселения. Культурно-бытовые связи в кустовых или межхозяйственных системах расселения охватывают всю территорию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куста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и трудовые связи при условии хорошей транспортной доступности могут выходить за пределы поселения, возглавляемого кустовым центром.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Задачами формирования опорного системообразующего каркаса расселения района являются:</w:t>
      </w:r>
    </w:p>
    <w:p w:rsidR="00FD0291"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наращивание социально-экономического потенциала местных центров, преобразование их в комплексно развитые центры и подцентры областного и районного агропромышленного объединения</w:t>
      </w:r>
      <w:r w:rsidR="00FD0291">
        <w:rPr>
          <w:rFonts w:ascii="Times New Roman" w:eastAsia="Times New Roman" w:hAnsi="Times New Roman" w:cs="Times New Roman"/>
          <w:sz w:val="28"/>
          <w:szCs w:val="28"/>
        </w:rPr>
        <w:t>;</w:t>
      </w:r>
    </w:p>
    <w:p w:rsidR="00153E07" w:rsidRPr="00153E07" w:rsidRDefault="00FD0291"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53E07" w:rsidRPr="00153E07">
        <w:rPr>
          <w:rFonts w:ascii="Times New Roman" w:eastAsia="Times New Roman" w:hAnsi="Times New Roman" w:cs="Times New Roman"/>
          <w:sz w:val="28"/>
          <w:szCs w:val="28"/>
        </w:rPr>
        <w:t xml:space="preserve"> развитие интенсивных производственно-хозяйственных, трудовых, социально-культурных и других связей местных центров с населенными пунктами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создание необходимых дорожно-транспортных предпосылок, обеспечивающих осуществление устойчивых меж</w:t>
      </w:r>
      <w:r w:rsidR="005A7C26">
        <w:rPr>
          <w:rFonts w:ascii="Times New Roman" w:eastAsia="Times New Roman" w:hAnsi="Times New Roman" w:cs="Times New Roman"/>
          <w:sz w:val="28"/>
          <w:szCs w:val="28"/>
        </w:rPr>
        <w:t xml:space="preserve">поселенческих </w:t>
      </w:r>
      <w:r w:rsidRPr="00153E07">
        <w:rPr>
          <w:rFonts w:ascii="Times New Roman" w:eastAsia="Times New Roman" w:hAnsi="Times New Roman" w:cs="Times New Roman"/>
          <w:sz w:val="28"/>
          <w:szCs w:val="28"/>
        </w:rPr>
        <w:t>сообщений.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Социальный потенциал центра системы расселения выражается комплексом объектов и учреждений социально-культурного обслуживания, предназначенного для обеспечения всего населения местной системы расселения полным набором стандартных и частично специализированных услуг эпизодического спроса.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групповой форме расселения, территория района должна быть насыщена</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социально-культурной и транспортно-инженерной инфраструктурами, а также увеличивать градообразующий и социально-культурный потенциал центра и подцентров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настоящее время в Бардымском районе существует двухуровневая система расселения: местный (районный) и первичный уровень. Учитывая невысокую плотность населения в Бардымском муниципальном районе и большие расстояния между населенными пунктами целесообразно выделить еще один уровень – кустовой.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Формирование районной системы расселения определяется административными границами Бардымского муниципального района и </w:t>
      </w:r>
      <w:r w:rsidRPr="00153E07">
        <w:rPr>
          <w:rFonts w:ascii="Times New Roman" w:eastAsia="Times New Roman" w:hAnsi="Times New Roman" w:cs="Times New Roman"/>
          <w:sz w:val="28"/>
          <w:szCs w:val="28"/>
        </w:rPr>
        <w:lastRenderedPageBreak/>
        <w:t xml:space="preserve">объединяет в себе сельские поселения, которые ежедневно и еженедельно взаимодействуют между собой.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составе районной системы расселения предлагается сформировать кустовые системы расселения,</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 соответствующими центрами межселенного обслуживания, основанные на перспективном зонировании территории, проектной планировочной структуре и сложившихся местных системах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Иерархическими уровнями будут выступать: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Местный (районный центр) - село Барда, центр районной системы расселения и опорный центр всей системы расселения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Кустовой (районный подцентр) - село Краснояр-1;</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Кустовой (районный подцентр) - село Елпачиха;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Кустовой (районный подцентр) – село Сараши;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5. Первичные центры – центры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Предлагаемая кустовая система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Бардымский куст формируется в составе муниципального образования Бардымское сельское поселение с центром в селе Барда.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Красноярский куст формируется в составе муниципальных образований Бичуринское, Тюндюковское и Красноярское сельские поселения с центром в селе Краснояр-1.</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Елпачихинский куст формируется в составе муниципальных образований Шермейское, Федорковское, Березниковское и Елпачихинское сельские поселения с центром в селе Елпачиха.</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Сарашевский куст формируется в составе муниципальных образований Сарашевское, Печменское, Брюзлинское и Новоашапское сельские поселения с центром в селе Сараши.</w:t>
      </w:r>
    </w:p>
    <w:p w:rsidR="00FF387A" w:rsidRDefault="00FF387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3.2 представлено распределение населенных пунктов Бардымского муниципального района по кустам.</w:t>
      </w:r>
    </w:p>
    <w:p w:rsidR="00FF387A" w:rsidRDefault="00FF387A"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3.2</w:t>
      </w:r>
    </w:p>
    <w:p w:rsidR="00FF387A" w:rsidRPr="008B24F0" w:rsidRDefault="00FF387A" w:rsidP="006D2568">
      <w:pPr>
        <w:spacing w:after="0" w:line="240" w:lineRule="auto"/>
        <w:ind w:firstLine="709"/>
        <w:jc w:val="center"/>
        <w:rPr>
          <w:rFonts w:ascii="Times New Roman" w:eastAsia="Times New Roman" w:hAnsi="Times New Roman" w:cs="Times New Roman"/>
          <w:b/>
          <w:sz w:val="28"/>
          <w:szCs w:val="28"/>
        </w:rPr>
      </w:pPr>
      <w:r w:rsidRPr="008B24F0">
        <w:rPr>
          <w:rFonts w:ascii="Times New Roman" w:eastAsia="Times New Roman" w:hAnsi="Times New Roman" w:cs="Times New Roman"/>
          <w:b/>
          <w:sz w:val="28"/>
          <w:szCs w:val="28"/>
        </w:rPr>
        <w:t>Распределение населенных пунктов Бардымского муниципального района по кустам</w:t>
      </w:r>
    </w:p>
    <w:tbl>
      <w:tblPr>
        <w:tblW w:w="5071" w:type="pct"/>
        <w:tblLayout w:type="fixed"/>
        <w:tblLook w:val="04A0"/>
      </w:tblPr>
      <w:tblGrid>
        <w:gridCol w:w="1950"/>
        <w:gridCol w:w="2274"/>
        <w:gridCol w:w="1559"/>
        <w:gridCol w:w="1557"/>
        <w:gridCol w:w="1415"/>
        <w:gridCol w:w="1526"/>
      </w:tblGrid>
      <w:tr w:rsidR="00FF387A" w:rsidRPr="007E2C94" w:rsidTr="007E2C94">
        <w:trPr>
          <w:trHeight w:val="300"/>
        </w:trPr>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Куст</w:t>
            </w:r>
          </w:p>
        </w:tc>
        <w:tc>
          <w:tcPr>
            <w:tcW w:w="1106"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Населенный пункт</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Численность населения, чел.</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Численность населения по кустам, чел.</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Количество населенных пунктов, ед.</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Кустовая структура Бардымского МР, %</w:t>
            </w: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Бардымский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Мостовая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392</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10</w:t>
            </w:r>
            <w:r w:rsidR="008B24F0">
              <w:rPr>
                <w:rFonts w:ascii="Times New Roman" w:eastAsia="Times New Roman" w:hAnsi="Times New Roman" w:cs="Times New Roman"/>
                <w:color w:val="000000"/>
              </w:rPr>
              <w:t>2</w:t>
            </w:r>
            <w:r w:rsidR="00321DFC">
              <w:rPr>
                <w:rFonts w:ascii="Times New Roman" w:eastAsia="Times New Roman" w:hAnsi="Times New Roman" w:cs="Times New Roman"/>
                <w:color w:val="000000"/>
              </w:rPr>
              <w:t>67</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37,0</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Старый Чад</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Чалково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8B24F0">
              <w:rPr>
                <w:rFonts w:ascii="Times New Roman" w:eastAsia="Times New Roman" w:hAnsi="Times New Roman" w:cs="Times New Roman"/>
                <w:color w:val="000000"/>
              </w:rPr>
              <w:t>23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Барда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9</w:t>
            </w:r>
            <w:r w:rsidR="008B24F0">
              <w:rPr>
                <w:rFonts w:ascii="Times New Roman" w:eastAsia="Times New Roman" w:hAnsi="Times New Roman" w:cs="Times New Roman"/>
                <w:color w:val="000000"/>
              </w:rPr>
              <w:t>5</w:t>
            </w:r>
            <w:r w:rsidR="00596AAE">
              <w:rPr>
                <w:rFonts w:ascii="Times New Roman" w:eastAsia="Times New Roman" w:hAnsi="Times New Roman" w:cs="Times New Roman"/>
                <w:color w:val="000000"/>
              </w:rPr>
              <w:t>73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FF387A">
              <w:rPr>
                <w:rFonts w:ascii="Times New Roman" w:eastAsia="Times New Roman" w:hAnsi="Times New Roman" w:cs="Times New Roman"/>
                <w:color w:val="000000"/>
              </w:rPr>
              <w:t> </w:t>
            </w:r>
            <w:r w:rsidR="007E2C94" w:rsidRPr="007E2C94">
              <w:rPr>
                <w:rFonts w:ascii="Times New Roman" w:eastAsia="Times New Roman" w:hAnsi="Times New Roman" w:cs="Times New Roman"/>
                <w:b/>
                <w:color w:val="000000"/>
              </w:rPr>
              <w:t>Елпачихинский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Ишимово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398</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7E2C94"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4799</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22</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21,6</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Антуфьево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8B24F0">
              <w:rPr>
                <w:rFonts w:ascii="Times New Roman" w:eastAsia="Times New Roman" w:hAnsi="Times New Roman" w:cs="Times New Roman"/>
                <w:color w:val="000000"/>
              </w:rPr>
              <w:t>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Зайцево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8B24F0">
              <w:rPr>
                <w:rFonts w:ascii="Times New Roman" w:eastAsia="Times New Roman" w:hAnsi="Times New Roman" w:cs="Times New Roman"/>
                <w:color w:val="000000"/>
              </w:rPr>
              <w:t>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Искирь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Караул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Конюково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Кудаш</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Низовское</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0671CF"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Усть-Тунтор</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Чувашаево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Шабарка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Шермеинск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Щипа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Юкшур</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п. Искирский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Акбаш</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Березники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Елпачиха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382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Куземьярово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Уймуж</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Федорки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661B3A">
              <w:rPr>
                <w:rFonts w:ascii="Times New Roman" w:eastAsia="Times New Roman" w:hAnsi="Times New Roman" w:cs="Times New Roman"/>
                <w:color w:val="000000"/>
              </w:rPr>
              <w:t>44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Шермейка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Красноярский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Новая Казанка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596AAE"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507</w:t>
            </w:r>
            <w:r w:rsidR="007E2C94">
              <w:rPr>
                <w:rFonts w:ascii="Times New Roman" w:eastAsia="Times New Roman" w:hAnsi="Times New Roman" w:cs="Times New Roman"/>
                <w:color w:val="000000"/>
              </w:rPr>
              <w:t>7</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13</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20,4</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Бардабашка-I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Бардабашка-II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Верх-Шлык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Новый Чад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Старый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Утяй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Учкул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Аклуши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Тюндюк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Бичурино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12</w:t>
            </w:r>
            <w:r w:rsidR="00661B3A">
              <w:rPr>
                <w:rFonts w:ascii="Times New Roman" w:eastAsia="Times New Roman" w:hAnsi="Times New Roman" w:cs="Times New Roman"/>
                <w:color w:val="000000"/>
              </w:rPr>
              <w:t>85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Краснояр-I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16</w:t>
            </w:r>
            <w:r w:rsidR="00661B3A">
              <w:rPr>
                <w:rFonts w:ascii="Times New Roman" w:eastAsia="Times New Roman" w:hAnsi="Times New Roman" w:cs="Times New Roman"/>
                <w:color w:val="000000"/>
              </w:rPr>
              <w:t>01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Краснояр-II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Сарашевский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Игатка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7E2C94"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5059</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22</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21,0</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Амировка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Асюл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Батырбай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28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Верхний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6</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Зязелга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13</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Кармановка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30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Нарадка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Нижняя Искильда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27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Никольск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661B3A">
              <w:rPr>
                <w:rFonts w:ascii="Times New Roman" w:eastAsia="Times New Roman" w:hAnsi="Times New Roman" w:cs="Times New Roman"/>
                <w:color w:val="000000"/>
              </w:rPr>
              <w:t>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Сюзянь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Талканка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Усаклы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Усть-Шлык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Брюзли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Константиновка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Новый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Печмень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Сараши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455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Султанай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Танып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20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Итого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7E2C94" w:rsidRDefault="007E2C94"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25 202</w:t>
            </w:r>
          </w:p>
        </w:tc>
        <w:tc>
          <w:tcPr>
            <w:tcW w:w="757"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2</w:t>
            </w:r>
            <w:r w:rsidR="00321DFC">
              <w:rPr>
                <w:rFonts w:ascii="Times New Roman" w:eastAsia="Times New Roman" w:hAnsi="Times New Roman" w:cs="Times New Roman"/>
                <w:b/>
                <w:color w:val="000000"/>
              </w:rPr>
              <w:t>5 202</w:t>
            </w:r>
            <w:r w:rsidR="007E2C94">
              <w:rPr>
                <w:rFonts w:ascii="Times New Roman" w:eastAsia="Times New Roman" w:hAnsi="Times New Roman" w:cs="Times New Roman"/>
                <w:b/>
                <w:color w:val="000000"/>
              </w:rPr>
              <w:t xml:space="preserve"> </w:t>
            </w:r>
          </w:p>
        </w:tc>
        <w:tc>
          <w:tcPr>
            <w:tcW w:w="688"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61</w:t>
            </w:r>
          </w:p>
        </w:tc>
        <w:tc>
          <w:tcPr>
            <w:tcW w:w="742"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100</w:t>
            </w:r>
          </w:p>
        </w:tc>
      </w:tr>
    </w:tbl>
    <w:p w:rsidR="00FF387A" w:rsidRDefault="00FF387A" w:rsidP="006D2568">
      <w:pPr>
        <w:spacing w:after="0" w:line="240" w:lineRule="auto"/>
        <w:ind w:firstLine="709"/>
        <w:jc w:val="both"/>
        <w:rPr>
          <w:rFonts w:ascii="Times New Roman" w:eastAsia="Times New Roman" w:hAnsi="Times New Roman" w:cs="Times New Roman"/>
          <w:sz w:val="28"/>
          <w:szCs w:val="28"/>
        </w:rPr>
      </w:pPr>
    </w:p>
    <w:p w:rsidR="00FF387A" w:rsidRDefault="00FF387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объединению сельских поселений в кустовую систему расселения у Бардымского муниципального района появится возможность упразднить некоторые административные должности, что позволит сократить административные расходы. Экономия затрат приведена в таблице 3.3.</w:t>
      </w:r>
    </w:p>
    <w:p w:rsidR="00FF387A" w:rsidRDefault="00FF387A">
      <w:pPr>
        <w:rPr>
          <w:rFonts w:ascii="Times New Roman" w:eastAsia="Times New Roman" w:hAnsi="Times New Roman" w:cs="Times New Roman"/>
          <w:sz w:val="28"/>
          <w:szCs w:val="28"/>
        </w:rPr>
      </w:pPr>
    </w:p>
    <w:p w:rsidR="001D3C25" w:rsidRDefault="001D3C25" w:rsidP="00FF387A">
      <w:pPr>
        <w:spacing w:after="0"/>
        <w:ind w:firstLine="709"/>
        <w:jc w:val="right"/>
        <w:rPr>
          <w:rFonts w:ascii="Times New Roman" w:eastAsia="Times New Roman" w:hAnsi="Times New Roman" w:cs="Times New Roman"/>
          <w:sz w:val="28"/>
          <w:szCs w:val="28"/>
        </w:rPr>
        <w:sectPr w:rsidR="001D3C25" w:rsidSect="00E3313E">
          <w:footerReference w:type="default" r:id="rId94"/>
          <w:pgSz w:w="11906" w:h="16838"/>
          <w:pgMar w:top="851" w:right="567" w:bottom="851" w:left="1418" w:header="709" w:footer="709" w:gutter="0"/>
          <w:cols w:space="708"/>
          <w:docGrid w:linePitch="360"/>
        </w:sectPr>
      </w:pPr>
    </w:p>
    <w:p w:rsidR="00FF387A" w:rsidRDefault="00FF387A" w:rsidP="00FF387A">
      <w:pPr>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3.3</w:t>
      </w:r>
    </w:p>
    <w:p w:rsidR="002E0664" w:rsidRPr="006E5D55" w:rsidRDefault="002E0664" w:rsidP="002E0664">
      <w:pPr>
        <w:spacing w:after="0"/>
        <w:ind w:firstLine="709"/>
        <w:jc w:val="center"/>
        <w:rPr>
          <w:rFonts w:ascii="Times New Roman" w:eastAsia="Times New Roman" w:hAnsi="Times New Roman" w:cs="Times New Roman"/>
          <w:b/>
          <w:sz w:val="28"/>
          <w:szCs w:val="28"/>
        </w:rPr>
      </w:pPr>
      <w:r w:rsidRPr="006E5D55">
        <w:rPr>
          <w:rFonts w:ascii="Times New Roman" w:eastAsia="Times New Roman" w:hAnsi="Times New Roman" w:cs="Times New Roman"/>
          <w:b/>
          <w:sz w:val="28"/>
          <w:szCs w:val="28"/>
        </w:rPr>
        <w:t>Возможная экономия затрат в Бардымском муниципальном районе при изменении системы расселения</w:t>
      </w:r>
    </w:p>
    <w:p w:rsidR="002E0664" w:rsidRPr="002E0664" w:rsidRDefault="002E0664" w:rsidP="002E0664">
      <w:pPr>
        <w:spacing w:after="0"/>
        <w:ind w:firstLine="709"/>
        <w:jc w:val="right"/>
        <w:rPr>
          <w:rFonts w:ascii="Times New Roman" w:eastAsia="Times New Roman" w:hAnsi="Times New Roman" w:cs="Times New Roman"/>
          <w:sz w:val="24"/>
          <w:szCs w:val="28"/>
        </w:rPr>
      </w:pPr>
      <w:r w:rsidRPr="002E0664">
        <w:rPr>
          <w:rFonts w:ascii="Times New Roman" w:eastAsia="Times New Roman" w:hAnsi="Times New Roman" w:cs="Times New Roman"/>
          <w:sz w:val="24"/>
          <w:szCs w:val="28"/>
        </w:rPr>
        <w:t>(тыс.руб.)</w:t>
      </w:r>
    </w:p>
    <w:tbl>
      <w:tblPr>
        <w:tblW w:w="5000" w:type="pct"/>
        <w:tblLayout w:type="fixed"/>
        <w:tblLook w:val="04A0"/>
      </w:tblPr>
      <w:tblGrid>
        <w:gridCol w:w="1526"/>
        <w:gridCol w:w="1133"/>
        <w:gridCol w:w="1136"/>
        <w:gridCol w:w="992"/>
        <w:gridCol w:w="1274"/>
        <w:gridCol w:w="1277"/>
        <w:gridCol w:w="992"/>
        <w:gridCol w:w="1277"/>
        <w:gridCol w:w="992"/>
        <w:gridCol w:w="1133"/>
        <w:gridCol w:w="1277"/>
        <w:gridCol w:w="1133"/>
        <w:gridCol w:w="1210"/>
      </w:tblGrid>
      <w:tr w:rsidR="002E0664" w:rsidRPr="00FF387A" w:rsidTr="002E0664">
        <w:trPr>
          <w:trHeight w:val="300"/>
        </w:trPr>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Поселения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Доходы</w:t>
            </w:r>
          </w:p>
        </w:tc>
        <w:tc>
          <w:tcPr>
            <w:tcW w:w="1847" w:type="pct"/>
            <w:gridSpan w:val="5"/>
            <w:tcBorders>
              <w:top w:val="single" w:sz="4" w:space="0" w:color="auto"/>
              <w:left w:val="nil"/>
              <w:bottom w:val="single" w:sz="4" w:space="0" w:color="auto"/>
              <w:right w:val="single" w:sz="4" w:space="0" w:color="auto"/>
            </w:tcBorders>
            <w:shd w:val="clear" w:color="auto" w:fill="auto"/>
            <w:noWrap/>
            <w:vAlign w:val="bottom"/>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Расходы до</w:t>
            </w:r>
          </w:p>
        </w:tc>
        <w:tc>
          <w:tcPr>
            <w:tcW w:w="1893" w:type="pct"/>
            <w:gridSpan w:val="5"/>
            <w:tcBorders>
              <w:top w:val="single" w:sz="4" w:space="0" w:color="auto"/>
              <w:left w:val="nil"/>
              <w:bottom w:val="single" w:sz="4" w:space="0" w:color="auto"/>
              <w:right w:val="single" w:sz="4" w:space="0" w:color="auto"/>
            </w:tcBorders>
            <w:shd w:val="clear" w:color="auto" w:fill="auto"/>
            <w:noWrap/>
            <w:vAlign w:val="bottom"/>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Расходы после</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rPr>
            </w:pPr>
            <w:r w:rsidRPr="00F553E8">
              <w:rPr>
                <w:rFonts w:ascii="Times New Roman" w:eastAsia="Times New Roman" w:hAnsi="Times New Roman" w:cs="Times New Roman"/>
                <w:b/>
                <w:color w:val="000000"/>
                <w:sz w:val="20"/>
              </w:rPr>
              <w:t>Экономия</w:t>
            </w:r>
          </w:p>
        </w:tc>
      </w:tr>
      <w:tr w:rsidR="002E0664" w:rsidRPr="00FF387A" w:rsidTr="00E21B77">
        <w:trPr>
          <w:trHeight w:val="59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E0664" w:rsidRPr="00F553E8" w:rsidRDefault="002E0664" w:rsidP="002E0664">
            <w:pPr>
              <w:spacing w:after="0" w:line="240" w:lineRule="auto"/>
              <w:rPr>
                <w:rFonts w:ascii="Times New Roman" w:eastAsia="Times New Roman" w:hAnsi="Times New Roman" w:cs="Times New Roman"/>
                <w:color w:val="000000"/>
                <w:sz w:val="20"/>
                <w:szCs w:val="20"/>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2E0664" w:rsidRPr="00F553E8" w:rsidRDefault="002E0664" w:rsidP="002E0664">
            <w:pPr>
              <w:spacing w:after="0" w:line="240" w:lineRule="auto"/>
              <w:rPr>
                <w:rFonts w:ascii="Times New Roman" w:eastAsia="Times New Roman" w:hAnsi="Times New Roman" w:cs="Times New Roman"/>
                <w:color w:val="000000"/>
                <w:sz w:val="20"/>
                <w:szCs w:val="20"/>
              </w:rPr>
            </w:pPr>
          </w:p>
        </w:tc>
        <w:tc>
          <w:tcPr>
            <w:tcW w:w="370"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всего, в т.ч.:</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ФОТ</w:t>
            </w:r>
          </w:p>
        </w:tc>
        <w:tc>
          <w:tcPr>
            <w:tcW w:w="415"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комм. усл.</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благоустр, содерж. дорог</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прочие</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всего, в т.ч.:</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ФОТ</w:t>
            </w:r>
          </w:p>
        </w:tc>
        <w:tc>
          <w:tcPr>
            <w:tcW w:w="369"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комм. усл.</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благоустр, содерж. дорог</w:t>
            </w:r>
          </w:p>
        </w:tc>
        <w:tc>
          <w:tcPr>
            <w:tcW w:w="369"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прочие</w:t>
            </w: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2E0664" w:rsidRPr="00FF387A" w:rsidRDefault="002E0664" w:rsidP="002E0664">
            <w:pPr>
              <w:spacing w:after="0" w:line="240" w:lineRule="auto"/>
              <w:rPr>
                <w:rFonts w:ascii="Times New Roman" w:eastAsia="Times New Roman" w:hAnsi="Times New Roman" w:cs="Times New Roman"/>
                <w:color w:val="000000"/>
              </w:rPr>
            </w:pP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Красноярский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Краснояр</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8235,8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10151,4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4764,8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3742,4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1128,2</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10151,4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4764,8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3742,4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1128,2</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Тюндюк</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7661,2</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8355,1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5667,7</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698,4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737,6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6840,2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4343,8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698,4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1251,4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546,6</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1514,9</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Бичурино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7497,4</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8201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4622</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467,9</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2278,3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832,8</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6357,5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3115,9</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467,9</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2278,3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495,4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1843,5</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23394,4</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26707,5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15054,5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1682,3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7272,1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2698,6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23349,1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12224,5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1682,3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7272,1</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2170,2</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3358,4</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Сарашевский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Сараши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9233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9472,3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7309,8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851,1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1164,4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9472,3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7309,8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851,1</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1164,4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Нов</w:t>
            </w:r>
            <w:r>
              <w:rPr>
                <w:rFonts w:ascii="Times New Roman" w:eastAsia="Times New Roman" w:hAnsi="Times New Roman" w:cs="Times New Roman"/>
                <w:color w:val="000000"/>
              </w:rPr>
              <w:t>ый А</w:t>
            </w:r>
            <w:r w:rsidRPr="00FF387A">
              <w:rPr>
                <w:rFonts w:ascii="Times New Roman" w:eastAsia="Times New Roman" w:hAnsi="Times New Roman" w:cs="Times New Roman"/>
                <w:color w:val="000000"/>
              </w:rPr>
              <w:t>шап</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4161</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4374,9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2587,6</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540,1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328,5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918,7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3585,3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2057,4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328,5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762,4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789,6</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Печмень</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8274,6</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9386,8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2991,5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2897,8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3427,5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7436,8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1514,2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2897,8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2954,8</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1950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Брюзли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4131,6</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4523,4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3210,9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288,5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660,3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363,7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3380,4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2163,6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288,5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660,3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268</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1143</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25800,2</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27757,4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16099,8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1045,6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4737,7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5874,3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23874,8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13045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942,5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4737,7</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5149,6</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3882,6</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Елпачихинский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Елпачиха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8477,8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8842,8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5125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1692,3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1285,5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8842,8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5125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1692,3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1285,5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Березники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8396,8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8948,2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5744,3</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1736,8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1083,1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7317,95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4353,4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1736,8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843,75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1630,25</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Федорки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6103,1</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6207,9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4257,8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600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505,4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5744,9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3824,6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600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505,4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814,9</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463</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Шермейка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4497,3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4673,2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2439,9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763,5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875,5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594,3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3964,3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1825,2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763,5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875,5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500,1</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708,9</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27475</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28672,1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17567</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2487,5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4810</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3807,6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25869,95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15128,2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2487,5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4810</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3444,25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2802,15</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Бардымский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Барда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31382,3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35982,7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6289,6</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207,1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14361,9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15124,1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35982,7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6289,6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207,1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14361,9</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15124,1</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Всего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108051,9</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119119,7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55010,9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5422,5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31181,7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27504,6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109076,55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46687,3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5319,4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31181,7</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25888,15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10043,2</w:t>
            </w:r>
          </w:p>
        </w:tc>
      </w:tr>
    </w:tbl>
    <w:p w:rsidR="001D3C25" w:rsidRPr="00153E07" w:rsidRDefault="001D3C25" w:rsidP="00D527C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w:t>
      </w:r>
      <w:r w:rsidRPr="00153E07">
        <w:rPr>
          <w:rFonts w:ascii="Times New Roman" w:eastAsia="Times New Roman" w:hAnsi="Times New Roman" w:cs="Times New Roman"/>
          <w:sz w:val="28"/>
          <w:szCs w:val="28"/>
        </w:rPr>
        <w:t xml:space="preserve">анные территориальные системы должны обеспечить необходимую устойчивость </w:t>
      </w:r>
      <w:r>
        <w:rPr>
          <w:rFonts w:ascii="Times New Roman" w:eastAsia="Times New Roman" w:hAnsi="Times New Roman" w:cs="Times New Roman"/>
          <w:sz w:val="28"/>
          <w:szCs w:val="28"/>
        </w:rPr>
        <w:t xml:space="preserve">и бюджетную экономию </w:t>
      </w:r>
      <w:r w:rsidRPr="00153E07">
        <w:rPr>
          <w:rFonts w:ascii="Times New Roman" w:eastAsia="Times New Roman" w:hAnsi="Times New Roman" w:cs="Times New Roman"/>
          <w:sz w:val="28"/>
          <w:szCs w:val="28"/>
        </w:rPr>
        <w:t>целостному каркасу расселения Бардымского района.</w:t>
      </w:r>
    </w:p>
    <w:p w:rsidR="00E21B77" w:rsidRDefault="00E21B77" w:rsidP="00D527CE">
      <w:pPr>
        <w:spacing w:after="0" w:line="240" w:lineRule="auto"/>
        <w:ind w:firstLine="709"/>
        <w:jc w:val="both"/>
        <w:rPr>
          <w:rFonts w:ascii="Times New Roman" w:eastAsia="Times New Roman" w:hAnsi="Times New Roman" w:cs="Times New Roman"/>
          <w:sz w:val="28"/>
          <w:szCs w:val="28"/>
        </w:rPr>
      </w:pPr>
    </w:p>
    <w:p w:rsidR="00E21B77" w:rsidRDefault="00E21B77" w:rsidP="00D527CE">
      <w:pPr>
        <w:spacing w:after="0" w:line="240" w:lineRule="auto"/>
        <w:ind w:firstLine="709"/>
        <w:jc w:val="both"/>
        <w:rPr>
          <w:rFonts w:ascii="Times New Roman" w:eastAsia="Times New Roman" w:hAnsi="Times New Roman" w:cs="Times New Roman"/>
          <w:sz w:val="28"/>
          <w:szCs w:val="28"/>
        </w:rPr>
      </w:pPr>
    </w:p>
    <w:p w:rsidR="001D3C25" w:rsidRPr="00153E07" w:rsidRDefault="001D3C25"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SWOT-анализ социально-экономического развития Бардымского муниципального района представлен в таблице 3.</w:t>
      </w:r>
      <w:r>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w:t>
      </w:r>
    </w:p>
    <w:p w:rsidR="00153E07" w:rsidRPr="00153E07" w:rsidRDefault="001D3C25" w:rsidP="00D527CE">
      <w:pPr>
        <w:spacing w:line="240" w:lineRule="auto"/>
        <w:jc w:val="right"/>
        <w:rPr>
          <w:rFonts w:ascii="Times New Roman" w:hAnsi="Times New Roman" w:cs="Times New Roman"/>
          <w:sz w:val="28"/>
          <w:szCs w:val="28"/>
        </w:rPr>
      </w:pPr>
      <w:r>
        <w:rPr>
          <w:rFonts w:ascii="Times New Roman" w:hAnsi="Times New Roman" w:cs="Times New Roman"/>
          <w:sz w:val="28"/>
          <w:szCs w:val="28"/>
        </w:rPr>
        <w:t>Таблица 3.4</w:t>
      </w:r>
    </w:p>
    <w:p w:rsidR="00153E07" w:rsidRPr="005A7C26" w:rsidRDefault="00153E07" w:rsidP="00D527CE">
      <w:pPr>
        <w:spacing w:line="240" w:lineRule="auto"/>
        <w:jc w:val="center"/>
        <w:rPr>
          <w:rFonts w:ascii="Times New Roman" w:hAnsi="Times New Roman" w:cs="Times New Roman"/>
          <w:b/>
          <w:sz w:val="28"/>
          <w:szCs w:val="28"/>
        </w:rPr>
      </w:pPr>
      <w:r w:rsidRPr="005A7C26">
        <w:rPr>
          <w:rFonts w:ascii="Times New Roman" w:hAnsi="Times New Roman" w:cs="Times New Roman"/>
          <w:b/>
          <w:sz w:val="28"/>
          <w:szCs w:val="28"/>
          <w:lang w:val="en-US"/>
        </w:rPr>
        <w:t>SWOT</w:t>
      </w:r>
      <w:r w:rsidRPr="005A7C26">
        <w:rPr>
          <w:rFonts w:ascii="Times New Roman" w:hAnsi="Times New Roman" w:cs="Times New Roman"/>
          <w:b/>
          <w:sz w:val="28"/>
          <w:szCs w:val="28"/>
        </w:rPr>
        <w:t>-анализ социально-экономического развития Бардымского муниципального района</w:t>
      </w:r>
    </w:p>
    <w:tbl>
      <w:tblPr>
        <w:tblW w:w="5000" w:type="pct"/>
        <w:tblLook w:val="04A0"/>
      </w:tblPr>
      <w:tblGrid>
        <w:gridCol w:w="2646"/>
        <w:gridCol w:w="2888"/>
        <w:gridCol w:w="3278"/>
        <w:gridCol w:w="3290"/>
        <w:gridCol w:w="3250"/>
      </w:tblGrid>
      <w:tr w:rsidR="005A7C26" w:rsidRPr="005A7C26" w:rsidTr="00153E07">
        <w:trPr>
          <w:trHeight w:val="315"/>
        </w:trPr>
        <w:tc>
          <w:tcPr>
            <w:tcW w:w="772" w:type="pct"/>
            <w:tcBorders>
              <w:top w:val="single" w:sz="4" w:space="0" w:color="auto"/>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Аспект</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Сильные стороны</w:t>
            </w:r>
          </w:p>
        </w:tc>
        <w:tc>
          <w:tcPr>
            <w:tcW w:w="1090"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Слабые стороны</w:t>
            </w:r>
          </w:p>
        </w:tc>
        <w:tc>
          <w:tcPr>
            <w:tcW w:w="1094"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Возможности</w:t>
            </w:r>
          </w:p>
        </w:tc>
        <w:tc>
          <w:tcPr>
            <w:tcW w:w="1081"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Угрозы</w:t>
            </w:r>
          </w:p>
        </w:tc>
      </w:tr>
      <w:tr w:rsidR="005A7C26" w:rsidRPr="005A7C26" w:rsidTr="00153E07">
        <w:trPr>
          <w:trHeight w:val="9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Экономико-географическое положение и природные ресурсы</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благоприятные природно-климатические условия, плодородные почвы</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железнодорожных транспортных магистралей на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краевому центру позволяет налаживать экономические и социальные связи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конкурентоспособность товаров собственного производства из-за высоких транспортных затрат;</w:t>
            </w:r>
          </w:p>
        </w:tc>
      </w:tr>
      <w:tr w:rsidR="005A7C26" w:rsidRPr="005A7C26" w:rsidTr="00153E07">
        <w:trPr>
          <w:trHeight w:val="99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наличие лесных, земельных и водных ресурсов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недостаточная протяженность дорог местного значения, труднодоступность части населенных пунктов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перспективы разработки месторождений минерально-сырьевых ресурсов</w:t>
            </w:r>
          </w:p>
        </w:tc>
        <w:tc>
          <w:tcPr>
            <w:tcW w:w="1081" w:type="pct"/>
            <w:tcBorders>
              <w:top w:val="single" w:sz="4" w:space="0" w:color="auto"/>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вымирание сельских поселений</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региональному центру и соседним регионам</w:t>
            </w:r>
          </w:p>
        </w:tc>
        <w:tc>
          <w:tcPr>
            <w:tcW w:w="1090"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w:t>
            </w:r>
            <w:r w:rsidR="005A7C26">
              <w:rPr>
                <w:rFonts w:ascii="Times New Roman" w:eastAsia="Times New Roman" w:hAnsi="Times New Roman" w:cs="Times New Roman"/>
                <w:color w:val="000000"/>
                <w:sz w:val="24"/>
                <w:szCs w:val="28"/>
              </w:rPr>
              <w:t xml:space="preserve">малонаселенность </w:t>
            </w:r>
            <w:r w:rsidRPr="005A7C26">
              <w:rPr>
                <w:rFonts w:ascii="Times New Roman" w:eastAsia="Times New Roman" w:hAnsi="Times New Roman" w:cs="Times New Roman"/>
                <w:color w:val="000000"/>
                <w:sz w:val="24"/>
                <w:szCs w:val="28"/>
              </w:rPr>
              <w:t>сельских поселений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рынков сбыта продукции собственного производства за пределы муниципального района</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автомобильных дорог регионального значения</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транспортного сообщения местного значения</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месторождений минерально-сырьевых ресурсов</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объединение </w:t>
            </w:r>
            <w:r w:rsidR="005A7C26">
              <w:rPr>
                <w:rFonts w:ascii="Times New Roman" w:eastAsia="Times New Roman" w:hAnsi="Times New Roman" w:cs="Times New Roman"/>
                <w:color w:val="000000"/>
                <w:sz w:val="24"/>
                <w:szCs w:val="28"/>
              </w:rPr>
              <w:t xml:space="preserve">малонаселенных </w:t>
            </w:r>
            <w:r w:rsidRPr="005A7C26">
              <w:rPr>
                <w:rFonts w:ascii="Times New Roman" w:eastAsia="Times New Roman" w:hAnsi="Times New Roman" w:cs="Times New Roman"/>
                <w:color w:val="000000"/>
                <w:sz w:val="24"/>
                <w:szCs w:val="28"/>
              </w:rPr>
              <w:t>сельских поселений по принципу кустовой системы расселения</w:t>
            </w:r>
          </w:p>
        </w:tc>
        <w:tc>
          <w:tcPr>
            <w:tcW w:w="1081"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5A7C26">
        <w:trPr>
          <w:trHeight w:val="418"/>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программы помощи по переезду жителей </w:t>
            </w:r>
            <w:r w:rsidR="005A7C26">
              <w:rPr>
                <w:rFonts w:ascii="Times New Roman" w:eastAsia="Times New Roman" w:hAnsi="Times New Roman" w:cs="Times New Roman"/>
                <w:color w:val="000000"/>
                <w:sz w:val="24"/>
                <w:szCs w:val="28"/>
              </w:rPr>
              <w:t xml:space="preserve">малонаселенных </w:t>
            </w:r>
            <w:r w:rsidRPr="005A7C26">
              <w:rPr>
                <w:rFonts w:ascii="Times New Roman" w:eastAsia="Times New Roman" w:hAnsi="Times New Roman" w:cs="Times New Roman"/>
                <w:color w:val="000000"/>
                <w:sz w:val="24"/>
                <w:szCs w:val="28"/>
              </w:rPr>
              <w:t>пунктов в более крупные</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сети придорожного сервиса в районе</w:t>
            </w:r>
          </w:p>
        </w:tc>
        <w:tc>
          <w:tcPr>
            <w:tcW w:w="1081"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left w:val="nil"/>
              <w:bottom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на территории района большого количества рек, природных парков, лесных массивов способствует развитию активного и экстремального туризма</w:t>
            </w:r>
          </w:p>
        </w:tc>
        <w:tc>
          <w:tcPr>
            <w:tcW w:w="1081" w:type="pct"/>
            <w:tcBorders>
              <w:left w:val="nil"/>
              <w:bottom w:val="single" w:sz="4" w:space="0" w:color="auto"/>
              <w:right w:val="single" w:sz="4" w:space="0" w:color="auto"/>
            </w:tcBorders>
            <w:shd w:val="clear" w:color="auto" w:fill="auto"/>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Население, рынок труда и уровень жизни</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малоимущих семей</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численности трудоспособного населения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новых рабочих мест посредством  развития малого бизнеса, реализации инвестиционных проектов, ведения КФХ и ЛПХ;</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демографической ситуации, отток квалифицированных специалистов из района, старение населения, естественная убыль населения</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уровня безработицы</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демографической нагрузки, старение населения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условий для закрепления молодых специалистов в сельской местности;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  производительность труда оказывает влияние в большей степени сокращение численности трудоспособного населения</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динамика роста денежных доходов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миграционный отток населения в связи с отсутствием рабочих мест</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охвата населения медицинскими услугами (диспансеризация), путем организации оборудованных мобильных пунктов медицинского обслуживания</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 сокращение уровня безработицы в большей степени</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оказывает влияние естественная убыль населения</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и в меньшей – количество вновь созданных рабочих мест</w:t>
            </w:r>
          </w:p>
        </w:tc>
      </w:tr>
      <w:tr w:rsidR="005A7C26" w:rsidRPr="005A7C26" w:rsidTr="00570AAF">
        <w:trPr>
          <w:trHeight w:val="1414"/>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покупательной способности заработной платы по отношению к прожиточному минимуму</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заболеваемость населения онкологическими заболеваниями, заболеваниями органов дыхания</w:t>
            </w:r>
          </w:p>
        </w:tc>
        <w:tc>
          <w:tcPr>
            <w:tcW w:w="1094"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привлечение трудовых ресурсов из других населенных пунктов за счет развития транспортного сообщения и небольших расстояний между населенными пунктами.</w:t>
            </w:r>
          </w:p>
        </w:tc>
        <w:tc>
          <w:tcPr>
            <w:tcW w:w="1081"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занятости и рабочих мест ведет к распространению алкоголизма и наркомании, смертности от внешних причин, в частности, к суицидам</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прожиточного минимума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квалифицированных кадров</w:t>
            </w:r>
          </w:p>
        </w:tc>
        <w:tc>
          <w:tcPr>
            <w:tcW w:w="1094"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работы для молодежи</w:t>
            </w:r>
          </w:p>
        </w:tc>
        <w:tc>
          <w:tcPr>
            <w:tcW w:w="1094"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высокий уровень смертности населения от внешних причин</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D527CE">
        <w:trPr>
          <w:trHeight w:val="409"/>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Сельское хозяйство, промышленность, предпринимательство и хозяйственный климат</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территорий для развития сельского хозяйства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почвы, требующие минеральных и органических удобрений, вымывание плодородных почв</w:t>
            </w:r>
          </w:p>
        </w:tc>
        <w:tc>
          <w:tcPr>
            <w:tcW w:w="1094"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кластерного подхода в развитии АПК путем организации ОЭЗ: развитие сельского хозяйства, создание собственных перерабатывающих предприятий, предприятий по производству удобрений, развитие малого бизнеса и КФХ способствует расширению рынка сбыта, сокращению затрат за счет близости сопутствующих производственных и перерабатывающих предприятий, увеличению доходов бюджета всех уровней.</w:t>
            </w:r>
          </w:p>
        </w:tc>
        <w:tc>
          <w:tcPr>
            <w:tcW w:w="1081"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зависимость сельскохозяйственного производства от природных факторов.</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-благоприятные природно-климатические условия;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неблагоприятные природные условия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задействование в сельском хозяйстве неиспользуемых сельскохозяйственных земель</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рентабельности производства сельскохозяйственной продукции;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стимулирующих программ развития, реализация приоритетного национального проекта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Развитие АПК</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физический и моральный износ основных фондов, инженерных коммуникаций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перерабатывающих производств и хранилищ сельскохозяйственной продукции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дотаций и иных межбюджетных трансфертов из бюджетов верхних уровней;</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малого предпринимательства, КФХ и ЛПХ;</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инвесторов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стимулирование развития малых форм хозяйствования путем предоставления налоговых льгот, грантов и внедрения аутсорсинга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усиление диспаритета цен на сельскохозяйственную продукцию способствует банкротству многих предприятий.</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обеспечение жильем и льготами молодых специалистов на селе</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сезонность</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производства сельскохозяйственной продукции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снижение диспаритета цен на сельскохозяйственную продукцию путем интеграции сельскохозяйственных предприятий и перерабатывающей промышленности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инерционное поведение населения района по отношению к предпринимательству</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конкурентоспособная продукция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промышленных, перерабатывающих производств и хранилищ сельскохозяйственной продукции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производительности труда за счет развития отраслей и увеличения объемов производства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инвестиционная привлекательность района</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хороших селекционных посадочных материалов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существенный диспаритет цен на продукцию КФХ и ЛПХ</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селекционной индустрии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темпов инфляции  приведет к увеличению финансовых и производственных рисков для бизнеса</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потенциально резервных месторождений красных глин, известкового туфа, торфа, ПГС, строительного песка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низкий уровень внедрения передовых технологий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модернизация инженерных коммуникаций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научно-технического прогресса повлечет за собой низкую конкурентоспособность, отставание от масштабов бизнеса</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свободных производственных объектов и площадей для организации производств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необходимых мощностей и коммуникаций в районе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кирпичного завода, производств строительных материалов, облицовочного камня, минеральных удобрений, гончарной продукции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цен на энергоносители увеличит себестоимость производимой продукции</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налоговых льгот</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проработанных туристических продуктов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ориентир экономики района на развитие малых форм хозяйствования в целях развития как существующих, так и открытия новых производств;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ресурсы, закрепленные за Бардымским районом, используются соседними районами и пополняют их бюджет </w:t>
            </w:r>
          </w:p>
        </w:tc>
      </w:tr>
      <w:tr w:rsidR="005A7C26" w:rsidRPr="005A7C26" w:rsidTr="00153E07">
        <w:trPr>
          <w:trHeight w:val="24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музеев, санатория-профилактория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Колос</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 xml:space="preserve">, горнолыжного комплекса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Ашатли</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 туристических объектов показа</w:t>
            </w:r>
          </w:p>
        </w:tc>
        <w:tc>
          <w:tcPr>
            <w:tcW w:w="1090"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уровень самостоятельности распоряжения природными богатствами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приоритетные направления государственной политики социально-экономического развития способствуют развитию внутреннего и въездного туризма, агропромышленного комплекса, малого предпринимательства</w:t>
            </w:r>
          </w:p>
        </w:tc>
        <w:tc>
          <w:tcPr>
            <w:tcW w:w="1081" w:type="pct"/>
            <w:vMerge w:val="restart"/>
            <w:tcBorders>
              <w:top w:val="nil"/>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политика импортозамещения на государственном уровне</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выход на внешние рынки с продукцией собственного производства</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приверженность национальным традициям</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использование свободных производственных объектов и площадей для создания производственных предприятий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передача на аутсорсинг непрофилирующих в учреждениях услуг</w:t>
            </w:r>
          </w:p>
          <w:p w:rsidR="00153E07" w:rsidRPr="005A7C26" w:rsidRDefault="00153E07" w:rsidP="00D527CE">
            <w:pPr>
              <w:spacing w:after="0" w:line="240" w:lineRule="auto"/>
              <w:ind w:firstLineChars="200" w:firstLine="480"/>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инвесторов за счет введения инвестиционных льгот по налогу на прибыль организаций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налоговых льгот способствует росту числа предпринимателей и, как следствие, увеличению количества рабочих мест.</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использование сырья, производимого на предприятиях района позволит снизить себестоимость производства и увеличить рентабельность продукции</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13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привлечение на территорию района большого количества туристов в оздоровительных, культурно-познавательных целях даст возможность увеличить налоговые доходы бюджета.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химии органического синтеза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проведение национальных праздников, приглашение на мероприятия гостей из Татарстана и Башкортостана позволит привлечь финансовые ресурсы в бюджет муниципального района</w:t>
            </w: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Финансы и инвестиции</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федеральных и краевых целевых программ развития</w:t>
            </w:r>
          </w:p>
        </w:tc>
        <w:tc>
          <w:tcPr>
            <w:tcW w:w="1090"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ликвидность и финансовая неустойчивость предприятий района, высокая доля заемных средств, отрицательный финансовый результат</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рост финансовых возможностей и финансовой самостоятельности предприятий;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финансового состояния предприятий района способствует сокращению инвестиционной активности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региональному центру, транзитное транспортное расположение района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инвестиций в основной капитал</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собственных доходов бюджета района;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собственных доходов в бюджете и увеличение межбюджетных трансфертов</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экономических связей субъектов предпринимательства с другими районами</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диверсификации отраслей народного хозяйства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инвестиций за счет существующих предпринимателей в АПК</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доли заемных средств ведет к нерациональному использованию финансовых ресурсов и высокой вероятности банкротства предприятий района</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высокая доля собственных доходов в бюджетах сельских поселений</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необходимость обновления основных фондов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диверсификации отраслей экономики района за счет привлечения инвестиций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слабое развитие социальной инфраструктуры сдерживает инвестирование и создание рабочих мест</w:t>
            </w:r>
          </w:p>
        </w:tc>
      </w:tr>
      <w:tr w:rsidR="005A7C26" w:rsidRPr="005A7C26" w:rsidTr="00F553E8">
        <w:trPr>
          <w:trHeight w:val="97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самообложение граждан</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высококвалифицированных кадров в отраслях</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активизация участия района в федеральных и региональных программах;</w:t>
            </w:r>
          </w:p>
        </w:tc>
        <w:tc>
          <w:tcPr>
            <w:tcW w:w="1081"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дифференцированного бизнес-портфеля отраслей </w:t>
            </w:r>
            <w:r w:rsidRPr="005A7C26">
              <w:rPr>
                <w:rFonts w:ascii="Times New Roman" w:eastAsia="Times New Roman" w:hAnsi="Times New Roman" w:cs="Times New Roman"/>
                <w:color w:val="000000"/>
                <w:sz w:val="24"/>
                <w:szCs w:val="28"/>
              </w:rPr>
              <w:lastRenderedPageBreak/>
              <w:t>народного хозяйства в районе ведет к невозможности формирования финансового резерва для покрытия убытков</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базы для создания агропромышленного кластера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информации для инвесторов о Бардымском районе как потенциальной инвестиционной площадке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активизация инвестиционной деятельности в результате улучшения инвестиционного климата.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неразвитость системы банковского и коммерческого кредитования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инвестиционных и финансовых рисков посредством активного использования экономико-географического расположения района и природных ресурсов</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57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высокая стоимость кредитных ресурсов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информационного ресурса о районе и его потенциале с целью его развития.</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крупных проектов</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слабое развитие социальной инфраструктуры</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F553E8" w:rsidRDefault="00153E07" w:rsidP="00D527CE">
            <w:pPr>
              <w:spacing w:after="0" w:line="240" w:lineRule="auto"/>
              <w:jc w:val="both"/>
              <w:rPr>
                <w:rFonts w:ascii="Times New Roman" w:eastAsia="Times New Roman" w:hAnsi="Times New Roman" w:cs="Times New Roman"/>
                <w:b/>
                <w:color w:val="000000"/>
                <w:sz w:val="24"/>
                <w:szCs w:val="28"/>
              </w:rPr>
            </w:pPr>
            <w:r w:rsidRPr="00F553E8">
              <w:rPr>
                <w:rFonts w:ascii="Times New Roman" w:eastAsia="Times New Roman" w:hAnsi="Times New Roman" w:cs="Times New Roman"/>
                <w:b/>
                <w:color w:val="000000"/>
                <w:sz w:val="24"/>
                <w:szCs w:val="28"/>
              </w:rPr>
              <w:t>Социальная сфера</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хороший уровень финансирования образования в рамках реализации приоритетного национального проекта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Образование</w:t>
            </w:r>
            <w:r w:rsidR="00DE2D0E">
              <w:rPr>
                <w:rFonts w:ascii="Times New Roman" w:eastAsia="Times New Roman" w:hAnsi="Times New Roman" w:cs="Times New Roman"/>
                <w:color w:val="000000"/>
                <w:sz w:val="24"/>
                <w:szCs w:val="28"/>
              </w:rPr>
              <w:t>»</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DE2D0E" w:rsidP="00D527CE">
            <w:pPr>
              <w:spacing w:after="0" w:line="240" w:lineRule="auto"/>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r w:rsidR="00153E07" w:rsidRPr="005A7C26">
              <w:rPr>
                <w:rFonts w:ascii="Times New Roman" w:eastAsia="Times New Roman" w:hAnsi="Times New Roman" w:cs="Times New Roman"/>
                <w:color w:val="000000"/>
                <w:sz w:val="24"/>
                <w:szCs w:val="28"/>
              </w:rPr>
              <w:t>Старение</w:t>
            </w:r>
            <w:r>
              <w:rPr>
                <w:rFonts w:ascii="Times New Roman" w:eastAsia="Times New Roman" w:hAnsi="Times New Roman" w:cs="Times New Roman"/>
                <w:color w:val="000000"/>
                <w:sz w:val="24"/>
                <w:szCs w:val="28"/>
              </w:rPr>
              <w:t>»</w:t>
            </w:r>
            <w:r w:rsidR="00153E07" w:rsidRPr="005A7C26">
              <w:rPr>
                <w:rFonts w:ascii="Times New Roman" w:eastAsia="Times New Roman" w:hAnsi="Times New Roman" w:cs="Times New Roman"/>
                <w:color w:val="000000"/>
                <w:sz w:val="24"/>
                <w:szCs w:val="28"/>
              </w:rPr>
              <w:t xml:space="preserve"> медицинских кадров </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эстетического образования детей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недостаточное количество детских садов в противовес избытку мест в имеющихся детских садах</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-наличие системы социальной поддержки учащихся (летний лагерь, питание и т.д.)</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недостаточный и устаревший библиотечный фонд, низкая скорость обновления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спонсорских средств для обновления библиотечных фондов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ветхого и аварийного жилья</w:t>
            </w:r>
          </w:p>
        </w:tc>
      </w:tr>
      <w:tr w:rsidR="005A7C26" w:rsidRPr="005A7C26" w:rsidTr="004E2E6F">
        <w:trPr>
          <w:trHeight w:val="1127"/>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этническая направленность культурно-массовых мероприятий и творческих коллективов района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газификации и необходимых коммуникаций на части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традиционных народных промыслов в районе (декоративное творчество с уклоном на этнические традиции, гончарное ремесло)</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бюджетных средств для исполнения социальных обязательств</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обеспеченность местами в детских садах</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телефонной связи и интернета на части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ввод нового жилья </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коммуникаций в районе приводит к оттоку населения</w:t>
            </w:r>
          </w:p>
        </w:tc>
      </w:tr>
      <w:tr w:rsidR="005A7C26" w:rsidRPr="005A7C26" w:rsidTr="00153E07">
        <w:trPr>
          <w:trHeight w:val="557"/>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объектов культурно-досугового типа, активное функционирование.</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культурно-досуговых учреждений, культурно-массовых мероприятий и их пропаганды в районе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спортивных объектов</w:t>
            </w:r>
          </w:p>
        </w:tc>
        <w:tc>
          <w:tcPr>
            <w:tcW w:w="1081"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возможностей для самореализации молодежи</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развитой системы здравоохранения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районного методического центра в сфере культуры и спорта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количества преступлений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осуществление диспансеризации сельского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недостаточное количество спортивных комплексов и объектов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совершенствование системы образования, здравоохранения и социальной защиты населения</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-осуществление диспансеризации и вакцинации сельского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кадров в образовании и здравоохранении</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методического центра в сфере культуры и спорта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большого числа семей, нуждающихся в жилье</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малый охват населения диспансеризацией</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детских садов в части сельских поселений</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всплески преступности</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F553E8" w:rsidRDefault="00153E07" w:rsidP="00D527CE">
            <w:pPr>
              <w:spacing w:after="0" w:line="240" w:lineRule="auto"/>
              <w:jc w:val="both"/>
              <w:rPr>
                <w:rFonts w:ascii="Times New Roman" w:eastAsia="Times New Roman" w:hAnsi="Times New Roman" w:cs="Times New Roman"/>
                <w:b/>
                <w:color w:val="000000"/>
                <w:sz w:val="24"/>
                <w:szCs w:val="28"/>
              </w:rPr>
            </w:pPr>
            <w:r w:rsidRPr="00F553E8">
              <w:rPr>
                <w:rFonts w:ascii="Times New Roman" w:eastAsia="Times New Roman" w:hAnsi="Times New Roman" w:cs="Times New Roman"/>
                <w:b/>
                <w:color w:val="000000"/>
                <w:sz w:val="24"/>
                <w:szCs w:val="28"/>
              </w:rPr>
              <w:t>Экологическая обстановка</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большое количество лесных массивов и водных объектов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на территории района сибиреязвенных скотомогильников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финансирования мероприятий по охране окружающей среды</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объема грузоперевозок увеличит объем выбросов вредных веществ в атмосферу</w:t>
            </w:r>
          </w:p>
        </w:tc>
      </w:tr>
      <w:tr w:rsidR="005A7C26" w:rsidRPr="005A7C26" w:rsidTr="00153E07">
        <w:trPr>
          <w:trHeight w:val="711"/>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обеспеченность питьевой водой из подземных источников.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негативное влияние на окружающую среду нефтегазодобывающей промышленности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размещение в районе экологически безопасных производств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экологической обстановки в связи с выбросами от нефтегазодобывающей промышленности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благоприятная экологическая обстановка</w:t>
            </w:r>
          </w:p>
        </w:tc>
        <w:tc>
          <w:tcPr>
            <w:tcW w:w="1090" w:type="pct"/>
            <w:tcBorders>
              <w:top w:val="nil"/>
              <w:left w:val="nil"/>
              <w:bottom w:val="single" w:sz="4" w:space="0" w:color="auto"/>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 районе очистных сооружений, предприятий по переработке ТБО</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рациональное использование природных ресурсов.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очистных сооружений приведет к увеличению уровня воздействия на окружающую среду при создании новых предприятий</w:t>
            </w:r>
          </w:p>
        </w:tc>
      </w:tr>
      <w:tr w:rsidR="005A7C26" w:rsidRPr="005A7C26" w:rsidTr="00153E07">
        <w:trPr>
          <w:trHeight w:val="69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малое количество предприятий, осуществляющих выбросы вредных веществ в атмосферу</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неосвоенные месторождения полезных ископаемых</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проведение мероприятий по экологическому ликбезу</w:t>
            </w:r>
          </w:p>
        </w:tc>
        <w:tc>
          <w:tcPr>
            <w:tcW w:w="1081" w:type="pct"/>
            <w:tcBorders>
              <w:top w:val="nil"/>
              <w:left w:val="nil"/>
              <w:bottom w:val="single" w:sz="4" w:space="0" w:color="auto"/>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вымывание плодородных почв водой</w:t>
            </w:r>
          </w:p>
        </w:tc>
      </w:tr>
      <w:tr w:rsidR="005A7C26" w:rsidRPr="005A7C26" w:rsidTr="00153E07">
        <w:trPr>
          <w:trHeight w:val="1098"/>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экологическая неграмотность населения</w:t>
            </w:r>
          </w:p>
        </w:tc>
        <w:tc>
          <w:tcPr>
            <w:tcW w:w="1094"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val="restart"/>
            <w:tcBorders>
              <w:top w:val="nil"/>
              <w:left w:val="nil"/>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неграмотность населения в вопросах экологии ведет к увеличению числа заболеваний и смертности </w:t>
            </w: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эрозия почвы</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r>
    </w:tbl>
    <w:p w:rsidR="00153E07" w:rsidRDefault="00153E07" w:rsidP="00153E07">
      <w:pPr>
        <w:jc w:val="both"/>
        <w:rPr>
          <w:rFonts w:ascii="Times New Roman" w:hAnsi="Times New Roman" w:cs="Times New Roman"/>
          <w:sz w:val="24"/>
          <w:szCs w:val="28"/>
        </w:rPr>
      </w:pPr>
    </w:p>
    <w:p w:rsidR="001D3C25" w:rsidRDefault="001D3C25">
      <w:pPr>
        <w:rPr>
          <w:rFonts w:ascii="Times New Roman" w:eastAsiaTheme="majorEastAsia" w:hAnsi="Times New Roman" w:cs="Times New Roman"/>
          <w:b/>
          <w:bCs/>
          <w:sz w:val="28"/>
          <w:szCs w:val="28"/>
        </w:rPr>
      </w:pPr>
      <w:r>
        <w:br w:type="page"/>
      </w:r>
    </w:p>
    <w:p w:rsidR="00F553E8" w:rsidRDefault="00F553E8" w:rsidP="00153E07">
      <w:pPr>
        <w:pStyle w:val="1"/>
        <w:numPr>
          <w:ilvl w:val="1"/>
          <w:numId w:val="7"/>
        </w:numPr>
        <w:sectPr w:rsidR="00F553E8" w:rsidSect="00F553E8">
          <w:footerReference w:type="default" r:id="rId95"/>
          <w:pgSz w:w="16838" w:h="11906" w:orient="landscape"/>
          <w:pgMar w:top="567" w:right="851" w:bottom="1418" w:left="851" w:header="709" w:footer="709" w:gutter="0"/>
          <w:cols w:space="708"/>
          <w:docGrid w:linePitch="360"/>
        </w:sectPr>
      </w:pPr>
    </w:p>
    <w:p w:rsidR="00153E07" w:rsidRDefault="00153E07" w:rsidP="00D527CE">
      <w:pPr>
        <w:pStyle w:val="1"/>
        <w:numPr>
          <w:ilvl w:val="1"/>
          <w:numId w:val="7"/>
        </w:numPr>
        <w:spacing w:line="240" w:lineRule="auto"/>
      </w:pPr>
      <w:r w:rsidRPr="00153E07">
        <w:lastRenderedPageBreak/>
        <w:t>Предложения по развитию Бардымского муниципального района, как конкурентоспособного муниципального образования Пермского края</w:t>
      </w:r>
    </w:p>
    <w:p w:rsidR="004E2E6F" w:rsidRPr="004E2E6F" w:rsidRDefault="004E2E6F" w:rsidP="00D527CE">
      <w:pPr>
        <w:spacing w:line="240" w:lineRule="auto"/>
      </w:pPr>
    </w:p>
    <w:p w:rsidR="00153E07" w:rsidRPr="00153E07" w:rsidRDefault="00153E07" w:rsidP="00D527CE">
      <w:pPr>
        <w:pStyle w:val="1"/>
        <w:numPr>
          <w:ilvl w:val="2"/>
          <w:numId w:val="7"/>
        </w:numPr>
        <w:spacing w:line="240" w:lineRule="auto"/>
      </w:pPr>
      <w:r w:rsidRPr="00153E07">
        <w:t>Миссия Бардымского муниципального района</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Миссия Бардымского муниципального района: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Бардымский район – территория с богатым историко-культурным, национальным и духовным наследием, обладающая ресурсным потенциалом для дальнейшего социально-экономического развития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vertAlign w:val="superscript"/>
        </w:rPr>
        <w:footnoteReference w:id="10"/>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формулировке миссии учтены географическое положение, природные особенности, исторически сложившаяся ситуация, потенциальные возможности Бардымского муниципального района и стремления его жителей.</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Образ желаемого будущего может характеризоваться следующими тезисами: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экологически чистая, красивая и обихоженная природа (реки, леса, горы и т.п.);</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район с сохраненными и развивающимися национальными, духовными традициями и обычаями;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непрерывно развивающаяся конкурентоспособная промышленность, предпринимательство и сельское хозяйство;</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низкий уровень безработицы и преступности;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стабильный высокий уровень качества жизни и благосостояния населения района.</w:t>
      </w:r>
    </w:p>
    <w:p w:rsidR="00153E07" w:rsidRPr="00153E07" w:rsidRDefault="00153E07" w:rsidP="00D527CE">
      <w:pPr>
        <w:pStyle w:val="af1"/>
        <w:spacing w:after="0" w:line="240" w:lineRule="auto"/>
        <w:ind w:left="1134"/>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t>Приоритетные направления социально-экономического развития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Комплексное развитие экономической и социальной сфер муниципальных образований, решение сложных социально-экономических проблем, постепенное устранение негативных явлений является одной из задач территориального маркетинга.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Улучшение качества жизни населения выступает самым главным результатом применения маркетинга территорий, в процессе которого рождаются кардинально новые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стандарты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территориального функционирования.</w:t>
      </w:r>
    </w:p>
    <w:p w:rsidR="00153E07" w:rsidRPr="00E21B7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t xml:space="preserve">Определяя приоритетные направления социально-экономического развития Бардымского муниципального района, обеспечивающие конкурентоспособность района, основополагающим выступает </w:t>
      </w:r>
      <w:r w:rsidRPr="00E21B77">
        <w:rPr>
          <w:rFonts w:ascii="Times New Roman" w:eastAsia="Times New Roman" w:hAnsi="Times New Roman" w:cs="Times New Roman"/>
          <w:b/>
          <w:sz w:val="28"/>
          <w:szCs w:val="28"/>
        </w:rPr>
        <w:t>социально-демографическое развитие территории.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Развитие социальной сферы, </w:t>
      </w:r>
      <w:r w:rsidRPr="00E21B77">
        <w:rPr>
          <w:rFonts w:ascii="Times New Roman" w:eastAsia="Times New Roman" w:hAnsi="Times New Roman" w:cs="Times New Roman"/>
          <w:b/>
          <w:sz w:val="28"/>
          <w:szCs w:val="28"/>
        </w:rPr>
        <w:t>поддержание и улучшение демографической ситуации</w:t>
      </w:r>
      <w:r w:rsidRPr="00153E07">
        <w:rPr>
          <w:rFonts w:ascii="Times New Roman" w:eastAsia="Times New Roman" w:hAnsi="Times New Roman" w:cs="Times New Roman"/>
          <w:sz w:val="28"/>
          <w:szCs w:val="28"/>
        </w:rPr>
        <w:t xml:space="preserve"> находится в прямой корреляционной зависимости от уровня экономического развития территории, которое было определено как второе приоритетное направление развития Бардымского муниципального района.</w:t>
      </w:r>
    </w:p>
    <w:p w:rsidR="00153E07" w:rsidRPr="00E21B7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lastRenderedPageBreak/>
        <w:t xml:space="preserve">Третьим приоритетным направлением в социально-экономическом развитии Бардымского муниципального района выступает </w:t>
      </w:r>
      <w:r w:rsidRPr="00E21B77">
        <w:rPr>
          <w:rFonts w:ascii="Times New Roman" w:eastAsia="Times New Roman" w:hAnsi="Times New Roman" w:cs="Times New Roman"/>
          <w:b/>
          <w:sz w:val="28"/>
          <w:szCs w:val="28"/>
        </w:rPr>
        <w:t>контроль и улучшение экологической ситуации.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все эти направления имеют тесную взаимосвязь и требуют одновременного решения задач, связанных с их развитием.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486400" cy="3200400"/>
            <wp:effectExtent l="0" t="0" r="0" b="0"/>
            <wp:docPr id="2207"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153E07" w:rsidRPr="00D53C12" w:rsidRDefault="00153E07" w:rsidP="00D527CE">
      <w:p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3.1. Приоритетные направления социально-экономического развития Бардымского муниципального района</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Социально - демографическое развитие</w:t>
      </w:r>
      <w:r w:rsidR="00530383">
        <w:rPr>
          <w:rFonts w:ascii="Times New Roman" w:eastAsia="Times New Roman" w:hAnsi="Times New Roman" w:cs="Times New Roman"/>
          <w:b/>
          <w:sz w:val="28"/>
          <w:szCs w:val="28"/>
        </w:rPr>
        <w:t xml:space="preserve"> </w:t>
      </w:r>
      <w:r w:rsidRPr="00153E07">
        <w:rPr>
          <w:rFonts w:ascii="Times New Roman" w:eastAsia="Times New Roman" w:hAnsi="Times New Roman" w:cs="Times New Roman"/>
          <w:sz w:val="28"/>
          <w:szCs w:val="28"/>
        </w:rPr>
        <w:t>является наиболее важным фактором развития территорий, поскольку наличие и качество человеческого потенциала является главным элементом, обеспечивающим развитие производительных сил.</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данном направлении наиболее важно увеличивать численность населения района, делая упор на росте населения трудоспособного возраста и молодежи. С этой целью необходимо стимулировать естественный прирост населения путем продвижения программ по обеспечению жильем малоимущих семей, улучшать качество предоставления услуг здравоохранения, предоставлять молодёжи возможность для самореализации и саморазвития в районе путем проведения молодежных форум и программ, нацеленных на развитие индивидуального предпринимательства, увеличение доходов населения путем стимулирования создания новых рабочих мест.</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Прирост численности населения Бардымского муниципального района также возможно достичь путем миграционного притока, для чего необходимо формирование имиджа района как престижного и перспективного места для жизни и деятельности. </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улучшения социальной ситуации в районе, и создания безопасных условий жизнедеятельности необходимо проведение программ по пропаганде </w:t>
      </w:r>
      <w:r w:rsidRPr="00153E07">
        <w:rPr>
          <w:rFonts w:ascii="Times New Roman" w:eastAsia="Times New Roman" w:hAnsi="Times New Roman" w:cs="Times New Roman"/>
          <w:sz w:val="28"/>
          <w:szCs w:val="28"/>
        </w:rPr>
        <w:lastRenderedPageBreak/>
        <w:t>здорового образа жизни, проведение мероприятий, направленных на обучение основам жизнедеятельности, увеличению количества спортивных объектов.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Исследования показали, что вредные привычки негативно влияют на здоровье людей, а также могут служить причиной девиантного поведения граждан, особенно при отсутствии правильной мотивации и постоянного места работы. В связи с этим необходимо усилить борьбу с преступностью, ужесточить контроль распития спиртных напитков в общественных местах, совершенствовать программы пропаганды спорта и здорового образа жизни.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Непринятие себя, как части общества, нежелание и отсутствие возможностей для освоения и изучения культурного наследия могут повлечь за собой негативные последствия развития асоциализации населения района. В связи с этим становится актуальным сохранение культурных ценностей Бардымского муниципального района, а также улучшение условий доступа различных групп населения к культуре и искусству. Таким образом, необходимо сохранение и популяризация национального языка, проведение традиционных праздников и фестивалей, в том числе поддержка и поощрение творческой активности молодежи.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Формирование и улучшение имиджа территории сопровождается ощущением уверенности, стабильности, безопасности, гарантиями защиты здоровья, жизни, собственного имущества и своих прав. Также целесообразно наличие льгот для социально незащищенных категорий граждан, нуждающихся в государственной поддержке.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основными показателями, характеризующими социально-демографическое развитие Бардымского муниципального района, являются: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естественный прирост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смертности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качества предоставляемых медицинских услуг и наиболее полный охват населения профилактическими мероприятиями;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рабочих мест;</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миграционный приток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преступности;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внедрение новых образовательных программ с целью развития интереса к предпринимательству у молодежи;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пропаганда здорового образа жизни,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проведение культурных и спортивных мероприятий в муниципальном районе с целью развития нравственных качеств населения.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для улучшения качества жизни населения района необходимы условия для развития человеческого потенциала. Под человеческим потенциалом в данном случае понимаются качества людей, которые влияют на результаты активности, в которую они вовлечены.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Экономическое развитие</w:t>
      </w:r>
      <w:r w:rsidRPr="00153E07">
        <w:rPr>
          <w:rFonts w:ascii="Times New Roman" w:eastAsia="Times New Roman" w:hAnsi="Times New Roman" w:cs="Times New Roman"/>
          <w:sz w:val="28"/>
          <w:szCs w:val="28"/>
        </w:rPr>
        <w:t xml:space="preserve"> подразумевает формирование имиджа Бардымского муниципального района как конкурентоспособной территории, привлекательной инвестиционной площадки.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Благодаря сельскохозяйственной специализации района приоритетным направлением является развитие агропромышленного комплекса путем кластерного подхода, т.е. создания особой экономической зоны. Учитывая наличие земель, социальной и транспортной инфраструктуры возможно приобретение Бардымским муниципальным образованием статуса особой экономической зоны.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Данное объединение может включать в себя не только производство продукции растениеводства и животноводства, но и создание предприятий по переработке сельскохозяйственной продукции и ее хранению, что сократит влияние сезонности на отрасль.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продуктивного экономического развития района необходимо привлекать инвестиции в основной капитал. Стимулирующими факторами, оказывающими влияние на приток инвестиции, выступает создание инвестиционной площадки, отражающей в режиме </w:t>
      </w:r>
      <w:r w:rsidRPr="00153E07">
        <w:rPr>
          <w:rFonts w:ascii="Times New Roman" w:eastAsia="Times New Roman" w:hAnsi="Times New Roman" w:cs="Times New Roman"/>
          <w:sz w:val="28"/>
          <w:szCs w:val="28"/>
          <w:lang w:val="en-US"/>
        </w:rPr>
        <w:t>on</w:t>
      </w:r>
      <w:r w:rsidRPr="00153E07">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lang w:val="en-US"/>
        </w:rPr>
        <w:t>line</w:t>
      </w:r>
      <w:r w:rsidRPr="00153E07">
        <w:rPr>
          <w:rFonts w:ascii="Times New Roman" w:eastAsia="Times New Roman" w:hAnsi="Times New Roman" w:cs="Times New Roman"/>
          <w:sz w:val="28"/>
          <w:szCs w:val="28"/>
        </w:rPr>
        <w:t xml:space="preserve"> потребности бизнеса в использовании дополнительных финансовых ресурсов.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формирования финансового резерва, пополнения доходной части бюджета, а также обеспечения расходов бюджета Бардымскому муниципальному району необходимо развитие компенсирующих отраслей народного хозяйства. Ими могут стать разработка месторождений минеральных ресурсов и создание производств по их переработке.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Важным приоритетным направлением развития Бардымского района выступает</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строительство кирпичного завода. Предпосылками создания данного проекта служат месторождения красных глин в районе, которые пригодны для изготовления полнотелого кирпича. Красная глина может использоваться не только в производстве кирпича, но и в гончарном производстве. Ремесленные изделия, создание керамической посуды могут служить предпосылками для развития туристического направления. Развитие туристической отрасли в районе позволит увеличить поток туристов, увеличить доходы бюджета Бардымского района и создать дополнительные рабочие места.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Важно отметить наличие месторождений строительного песка. На данный момент в районе используется намывной песок из русла рек, однако, при разработке месторождения строительного песка, существует возможность развития данной отрасли.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Шермейское, Новоашапское и Елпачихинское сельские поселения согласно программам социально-экономического развития, богаты месторождением травертина. Известковый туф широко используется в производстве облицовочных материалов.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Помимо строительной сферы известняк также используется в удобрении почв, создании скульптур.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в Бардымском районе возможна организация производства и системы сбыта строительных материалов и удобрений, как в близлежащие районы, так и за пределы региона в целом. Учитывая интенсивное жилищное строительство в Бардымском муниципальном районе, строительная продукция </w:t>
      </w:r>
      <w:r w:rsidRPr="00153E07">
        <w:rPr>
          <w:rFonts w:ascii="Times New Roman" w:eastAsia="Times New Roman" w:hAnsi="Times New Roman" w:cs="Times New Roman"/>
          <w:sz w:val="28"/>
          <w:szCs w:val="28"/>
        </w:rPr>
        <w:lastRenderedPageBreak/>
        <w:t>собственного производства позволит сократить затраты на строительство, а также реализовать приоритетную для России политику импортозамещения.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Близость района к региональному центру и соседним регионам позволяет развивать торговые связи путем выведения на торговую площадку строительных материалов, в том числе кирпича, сельскохозяйственную продукцию, туристский продукт.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приоритетной отраслью, развиваемой в настоящее время в России, является внутренний и въездной туризм. Учитывая этнический состав населения Бардымского муниципального района, а также приверженность национальным традициям села целесообразна разработка программ этнографического, культурно-познавательного и гастрономического туризма.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в муниципальном районе большого количества водоемов, лесов, уникальных природных ландшафтов, горнолыжных комплексов позволяет развивать активный, экстремальный, спортивный туризм.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Благодаря реализации вышеуказанных проектов экономического развития Бардымский муниципальный район сможет повысить уровень самообеспеченности населения, эффективно реализовать бюджетную</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политику, достигнуть социального комфорта и сформировать привлекательный инвестиционный имидж своей территории.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Размещение производительных сил на территории Бардымского муниципального района окажет влияние на экологическую ситуацию, поэтому следующим приоритетным направлением социально-экономического развития является контроль и улучшение экологической ситуации.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месторождений нефти и торфа, а также вырубка леса на территории района несут в себе высокую экологическую нагрузку. Именно поэтому одним из приоритетных направлений развития района является сохранение и восстановление лесного фонда дляподдержания благоприятной экологической обстановки.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Мероприятиями контроля и улучшения экологической ситуации района являются сохранение и восстановление лесного фонда района, строительство очистных сооружений и предприятий по переработке твердых бытовых отходов, контроль сибиреязвенных скотомогильников, внедрение новейших технологий по улавливанию выбросов в атмосферу от передвижных и стационарных источников, проведение мероприятий по информированию населения района об основах безопасности жизнедеятельности.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обладает рядом преимуществ, что позволяет планировать дальнейшее развитие местности. Упор на разработку и внедрение территориального маркетинга в комплексе является одним из факторов роста конкурентоспособности муниципальных образований.</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А правильное использование потенциала муниципального района позволяет формировать возможности его дальнейшего развития.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lastRenderedPageBreak/>
        <w:t>Система стратегических целей по приоритетным направлениям социально-экономического развития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D53C12">
        <w:rPr>
          <w:rFonts w:ascii="Times New Roman" w:eastAsia="Times New Roman" w:hAnsi="Times New Roman" w:cs="Times New Roman"/>
          <w:b/>
          <w:sz w:val="28"/>
          <w:szCs w:val="28"/>
        </w:rPr>
        <w:t>Система стратегических целей</w:t>
      </w:r>
      <w:r w:rsidRPr="00153E07">
        <w:rPr>
          <w:rFonts w:ascii="Times New Roman" w:eastAsia="Times New Roman" w:hAnsi="Times New Roman" w:cs="Times New Roman"/>
          <w:sz w:val="28"/>
          <w:szCs w:val="28"/>
        </w:rPr>
        <w:t xml:space="preserve"> по приоритетным направлениям социально-экономического развития включает в себя:</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Повышение качества жизни и создание благоприятных условий для населения;</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Повышение инвестиционной привлекательности Бардымского муниципального района;</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Сохранение и развитие культурно-исторического, национального и духовного потенциала.</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Глобальной стратегической целью социально-экономического развития, которая также отражена в качестве приоритетной в главном законе нашего государства – Конституции Российской Федерации – является повышение качества жизни и создание благоприятных условий для жизни и деятельности населения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Условием для создания благоприятных условий для населения выступает достаточный объем бюджетных средств муниципального района, что должно быть обеспечено благодаря экономическому развитию района, повышению инвестиционной привлекательности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Особенностью Бардымского муниципального района является его самобытность. Район обладает богатым историческим прошлым, имеет духовное и национальное наследие, поэтому одной из приоритетных целей развития района является сохранение и развитие культурно-исторического, национального и духовного потенциала.</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Стратегические цели формируют основные стратегические задачи.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Промышленность:</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поддержка развития существующих предприятий (экономическая, информационная, инвестиционная);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условий для размещения и развития новых промышленных предприятий, обновление технологий на существующих предприятиях;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участие в подготовке квалифицированных кадров и образовательных программах для промышленности. </w:t>
      </w:r>
    </w:p>
    <w:p w:rsidR="00D53C12" w:rsidRDefault="00D53C12" w:rsidP="00D527CE">
      <w:pPr>
        <w:tabs>
          <w:tab w:val="left" w:pos="2177"/>
        </w:tabs>
        <w:spacing w:after="0" w:line="240" w:lineRule="auto"/>
        <w:ind w:firstLine="709"/>
        <w:jc w:val="both"/>
        <w:rPr>
          <w:rFonts w:ascii="Times New Roman" w:eastAsia="Times New Roman" w:hAnsi="Times New Roman" w:cs="Times New Roman"/>
          <w:b/>
          <w:sz w:val="28"/>
          <w:szCs w:val="28"/>
        </w:rPr>
      </w:pP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Сельское хозяйство:</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комплексной особой экономической зоны с привлечением существующих КФХ и ЛПХ, а также новых инвесторов;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увеличение объемов производства и видов продукции животноводства и растениеводства, включая производство в КФХ и ЛПХ;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согласование объемов производства продукции с потребностями внутреннего и региональных рынков;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качества продукции;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обновление техники и технологий; </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создание системы комплексной оценки сельскохозяйственной деятельности, как фактора, определяющего размещение объектов сельского хозяйства.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Экологический, оздоровительный и познавательный туризм:</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развитию действующих и создание новых организаций познавательного туризма, преимущественно вблизи археологических памятников и уникальных природных мест;</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туристических продуктов и маршрутов для различных видов туризма;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этнографического, археологического, культурно-познавательного, активного, спортивного и экстремального видов туризма;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созданию инфраструктуры туризма.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Жилищное строительство:</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инфраструктуры, обеспечивающей развитие строительства одноквартирных жилых домов, включая подсобные хозяйства (мини-фермы) в сельских поселениях;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реализация среднесрочной и долгосрочной программ жилищного строительства.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Малый бизнес:</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привлечение малого бизнеса к участию в реализации вариантов территориального развития (в сфере туризма, жилищного строительства, социального обслуживания, сельского хозяйства, производства).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инфраструктуры придорожного обслуживания на автодорогах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равных условий для предпринимателей с обеспечением приоритетного развития местных инициатив;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сферы малого и среднего предпринимательства на основе развития инновационного управления. Развитие консультационных центров, агробизнес-инкубатора с такими функциями как: накопление перспективных проектов и их кредитование; координация деятельности, привлечение денежных средств; консультационная и информационная поддержка.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Социально-культурный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обеспечение потребностей населения в социальных услугах и развитие инфраструктуры социального обслуживания;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развитию и перепрофилированию профессионального образования;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молодежной политики и обеспечение досуга молодежи (вовлечение молодежи в творческую, научную, общественную, спортивную, трудовую, предпринимательскую деятельность и т.п.);</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уменьшение оттока наиболее активной части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повышение эффективности оказания адресной социальной помощи;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привлечение деловых кругов к участию в значимых социальных программах;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народных ремесел.</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lastRenderedPageBreak/>
        <w:t>Инвестиционный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инвестиционного климата и создание благоприятных условий для инвестирования;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гарантий для инвесторов;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предпринимательских партнерств и сообществ;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реестра предпочтительных инвестиционных проектов и инвестиционных площадок;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продвижение информации о зонах перспективного развития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поддержки и продвижения инвестиционных проектов.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Информационный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сбора, обработки и анализа информации для выявления тенденций, и принятия эффективных управленческих решений;</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накопление, систематизация и продвижение информации о районе, об инвестиционных проектах, о туризме, о продукции выпускаемой предприятиями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формирование и продвижение имиджа Бардымского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поддержка и активизация интернет-сайта района.</w:t>
      </w:r>
    </w:p>
    <w:p w:rsidR="00153E07" w:rsidRPr="00153E07" w:rsidRDefault="00153E07" w:rsidP="00D527CE">
      <w:pPr>
        <w:tabs>
          <w:tab w:val="left" w:pos="2177"/>
        </w:tabs>
        <w:spacing w:after="0" w:line="240" w:lineRule="auto"/>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t>Система ключевых показателей и индикаторов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Система ключевых показателей и индикаторов Стратегии социально-экономического развития Бардымского муниципального района разработана с учетом методов</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составления сводных индексов социально- экономического развития регионов, предложенных Институтом современного развития совместно с Министерством регионального развития Российской Федерации.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ключевых показателей и индикаторов учитывает уровень муниципального образования и позволяет оперативно отслеживать изменения в развитии экономической, социальной и финансовой сферах по следующим показателям: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Реальный сектор экономики;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Инвестиционная привлекательность;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Доходы и занятость населения;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Бюджетная система.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Данные показатели включают в себя ряд индексов, на основе которых рассчитываются четыре индикатора. После расчета четырех индексов по показателям рассчитывается сводный индекс социально-экономического развития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 расчете данных индексов за основу берутся данные, предоставляемые в Министерство регионального развития Российской Федерации в соответствии с распоряжением Правительства РФ №806-р от 15 июня 2009 года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организации и проведении мониторинга процессов в реальном секторе экономики, финансово-банковской и социальной сферах субъектов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lastRenderedPageBreak/>
        <w:t>Основные принципы системы ключевых показателей и индикаторов Стратегии социально-экономического развития Бардымского муниципального района:</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Соответствие заявленным целям – показатель должен быть содержательным именно в контексте данной цели (например, индекс потребительских цен на месячном уровне не может рассматриваться как показатель, характеризующий инвестиционную привлекательность);</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Значимость показателей – предпочтение отдается общим, а не частным показателям (индекс потребительских цен, а не цены на продовольственные товары, непродовольственные товары и т.д., динамика реальных доходов населения, а не динамика реальных зара</w:t>
      </w:r>
      <w:r w:rsidR="00CB7DA8">
        <w:rPr>
          <w:rFonts w:ascii="Times New Roman" w:eastAsia="Times New Roman" w:hAnsi="Times New Roman" w:cs="Times New Roman"/>
          <w:sz w:val="28"/>
          <w:szCs w:val="28"/>
        </w:rPr>
        <w:t>ботных плат или пенсий, т.д.);</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должны наиболее полно отражать выполнение заявленных целей – так, в случае оценки инвестиционной привлекательности развития необходимо в большей степени учитывать объемы инвестиций и строительных работ на душу населения, прибыльность предприятий, чем динамику инвестиций;</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Ограниченность набора показателей, на основе которого рассчитываются сводные индексы (в случае, если сводный индекс содержит слишком много составляющих, возникает проблема в отслеживании вклада конкретного показателя на агрегированном уровне). </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Сопоставимость субъектов по показателям. В соответствии с этим принципом все показатели, используемые в расчете сводных индексов по каждой цели, нормируются на среднероссийское значение соответствующего показателя и отражаются в процентах. Если значение по субъекту Российской Федерации превышает/ниже среднероссийского значения показателя более чем в 2 раза или меньше 30%, то значение по данному субъекту Российской Федерации заменяется на 200% или 30% соответственно от значения показателя по Российской Федерации (грубая регуляризация). После получения безразмерных показателей (путем нормирования), они взвешиваются по системе весов, разработанной на основе экспертных оценок.</w:t>
      </w:r>
    </w:p>
    <w:p w:rsidR="00153E07" w:rsidRPr="00153E07" w:rsidRDefault="00153E07" w:rsidP="00D527CE">
      <w:pPr>
        <w:tabs>
          <w:tab w:val="left" w:pos="2177"/>
        </w:tabs>
        <w:spacing w:after="0" w:line="240" w:lineRule="auto"/>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3.</w:t>
      </w:r>
      <w:r w:rsidR="001D3C25">
        <w:rPr>
          <w:rFonts w:ascii="Times New Roman" w:eastAsia="Times New Roman" w:hAnsi="Times New Roman" w:cs="Times New Roman"/>
          <w:sz w:val="28"/>
          <w:szCs w:val="28"/>
        </w:rPr>
        <w:t>6</w:t>
      </w:r>
    </w:p>
    <w:p w:rsidR="00153E07" w:rsidRPr="00D53C12" w:rsidRDefault="00153E07" w:rsidP="00D527CE">
      <w:pPr>
        <w:tabs>
          <w:tab w:val="left" w:pos="2177"/>
        </w:tabs>
        <w:spacing w:after="0" w:line="240" w:lineRule="auto"/>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Система ключевых показателей и индикаторов Стратегии социально-экономического развития Бардымского муниципального района</w:t>
      </w:r>
    </w:p>
    <w:tbl>
      <w:tblPr>
        <w:tblW w:w="5070" w:type="pct"/>
        <w:tblLayout w:type="fixed"/>
        <w:tblLook w:val="04A0"/>
      </w:tblPr>
      <w:tblGrid>
        <w:gridCol w:w="2377"/>
        <w:gridCol w:w="7902"/>
      </w:tblGrid>
      <w:tr w:rsidR="00530383" w:rsidRPr="00530383" w:rsidTr="00D53C12">
        <w:trPr>
          <w:trHeight w:val="375"/>
        </w:trPr>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0383" w:rsidRPr="00570AAF" w:rsidRDefault="00355F6A"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Показатели</w:t>
            </w:r>
          </w:p>
        </w:tc>
        <w:tc>
          <w:tcPr>
            <w:tcW w:w="3844" w:type="pct"/>
            <w:tcBorders>
              <w:top w:val="single" w:sz="4" w:space="0" w:color="auto"/>
              <w:left w:val="nil"/>
              <w:bottom w:val="single" w:sz="4" w:space="0" w:color="auto"/>
              <w:right w:val="single" w:sz="4" w:space="0" w:color="auto"/>
            </w:tcBorders>
            <w:shd w:val="clear" w:color="auto" w:fill="auto"/>
            <w:vAlign w:val="bottom"/>
            <w:hideMark/>
          </w:tcPr>
          <w:p w:rsidR="00530383" w:rsidRPr="00570AAF" w:rsidRDefault="00355F6A"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Индикаторы</w:t>
            </w:r>
          </w:p>
        </w:tc>
      </w:tr>
      <w:tr w:rsidR="00530383" w:rsidRPr="00530383" w:rsidTr="00D53C12">
        <w:trPr>
          <w:trHeight w:val="375"/>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Демография</w:t>
            </w:r>
          </w:p>
        </w:tc>
        <w:tc>
          <w:tcPr>
            <w:tcW w:w="3844" w:type="pct"/>
            <w:tcBorders>
              <w:top w:val="nil"/>
              <w:left w:val="nil"/>
              <w:bottom w:val="single" w:sz="4" w:space="0" w:color="auto"/>
              <w:right w:val="single" w:sz="4" w:space="0" w:color="auto"/>
            </w:tcBorders>
            <w:shd w:val="clear" w:color="auto" w:fill="auto"/>
            <w:noWrap/>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Численность постоянного населения, чел.</w:t>
            </w:r>
          </w:p>
        </w:tc>
      </w:tr>
      <w:tr w:rsidR="00530383" w:rsidRPr="00530383" w:rsidTr="00D53C12">
        <w:trPr>
          <w:trHeight w:val="598"/>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Инфраструктура</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Ввод жилья на душу населения (за период с начала года, кв.м. на 1000 чел. населения)</w:t>
            </w:r>
          </w:p>
        </w:tc>
      </w:tr>
      <w:tr w:rsidR="00530383" w:rsidRPr="00530383" w:rsidTr="00D53C12">
        <w:trPr>
          <w:trHeight w:val="553"/>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Экономика</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промышленного производства (за период с начала года в % к соответствующему периоду прошлого года)</w:t>
            </w:r>
          </w:p>
        </w:tc>
      </w:tr>
      <w:tr w:rsidR="00530383" w:rsidRPr="00530383" w:rsidTr="00570AAF">
        <w:trPr>
          <w:trHeight w:val="52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числа субъектов малого предпринимательства (за период с начала года в % к соответствующему периоду прошлого года)</w:t>
            </w:r>
          </w:p>
        </w:tc>
      </w:tr>
      <w:tr w:rsidR="00530383" w:rsidRPr="00530383" w:rsidTr="00D53C12">
        <w:trPr>
          <w:trHeight w:val="83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r>
      <w:tr w:rsidR="00530383" w:rsidRPr="00530383" w:rsidTr="00D53C12">
        <w:trPr>
          <w:trHeight w:val="568"/>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Объем отгруженных товаров на душу населения (за период с начала года, тыс.руб. на человека)</w:t>
            </w:r>
          </w:p>
        </w:tc>
      </w:tr>
      <w:tr w:rsidR="00530383" w:rsidRPr="00530383" w:rsidTr="00570AAF">
        <w:trPr>
          <w:trHeight w:val="551"/>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r>
      <w:tr w:rsidR="00530383" w:rsidRPr="00530383" w:rsidTr="00570AAF">
        <w:trPr>
          <w:trHeight w:val="86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r>
      <w:tr w:rsidR="00530383" w:rsidRPr="00530383" w:rsidTr="00570AAF">
        <w:trPr>
          <w:trHeight w:val="54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оборота розничной торговли (за период с начала года в % к соответствующему периоду прошлого года, в сопоставимых ценах)</w:t>
            </w:r>
          </w:p>
        </w:tc>
      </w:tr>
      <w:tr w:rsidR="00530383" w:rsidRPr="00530383" w:rsidTr="00570AAF">
        <w:trPr>
          <w:trHeight w:val="555"/>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объема платных услуг населению (за период с начала года в % к соответствующему периоду прошлого года, в сопоставимых ценах)</w:t>
            </w:r>
          </w:p>
        </w:tc>
      </w:tr>
      <w:tr w:rsidR="00530383" w:rsidRPr="00530383" w:rsidTr="00570AAF">
        <w:trPr>
          <w:trHeight w:val="562"/>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Объем инвестиций в основной капитал на душу населения (за период с начала года, тыс. руб. на человека, квартальный показатель)</w:t>
            </w:r>
          </w:p>
        </w:tc>
      </w:tr>
      <w:tr w:rsidR="00530383" w:rsidRPr="00530383" w:rsidTr="00570AAF">
        <w:trPr>
          <w:trHeight w:val="556"/>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физического объема инвестиций в основной капитал (за период с начала года в % к соответствующему периоду прошлого года)</w:t>
            </w:r>
          </w:p>
        </w:tc>
      </w:tr>
      <w:tr w:rsidR="00530383" w:rsidRPr="00530383" w:rsidTr="00570AAF">
        <w:trPr>
          <w:trHeight w:val="409"/>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Объем работ, выполненных по ВЭД «Строительство» на душу населения (за период с начала года, тыс.руб. на человека)</w:t>
            </w:r>
          </w:p>
        </w:tc>
      </w:tr>
      <w:tr w:rsidR="00530383" w:rsidRPr="00530383" w:rsidTr="00570AAF">
        <w:trPr>
          <w:trHeight w:val="70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физического объема работ, выполненных по ВЭД «Строительство» (за период с начала года в % к соответствующему периоду прошлого года)</w:t>
            </w:r>
          </w:p>
        </w:tc>
      </w:tr>
      <w:tr w:rsidR="00530383" w:rsidRPr="00530383" w:rsidTr="00570AAF">
        <w:trPr>
          <w:trHeight w:val="28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прибыльных предприятий (за период с начала года, %, лаг - 1 месяц)</w:t>
            </w:r>
          </w:p>
        </w:tc>
      </w:tr>
      <w:tr w:rsidR="00530383" w:rsidRPr="00530383" w:rsidTr="00570AAF">
        <w:trPr>
          <w:trHeight w:val="276"/>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Социальная</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потребительских цен (в % к декабрю прошлого года)</w:t>
            </w:r>
          </w:p>
        </w:tc>
      </w:tr>
      <w:tr w:rsidR="00530383" w:rsidRPr="00530383" w:rsidTr="00570AAF">
        <w:trPr>
          <w:trHeight w:val="692"/>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r>
      <w:tr w:rsidR="00530383" w:rsidRPr="00530383" w:rsidTr="00BF1898">
        <w:trPr>
          <w:trHeight w:val="529"/>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Отношение среднемесячной зарплаты к стоимости фиксированного набора товаров и услуг (в разах, лаг - 1 месяц)</w:t>
            </w:r>
          </w:p>
        </w:tc>
      </w:tr>
      <w:tr w:rsidR="00530383" w:rsidRPr="00530383" w:rsidTr="00570AAF">
        <w:trPr>
          <w:trHeight w:val="442"/>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трудоспособного населения в общей численности населения (на отчетный период, в %)</w:t>
            </w:r>
          </w:p>
        </w:tc>
      </w:tr>
      <w:tr w:rsidR="00530383" w:rsidRPr="00530383" w:rsidTr="00570AAF">
        <w:trPr>
          <w:trHeight w:val="294"/>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Число безработных на 1 вакантное место (на отчетный период, человек)</w:t>
            </w:r>
          </w:p>
        </w:tc>
      </w:tr>
      <w:tr w:rsidR="00530383" w:rsidRPr="00530383" w:rsidTr="00570AAF">
        <w:trPr>
          <w:trHeight w:val="71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r>
      <w:tr w:rsidR="00530383" w:rsidRPr="00530383" w:rsidTr="00570AAF">
        <w:trPr>
          <w:trHeight w:val="29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Уровень зарегистрированной безработицы (на отчетный период, в %)</w:t>
            </w:r>
          </w:p>
        </w:tc>
      </w:tr>
      <w:tr w:rsidR="00530383" w:rsidRPr="00530383" w:rsidTr="00570AAF">
        <w:trPr>
          <w:trHeight w:val="401"/>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Муниципальное управление</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Доходы консолидированного бюджета субъекта Российской Федерации на душу населения (за период с начала года, тыс.руб. на человека)</w:t>
            </w:r>
          </w:p>
        </w:tc>
      </w:tr>
      <w:tr w:rsidR="00530383" w:rsidRPr="00530383" w:rsidTr="00570AAF">
        <w:trPr>
          <w:trHeight w:val="111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субъекта РФ (за период с начала года, %)</w:t>
            </w:r>
          </w:p>
        </w:tc>
      </w:tr>
      <w:tr w:rsidR="00530383" w:rsidRPr="00530383" w:rsidTr="00D53C12">
        <w:trPr>
          <w:trHeight w:val="836"/>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налоговых и неналоговых доходов консолидированного бюджета субъекта РФ (за период с начала года в % к соответствующему периоду прошлого года)</w:t>
            </w:r>
          </w:p>
        </w:tc>
      </w:tr>
      <w:tr w:rsidR="00530383" w:rsidRPr="00530383" w:rsidTr="00570AAF">
        <w:trPr>
          <w:trHeight w:val="701"/>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субъекта РФ (за период с начала года, в %)</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lastRenderedPageBreak/>
        <w:t>1. Индекс промышленного производства</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важнейший индикатор экономической активности в реальном секторе экономики;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 xml:space="preserve">2. </w:t>
      </w:r>
      <w:r w:rsidRPr="00153E07">
        <w:rPr>
          <w:rFonts w:ascii="Times New Roman" w:eastAsia="Times New Roman" w:hAnsi="Times New Roman" w:cs="Times New Roman"/>
          <w:b/>
          <w:color w:val="000000"/>
          <w:sz w:val="28"/>
          <w:szCs w:val="28"/>
        </w:rPr>
        <w:t>Темп роста числа субъектов малого предпринимательства</w:t>
      </w:r>
      <w:r w:rsidRPr="00153E07">
        <w:rPr>
          <w:rFonts w:ascii="Times New Roman" w:eastAsia="Times New Roman" w:hAnsi="Times New Roman" w:cs="Times New Roman"/>
          <w:sz w:val="28"/>
          <w:szCs w:val="28"/>
        </w:rPr>
        <w:t>(за период с начала года в % к соответствующему периоду прошлого года) – показывает наращивание объемов предпринимательской деятельности;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3. Индекс производства продукции сельского хозяйства</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квартальный показатель);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4. Объем отгруженных товаров на душу населения</w:t>
      </w:r>
      <w:r w:rsidRPr="00153E07">
        <w:rPr>
          <w:rFonts w:ascii="Times New Roman" w:eastAsia="Times New Roman" w:hAnsi="Times New Roman" w:cs="Times New Roman"/>
          <w:sz w:val="28"/>
          <w:szCs w:val="28"/>
        </w:rPr>
        <w:t xml:space="preserve"> (за период с начала года, тыс. рублей на человека) – дает оценку уровня экономической деятельности организаций;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 xml:space="preserve">5. </w:t>
      </w:r>
      <w:r w:rsidRPr="00153E07">
        <w:rPr>
          <w:rFonts w:ascii="Times New Roman" w:eastAsia="Times New Roman" w:hAnsi="Times New Roman" w:cs="Times New Roman"/>
          <w:b/>
          <w:color w:val="000000"/>
          <w:sz w:val="28"/>
          <w:szCs w:val="28"/>
        </w:rPr>
        <w:t>Доля задолженности предприятий по платежам в бюджет и внебюджетные фонды в общей сумме кредиторской задолженности</w:t>
      </w:r>
      <w:r w:rsidRPr="00153E07">
        <w:rPr>
          <w:rFonts w:ascii="Times New Roman" w:eastAsia="Times New Roman" w:hAnsi="Times New Roman" w:cs="Times New Roman"/>
          <w:sz w:val="28"/>
          <w:szCs w:val="28"/>
        </w:rPr>
        <w:t xml:space="preserve"> (на начало отчетного месяца, в %) – характеризует ситуацию в финансовом секторе и, косвенно, в реальном секторе региона;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6. Темп роста задолженности по кредитам, предоставленным юридическим лицам и индивидуальным предпринимателям</w:t>
      </w:r>
      <w:r w:rsidRPr="00153E07">
        <w:rPr>
          <w:rFonts w:ascii="Times New Roman" w:eastAsia="Times New Roman" w:hAnsi="Times New Roman" w:cs="Times New Roman"/>
          <w:sz w:val="28"/>
          <w:szCs w:val="28"/>
        </w:rPr>
        <w:t xml:space="preserve"> (объем на начало отчетного месяца в % к началу соответствующего месяца предыдущего года) – характеризует ситуацию в финансовом секторе и, косвенно, в реальном секторе региона;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7. Темп роста оборота розничной торговли</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в сопоставимых ценах) – характеризует динамику потребительского спроса;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8. Темп роста объема платных услуг населению</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в сопоставимых ценах) – характеризует динамику потребительского спроса; </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9</w:t>
      </w:r>
      <w:r w:rsidR="00153E07" w:rsidRPr="00355F6A">
        <w:rPr>
          <w:rFonts w:ascii="Times New Roman" w:eastAsia="Times New Roman" w:hAnsi="Times New Roman" w:cs="Times New Roman"/>
          <w:b/>
          <w:sz w:val="28"/>
          <w:szCs w:val="28"/>
        </w:rPr>
        <w:t>. Объем</w:t>
      </w:r>
      <w:r w:rsidR="00153E07" w:rsidRPr="00153E07">
        <w:rPr>
          <w:rFonts w:ascii="Times New Roman" w:eastAsia="Times New Roman" w:hAnsi="Times New Roman" w:cs="Times New Roman"/>
          <w:b/>
          <w:sz w:val="28"/>
          <w:szCs w:val="28"/>
        </w:rPr>
        <w:t xml:space="preserve"> инвестиций в основной капитал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квартальный показатель) – важнейший индикатор инвестиционной активности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10</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физического объема инвестиций в основной капитал</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важнейший индикатор инвестиционной активности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11</w:t>
      </w:r>
      <w:r w:rsidR="00153E07" w:rsidRPr="00355F6A">
        <w:rPr>
          <w:rFonts w:ascii="Times New Roman" w:eastAsia="Times New Roman" w:hAnsi="Times New Roman" w:cs="Times New Roman"/>
          <w:b/>
          <w:sz w:val="28"/>
          <w:szCs w:val="28"/>
        </w:rPr>
        <w:t>. Объем</w:t>
      </w:r>
      <w:r w:rsidR="00153E07" w:rsidRPr="00153E07">
        <w:rPr>
          <w:rFonts w:ascii="Times New Roman" w:eastAsia="Times New Roman" w:hAnsi="Times New Roman" w:cs="Times New Roman"/>
          <w:b/>
          <w:sz w:val="28"/>
          <w:szCs w:val="28"/>
        </w:rPr>
        <w:t xml:space="preserve"> работ, выполненных по ВЭД </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Строительство</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 xml:space="preserve">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 показывает ситуацию в строительном секторе; </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12</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физического объема работ, выполненных по ВЭД </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Строительство</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показывает ситуацию в строительном секторе;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13</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sz w:val="28"/>
          <w:szCs w:val="28"/>
        </w:rPr>
        <w:t>Ввод жилья на душу населения</w:t>
      </w:r>
      <w:r w:rsidR="00153E07" w:rsidRPr="00153E07">
        <w:rPr>
          <w:rFonts w:ascii="Times New Roman" w:eastAsia="Times New Roman" w:hAnsi="Times New Roman" w:cs="Times New Roman"/>
          <w:sz w:val="28"/>
          <w:szCs w:val="28"/>
        </w:rPr>
        <w:t xml:space="preserve"> (за период с начала года, кв.м. на 1000 населения) – показывает объем нового предложения на рынке жилья, характеризует привлекательность региона;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14</w:t>
      </w:r>
      <w:r w:rsidR="00153E07" w:rsidRPr="00355F6A">
        <w:rPr>
          <w:rFonts w:ascii="Times New Roman" w:eastAsia="Times New Roman" w:hAnsi="Times New Roman" w:cs="Times New Roman"/>
          <w:b/>
          <w:sz w:val="28"/>
          <w:szCs w:val="28"/>
        </w:rPr>
        <w:t>. Доля</w:t>
      </w:r>
      <w:r w:rsidR="00153E07" w:rsidRPr="00153E07">
        <w:rPr>
          <w:rFonts w:ascii="Times New Roman" w:eastAsia="Times New Roman" w:hAnsi="Times New Roman" w:cs="Times New Roman"/>
          <w:b/>
          <w:sz w:val="28"/>
          <w:szCs w:val="28"/>
        </w:rPr>
        <w:t xml:space="preserve"> прибыльных предприятий</w:t>
      </w:r>
      <w:r w:rsidR="00153E07" w:rsidRPr="00153E07">
        <w:rPr>
          <w:rFonts w:ascii="Times New Roman" w:eastAsia="Times New Roman" w:hAnsi="Times New Roman" w:cs="Times New Roman"/>
          <w:sz w:val="28"/>
          <w:szCs w:val="28"/>
        </w:rPr>
        <w:t xml:space="preserve"> (за период с начала года, %, лаг – 1 месяц) – отражает финансовое состояние предприятий региона;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lastRenderedPageBreak/>
        <w:t>15</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потребительских цен</w:t>
      </w:r>
      <w:r w:rsidR="00153E07" w:rsidRPr="00153E07">
        <w:rPr>
          <w:rFonts w:ascii="Times New Roman" w:eastAsia="Times New Roman" w:hAnsi="Times New Roman" w:cs="Times New Roman"/>
          <w:sz w:val="28"/>
          <w:szCs w:val="28"/>
        </w:rPr>
        <w:t xml:space="preserve"> (в % к декабрю прошлого года) – отражает общую ценовую ситуацию, складывающуюся на региональном рынке;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16</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sz w:val="28"/>
          <w:szCs w:val="28"/>
        </w:rPr>
        <w:t>Динамика реальных денежных доходов населения</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лаг – 1 месяц) – дает оценку изменения доходов населения;</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17</w:t>
      </w:r>
      <w:r w:rsidR="00153E07" w:rsidRPr="00355F6A">
        <w:rPr>
          <w:rFonts w:ascii="Times New Roman" w:eastAsia="Times New Roman" w:hAnsi="Times New Roman" w:cs="Times New Roman"/>
          <w:b/>
          <w:sz w:val="28"/>
          <w:szCs w:val="28"/>
        </w:rPr>
        <w:t>. Отношение</w:t>
      </w:r>
      <w:r w:rsidR="00153E07" w:rsidRPr="00153E07">
        <w:rPr>
          <w:rFonts w:ascii="Times New Roman" w:eastAsia="Times New Roman" w:hAnsi="Times New Roman" w:cs="Times New Roman"/>
          <w:b/>
          <w:sz w:val="28"/>
          <w:szCs w:val="28"/>
        </w:rPr>
        <w:t xml:space="preserve"> среднемесячной зарплаты к стоимости фиксированного набора товаров и услуг</w:t>
      </w:r>
      <w:r w:rsidR="00153E07" w:rsidRPr="00153E07">
        <w:rPr>
          <w:rFonts w:ascii="Times New Roman" w:eastAsia="Times New Roman" w:hAnsi="Times New Roman" w:cs="Times New Roman"/>
          <w:sz w:val="28"/>
          <w:szCs w:val="28"/>
        </w:rPr>
        <w:t xml:space="preserve"> (в разах, лаг – 1 месяц) – показывает среднюю материальную обеспеченность населения;</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18</w:t>
      </w:r>
      <w:r w:rsidR="00153E07" w:rsidRPr="00355F6A">
        <w:rPr>
          <w:rFonts w:ascii="Times New Roman" w:eastAsia="Times New Roman" w:hAnsi="Times New Roman" w:cs="Times New Roman"/>
          <w:b/>
          <w:sz w:val="28"/>
          <w:szCs w:val="28"/>
        </w:rPr>
        <w:t xml:space="preserve">. </w:t>
      </w:r>
      <w:r w:rsidR="00153E07" w:rsidRPr="00355F6A">
        <w:rPr>
          <w:rFonts w:ascii="Times New Roman" w:eastAsia="Times New Roman" w:hAnsi="Times New Roman" w:cs="Times New Roman"/>
          <w:b/>
          <w:color w:val="000000"/>
          <w:sz w:val="28"/>
          <w:szCs w:val="28"/>
        </w:rPr>
        <w:t>Доля</w:t>
      </w:r>
      <w:r w:rsidR="00153E07" w:rsidRPr="00153E07">
        <w:rPr>
          <w:rFonts w:ascii="Times New Roman" w:eastAsia="Times New Roman" w:hAnsi="Times New Roman" w:cs="Times New Roman"/>
          <w:b/>
          <w:color w:val="000000"/>
          <w:sz w:val="28"/>
          <w:szCs w:val="28"/>
        </w:rPr>
        <w:t xml:space="preserve"> трудоспособного населения в общей численности населения</w:t>
      </w:r>
      <w:r w:rsidR="00153E07" w:rsidRPr="00153E07">
        <w:rPr>
          <w:rFonts w:ascii="Times New Roman" w:eastAsia="Times New Roman" w:hAnsi="Times New Roman" w:cs="Times New Roman"/>
          <w:sz w:val="28"/>
          <w:szCs w:val="28"/>
        </w:rPr>
        <w:t>(на конец отчетного месяца, в %) – показывает демографическую ситуацию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19</w:t>
      </w:r>
      <w:r w:rsidR="00153E07" w:rsidRPr="00355F6A">
        <w:rPr>
          <w:rFonts w:ascii="Times New Roman" w:eastAsia="Times New Roman" w:hAnsi="Times New Roman" w:cs="Times New Roman"/>
          <w:b/>
          <w:sz w:val="28"/>
          <w:szCs w:val="28"/>
        </w:rPr>
        <w:t xml:space="preserve">. </w:t>
      </w:r>
      <w:r w:rsidR="00153E07" w:rsidRPr="00355F6A">
        <w:rPr>
          <w:rFonts w:ascii="Times New Roman" w:eastAsia="Times New Roman" w:hAnsi="Times New Roman" w:cs="Times New Roman"/>
          <w:b/>
          <w:color w:val="000000"/>
          <w:sz w:val="28"/>
          <w:szCs w:val="28"/>
        </w:rPr>
        <w:t>Число</w:t>
      </w:r>
      <w:r w:rsidR="00153E07" w:rsidRPr="00153E07">
        <w:rPr>
          <w:rFonts w:ascii="Times New Roman" w:eastAsia="Times New Roman" w:hAnsi="Times New Roman" w:cs="Times New Roman"/>
          <w:b/>
          <w:color w:val="000000"/>
          <w:sz w:val="28"/>
          <w:szCs w:val="28"/>
        </w:rPr>
        <w:t xml:space="preserve"> безработных на 1 вакантное место</w:t>
      </w:r>
      <w:r w:rsidR="00153E07" w:rsidRPr="00153E07">
        <w:rPr>
          <w:rFonts w:ascii="Times New Roman" w:eastAsia="Times New Roman" w:hAnsi="Times New Roman" w:cs="Times New Roman"/>
          <w:color w:val="000000"/>
          <w:sz w:val="28"/>
          <w:szCs w:val="28"/>
        </w:rPr>
        <w:t xml:space="preserve"> (на отчетный период, человек) – показывает ситуацию на рынке труда в муниципальном районе</w:t>
      </w:r>
      <w:r w:rsidR="00153E07" w:rsidRPr="00153E07">
        <w:rPr>
          <w:rFonts w:ascii="Times New Roman" w:eastAsia="Times New Roman" w:hAnsi="Times New Roman" w:cs="Times New Roman"/>
          <w:sz w:val="28"/>
          <w:szCs w:val="28"/>
        </w:rPr>
        <w:t>;</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20</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color w:val="000000"/>
          <w:sz w:val="28"/>
          <w:szCs w:val="28"/>
        </w:rPr>
        <w:t>Покупательная способность заработной платы по отношению к прожиточному минимуму</w:t>
      </w:r>
      <w:r w:rsidR="00153E07" w:rsidRPr="00153E07">
        <w:rPr>
          <w:rFonts w:ascii="Times New Roman" w:eastAsia="Times New Roman" w:hAnsi="Times New Roman" w:cs="Times New Roman"/>
          <w:color w:val="000000"/>
          <w:sz w:val="28"/>
          <w:szCs w:val="28"/>
        </w:rPr>
        <w:t xml:space="preserve"> (объем на начало отчетного месяца в % к началу соответствующего месяца предыдущего года)</w:t>
      </w:r>
      <w:r w:rsidR="00153E07" w:rsidRPr="00153E07">
        <w:rPr>
          <w:rFonts w:ascii="Times New Roman" w:eastAsia="Times New Roman" w:hAnsi="Times New Roman" w:cs="Times New Roman"/>
          <w:sz w:val="28"/>
          <w:szCs w:val="28"/>
        </w:rPr>
        <w:t xml:space="preserve"> – дает оценку потребительского спроса.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21</w:t>
      </w:r>
      <w:r w:rsidR="00153E07" w:rsidRPr="00355F6A">
        <w:rPr>
          <w:rFonts w:ascii="Times New Roman" w:eastAsia="Times New Roman" w:hAnsi="Times New Roman" w:cs="Times New Roman"/>
          <w:b/>
          <w:sz w:val="28"/>
          <w:szCs w:val="28"/>
        </w:rPr>
        <w:t>. Уровень</w:t>
      </w:r>
      <w:r w:rsidR="00153E07" w:rsidRPr="00153E07">
        <w:rPr>
          <w:rFonts w:ascii="Times New Roman" w:eastAsia="Times New Roman" w:hAnsi="Times New Roman" w:cs="Times New Roman"/>
          <w:b/>
          <w:sz w:val="28"/>
          <w:szCs w:val="28"/>
        </w:rPr>
        <w:t xml:space="preserve"> зарегистрированной безработицы</w:t>
      </w:r>
      <w:r w:rsidR="00153E07" w:rsidRPr="00153E07">
        <w:rPr>
          <w:rFonts w:ascii="Times New Roman" w:eastAsia="Times New Roman" w:hAnsi="Times New Roman" w:cs="Times New Roman"/>
          <w:sz w:val="28"/>
          <w:szCs w:val="28"/>
        </w:rPr>
        <w:t xml:space="preserve"> (на отчетный период, в %) – характеризует ситуацию, складывающуюся на муниципальном рынке труда.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22</w:t>
      </w:r>
      <w:r w:rsidR="00153E07" w:rsidRPr="00355F6A">
        <w:rPr>
          <w:rFonts w:ascii="Times New Roman" w:eastAsia="Times New Roman" w:hAnsi="Times New Roman" w:cs="Times New Roman"/>
          <w:b/>
          <w:sz w:val="28"/>
          <w:szCs w:val="28"/>
        </w:rPr>
        <w:t>. Доходы</w:t>
      </w:r>
      <w:r w:rsidR="00153E07" w:rsidRPr="00153E07">
        <w:rPr>
          <w:rFonts w:ascii="Times New Roman" w:eastAsia="Times New Roman" w:hAnsi="Times New Roman" w:cs="Times New Roman"/>
          <w:b/>
          <w:sz w:val="28"/>
          <w:szCs w:val="28"/>
        </w:rPr>
        <w:t xml:space="preserve"> консолидированного бюджета субъекта Российской Федерации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 показатель характеризует устойчивость и стабильность экономики субъекта Российской Федерации, его самостоятельность;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w:t>
      </w:r>
      <w:r w:rsidR="00355F6A" w:rsidRPr="00355F6A">
        <w:rPr>
          <w:rFonts w:ascii="Times New Roman" w:eastAsia="Times New Roman" w:hAnsi="Times New Roman" w:cs="Times New Roman"/>
          <w:b/>
          <w:sz w:val="28"/>
          <w:szCs w:val="28"/>
        </w:rPr>
        <w:t>3</w:t>
      </w:r>
      <w:r w:rsidRPr="00355F6A">
        <w:rPr>
          <w:rFonts w:ascii="Times New Roman" w:eastAsia="Times New Roman" w:hAnsi="Times New Roman" w:cs="Times New Roman"/>
          <w:b/>
          <w:sz w:val="28"/>
          <w:szCs w:val="28"/>
        </w:rPr>
        <w:t>.</w:t>
      </w:r>
      <w:r w:rsidRPr="00153E07">
        <w:rPr>
          <w:rFonts w:ascii="Times New Roman" w:eastAsia="Times New Roman" w:hAnsi="Times New Roman" w:cs="Times New Roman"/>
          <w:sz w:val="28"/>
          <w:szCs w:val="28"/>
        </w:rPr>
        <w:t xml:space="preserve"> </w:t>
      </w:r>
      <w:r w:rsidRPr="00153E07">
        <w:rPr>
          <w:rFonts w:ascii="Times New Roman" w:eastAsia="Times New Roman" w:hAnsi="Times New Roman" w:cs="Times New Roman"/>
          <w:b/>
          <w:color w:val="000000"/>
          <w:sz w:val="28"/>
          <w:szCs w:val="2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субъекта РФ (за период с начала года, %)</w:t>
      </w:r>
      <w:r w:rsidRPr="00153E07">
        <w:rPr>
          <w:rFonts w:ascii="Times New Roman" w:eastAsia="Times New Roman" w:hAnsi="Times New Roman" w:cs="Times New Roman"/>
          <w:sz w:val="28"/>
          <w:szCs w:val="28"/>
        </w:rPr>
        <w:t xml:space="preserve"> – показатель характеризует покрытие собственными доходами расходов субъекта Российской Федерации, определяя самостоятельность субъекта Российской Федерации;</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24</w:t>
      </w:r>
      <w:r w:rsidR="00153E07" w:rsidRPr="00355F6A">
        <w:rPr>
          <w:rFonts w:ascii="Times New Roman" w:eastAsia="Times New Roman" w:hAnsi="Times New Roman" w:cs="Times New Roman"/>
          <w:b/>
          <w:sz w:val="28"/>
          <w:szCs w:val="28"/>
        </w:rPr>
        <w:t>. Темп</w:t>
      </w:r>
      <w:r w:rsidR="00153E07" w:rsidRPr="00153E07">
        <w:rPr>
          <w:rFonts w:ascii="Times New Roman" w:eastAsia="Times New Roman" w:hAnsi="Times New Roman" w:cs="Times New Roman"/>
          <w:b/>
          <w:sz w:val="28"/>
          <w:szCs w:val="28"/>
        </w:rPr>
        <w:t xml:space="preserve"> роста налоговых и неналоговых доходов консолидированного бюджета субъекта Российской Федерации</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характеризует текущую ситуацию в экономике субъекта Российской Федерации его направленность на развитие;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25</w:t>
      </w:r>
      <w:r w:rsidR="00153E07" w:rsidRPr="00355F6A">
        <w:rPr>
          <w:rFonts w:ascii="Times New Roman" w:eastAsia="Times New Roman" w:hAnsi="Times New Roman" w:cs="Times New Roman"/>
          <w:b/>
          <w:sz w:val="28"/>
          <w:szCs w:val="28"/>
        </w:rPr>
        <w:t>. Доля</w:t>
      </w:r>
      <w:r w:rsidR="00153E07" w:rsidRPr="00153E07">
        <w:rPr>
          <w:rFonts w:ascii="Times New Roman" w:eastAsia="Times New Roman" w:hAnsi="Times New Roman" w:cs="Times New Roman"/>
          <w:b/>
          <w:sz w:val="28"/>
          <w:szCs w:val="28"/>
        </w:rPr>
        <w:t xml:space="preserve"> капитальных расходов в общем объеме расходов консолидированного бюджета субъекта Российской Федерации</w:t>
      </w:r>
      <w:r w:rsidR="00153E07" w:rsidRPr="00153E07">
        <w:rPr>
          <w:rFonts w:ascii="Times New Roman" w:eastAsia="Times New Roman" w:hAnsi="Times New Roman" w:cs="Times New Roman"/>
          <w:sz w:val="28"/>
          <w:szCs w:val="28"/>
        </w:rPr>
        <w:t xml:space="preserve"> (за период с начала года, в %) – характеризует ориентированность консолидированных бюджетов субъектов Российской Федерации на долгосрочные капитальные вложения, определяет развитие регионов.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Целевыми показателями для данной системы индикаторов выступят прогнозируемые показатели социально-экономического развития Бардымского муниципального района.</w:t>
      </w:r>
    </w:p>
    <w:p w:rsidR="00153E07" w:rsidRPr="00153E07" w:rsidRDefault="00153E07" w:rsidP="00D527CE">
      <w:pPr>
        <w:spacing w:line="240" w:lineRule="auto"/>
        <w:jc w:val="both"/>
        <w:rPr>
          <w:rFonts w:ascii="Times New Roman" w:hAnsi="Times New Roman" w:cs="Times New Roman"/>
          <w:sz w:val="28"/>
          <w:szCs w:val="28"/>
        </w:rPr>
      </w:pPr>
    </w:p>
    <w:p w:rsidR="00153E07" w:rsidRPr="00153E07" w:rsidRDefault="00153E07" w:rsidP="00D527CE">
      <w:pPr>
        <w:pStyle w:val="1"/>
        <w:numPr>
          <w:ilvl w:val="1"/>
          <w:numId w:val="7"/>
        </w:numPr>
        <w:spacing w:line="240" w:lineRule="auto"/>
      </w:pPr>
      <w:r w:rsidRPr="00153E07">
        <w:lastRenderedPageBreak/>
        <w:t>Прогноз основных показателей социально-экономического развития Бардымского муниципального района до 2030 года</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Прогноз основных показателей социально-экономического развития Бардымского муниципального района составлен в соответствии с ключевых показателями и индикаторами Стратегии социально-экономического развития Бардымского муниципального района. Прогнозируемые показатели представлены в приложени</w:t>
      </w:r>
      <w:r w:rsidR="00227D40">
        <w:rPr>
          <w:rFonts w:ascii="Times New Roman" w:eastAsia="Times New Roman" w:hAnsi="Times New Roman" w:cs="Times New Roman"/>
          <w:sz w:val="28"/>
          <w:szCs w:val="28"/>
        </w:rPr>
        <w:t xml:space="preserve">и </w:t>
      </w:r>
      <w:r w:rsidR="005145F6">
        <w:rPr>
          <w:rFonts w:ascii="Times New Roman" w:eastAsia="Times New Roman" w:hAnsi="Times New Roman" w:cs="Times New Roman"/>
          <w:sz w:val="28"/>
          <w:szCs w:val="28"/>
        </w:rPr>
        <w:t xml:space="preserve">5 </w:t>
      </w:r>
      <w:r w:rsidR="0075760E">
        <w:rPr>
          <w:rFonts w:ascii="Times New Roman" w:eastAsia="Times New Roman" w:hAnsi="Times New Roman" w:cs="Times New Roman"/>
          <w:sz w:val="28"/>
          <w:szCs w:val="28"/>
        </w:rPr>
        <w:t xml:space="preserve">и </w:t>
      </w:r>
      <w:r w:rsidR="005145F6">
        <w:rPr>
          <w:rFonts w:ascii="Times New Roman" w:eastAsia="Times New Roman" w:hAnsi="Times New Roman" w:cs="Times New Roman"/>
          <w:sz w:val="28"/>
          <w:szCs w:val="28"/>
        </w:rPr>
        <w:t>на рисунках 3.2</w:t>
      </w:r>
      <w:r w:rsidRPr="00153E07">
        <w:rPr>
          <w:rFonts w:ascii="Times New Roman" w:eastAsia="Times New Roman" w:hAnsi="Times New Roman" w:cs="Times New Roman"/>
          <w:sz w:val="28"/>
          <w:szCs w:val="28"/>
        </w:rPr>
        <w:t>.</w:t>
      </w:r>
      <w:r w:rsidR="00227D40">
        <w:rPr>
          <w:rFonts w:ascii="Times New Roman" w:eastAsia="Times New Roman" w:hAnsi="Times New Roman" w:cs="Times New Roman"/>
          <w:sz w:val="28"/>
          <w:szCs w:val="28"/>
        </w:rPr>
        <w:t xml:space="preserve"> – 3.5.</w:t>
      </w:r>
    </w:p>
    <w:p w:rsidR="00433854"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1905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3.2 - Численность постоянного населения, тыс.чел.</w:t>
      </w:r>
    </w:p>
    <w:p w:rsidR="00433854" w:rsidRDefault="00433854" w:rsidP="00153E07">
      <w:pPr>
        <w:tabs>
          <w:tab w:val="left" w:pos="2177"/>
        </w:tabs>
        <w:spacing w:after="0"/>
        <w:ind w:firstLine="709"/>
        <w:jc w:val="both"/>
        <w:rPr>
          <w:rFonts w:ascii="Times New Roman" w:eastAsia="Times New Roman" w:hAnsi="Times New Roman" w:cs="Times New Roman"/>
          <w:sz w:val="28"/>
          <w:szCs w:val="28"/>
        </w:rPr>
      </w:pPr>
    </w:p>
    <w:p w:rsidR="005145F6" w:rsidRDefault="005145F6" w:rsidP="00153E07">
      <w:pPr>
        <w:tabs>
          <w:tab w:val="left" w:pos="2177"/>
        </w:tabs>
        <w:spacing w:after="0"/>
        <w:ind w:firstLine="709"/>
        <w:jc w:val="both"/>
        <w:rPr>
          <w:rFonts w:ascii="Times New Roman" w:eastAsia="Times New Roman" w:hAnsi="Times New Roman" w:cs="Times New Roman"/>
          <w:sz w:val="28"/>
          <w:szCs w:val="28"/>
        </w:rPr>
      </w:pP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3.3 – Индекс промышленного производства</w:t>
      </w:r>
    </w:p>
    <w:p w:rsidR="005145F6" w:rsidRDefault="005145F6" w:rsidP="00D527CE">
      <w:pPr>
        <w:tabs>
          <w:tab w:val="left" w:pos="2177"/>
        </w:tabs>
        <w:spacing w:after="0" w:line="240" w:lineRule="auto"/>
        <w:ind w:firstLine="709"/>
        <w:jc w:val="center"/>
        <w:rPr>
          <w:rFonts w:ascii="Times New Roman" w:eastAsia="Times New Roman" w:hAnsi="Times New Roman" w:cs="Times New Roman"/>
          <w:sz w:val="28"/>
          <w:szCs w:val="28"/>
        </w:rPr>
      </w:pPr>
    </w:p>
    <w:p w:rsidR="005145F6" w:rsidRP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lastRenderedPageBreak/>
        <w:drawing>
          <wp:inline distT="0" distB="0" distL="0" distR="0">
            <wp:extent cx="4572000" cy="2743200"/>
            <wp:effectExtent l="0" t="0" r="0" b="0"/>
            <wp:docPr id="2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3.4 – Динамика начисленной заработной платы работников предприятий и организаций</w:t>
      </w: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19050" t="0" r="19050" b="0"/>
            <wp:docPr id="26"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3.5 – Темп роста неналоговых доходов консолидированного бюджета Бардымского муниципального района</w:t>
      </w:r>
    </w:p>
    <w:p w:rsidR="005145F6" w:rsidRDefault="005145F6" w:rsidP="00D527CE">
      <w:pPr>
        <w:tabs>
          <w:tab w:val="left" w:pos="2177"/>
        </w:tabs>
        <w:spacing w:after="0" w:line="240" w:lineRule="auto"/>
        <w:ind w:firstLine="709"/>
        <w:jc w:val="center"/>
        <w:rPr>
          <w:rFonts w:ascii="Times New Roman" w:eastAsia="Times New Roman" w:hAnsi="Times New Roman" w:cs="Times New Roman"/>
          <w:sz w:val="28"/>
          <w:szCs w:val="28"/>
        </w:rPr>
      </w:pPr>
    </w:p>
    <w:p w:rsidR="005145F6" w:rsidRPr="00153E07" w:rsidRDefault="005145F6" w:rsidP="00153E07">
      <w:pPr>
        <w:tabs>
          <w:tab w:val="left" w:pos="2177"/>
        </w:tabs>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160" w:line="259" w:lineRule="auto"/>
        <w:jc w:val="both"/>
        <w:rPr>
          <w:rFonts w:ascii="Times New Roman" w:eastAsiaTheme="majorEastAsia" w:hAnsi="Times New Roman" w:cs="Times New Roman"/>
          <w:b/>
          <w:bCs/>
          <w:sz w:val="28"/>
          <w:szCs w:val="28"/>
        </w:rPr>
      </w:pPr>
      <w:r w:rsidRPr="00153E07">
        <w:rPr>
          <w:rFonts w:ascii="Times New Roman" w:hAnsi="Times New Roman" w:cs="Times New Roman"/>
          <w:sz w:val="28"/>
          <w:szCs w:val="28"/>
        </w:rPr>
        <w:br w:type="page"/>
      </w:r>
    </w:p>
    <w:p w:rsidR="00153E07" w:rsidRPr="00153E07" w:rsidRDefault="00153E07" w:rsidP="00543488">
      <w:pPr>
        <w:pStyle w:val="1"/>
        <w:numPr>
          <w:ilvl w:val="1"/>
          <w:numId w:val="7"/>
        </w:numPr>
        <w:spacing w:line="240" w:lineRule="auto"/>
      </w:pPr>
      <w:r w:rsidRPr="00153E07">
        <w:lastRenderedPageBreak/>
        <w:t>Система оценки и контроля (мониторинга) реализации Стратегии социально-экономического развития Бардымского муниципального района на 2018-2030 годы</w:t>
      </w:r>
    </w:p>
    <w:p w:rsidR="0075760E" w:rsidRPr="0075760E" w:rsidRDefault="00E65761" w:rsidP="00543488">
      <w:pPr>
        <w:spacing w:line="240" w:lineRule="auto"/>
        <w:ind w:firstLine="709"/>
        <w:jc w:val="both"/>
        <w:rPr>
          <w:rFonts w:ascii="Times New Roman" w:hAnsi="Times New Roman" w:cs="Times New Roman"/>
          <w:b/>
          <w:sz w:val="28"/>
          <w:szCs w:val="28"/>
        </w:rPr>
      </w:pPr>
      <w:r w:rsidRPr="0075760E">
        <w:rPr>
          <w:rFonts w:ascii="Times New Roman" w:eastAsia="Times New Roman" w:hAnsi="Times New Roman" w:cs="Times New Roman"/>
          <w:b/>
          <w:sz w:val="28"/>
          <w:szCs w:val="28"/>
        </w:rPr>
        <w:t xml:space="preserve">Стратегической целью стратегии развития является </w:t>
      </w:r>
      <w:r w:rsidR="0075760E" w:rsidRPr="0075760E">
        <w:rPr>
          <w:rFonts w:ascii="Times New Roman" w:hAnsi="Times New Roman" w:cs="Times New Roman"/>
          <w:b/>
          <w:sz w:val="28"/>
          <w:szCs w:val="28"/>
        </w:rPr>
        <w:t>повышение качества жизни и создание благоприятных условий для жизни и деятельности населения района.</w:t>
      </w:r>
    </w:p>
    <w:p w:rsidR="00153E07" w:rsidRPr="00153E07" w:rsidRDefault="00153E07" w:rsidP="00543488">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Контроль за реализацией Стратегии социально-экономического развития Бардымского муниципального района осуществляется Управлением финансов и планово-экономическим отделом </w:t>
      </w:r>
      <w:r w:rsidR="00AE52B1">
        <w:rPr>
          <w:rFonts w:ascii="Times New Roman" w:eastAsia="Times New Roman" w:hAnsi="Times New Roman" w:cs="Times New Roman"/>
          <w:sz w:val="28"/>
          <w:szCs w:val="28"/>
        </w:rPr>
        <w:t xml:space="preserve">Администрации </w:t>
      </w:r>
      <w:r w:rsidRPr="00153E07">
        <w:rPr>
          <w:rFonts w:ascii="Times New Roman" w:eastAsia="Times New Roman" w:hAnsi="Times New Roman" w:cs="Times New Roman"/>
          <w:sz w:val="28"/>
          <w:szCs w:val="28"/>
        </w:rPr>
        <w:t>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Итоги мониторинга Стратегии подводятся ежегодно в сводных аналитических отчетах, подготавливаемых соисполнителями по итогам отчетного финансового года с выводами о степени достижения целей и необходимости корректировки стратегического плана.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Годовой отчет о реализации Стратегии социально-экономического развития содержит:</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 конкретные результаты, достигнутые за отчетный период;</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а.1) сведения о достижении целевых показателей (индикаторов)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 перечень контрольных событий, выполненных и не выполненных (с указанием причин) в установленные сроки согласно плану реализации;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перечень мероприятий, выполненных и не выполненных (с указанием причин) в установленные сроки;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 анализ факторов, повлиявших на ход реализации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 данные об использовании бюджетных ассигнований и иных средств на выполнение мероприятий;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 информацию о внесенных ответственным исполнителем изменениях в государственную программу;</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ж) аналитический отчет о выполнении мероприятий приоритетных национальных проектов;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 оценку эффективности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w:t>
      </w:r>
      <w:r w:rsidR="00D53C1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предложения об изменении форм и методов управления реализацией государственной программы, о сокращении (увеличении) финансирования и (или) корректировке, досрочном прекращении основных мероприятий или государственной программы в целом;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к)иную информацию в соответствии с методическими указаниями.</w:t>
      </w:r>
      <w:r w:rsidRPr="00153E07">
        <w:rPr>
          <w:rStyle w:val="aff2"/>
          <w:rFonts w:ascii="Times New Roman" w:eastAsia="Times New Roman" w:hAnsi="Times New Roman" w:cs="Times New Roman"/>
          <w:sz w:val="28"/>
          <w:szCs w:val="28"/>
        </w:rPr>
        <w:footnoteReference w:id="11"/>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оценки эффективности реализации муниципальной программы основывается на положениях </w:t>
      </w:r>
      <w:hyperlink r:id="rId104" w:anchor="Par890" w:history="1">
        <w:r w:rsidRPr="00153E07">
          <w:rPr>
            <w:rFonts w:ascii="Times New Roman" w:eastAsia="Times New Roman" w:hAnsi="Times New Roman" w:cs="Times New Roman"/>
            <w:sz w:val="28"/>
            <w:szCs w:val="28"/>
          </w:rPr>
          <w:t>м</w:t>
        </w:r>
      </w:hyperlink>
      <w:r w:rsidRPr="00153E07">
        <w:rPr>
          <w:rFonts w:ascii="Times New Roman" w:hAnsi="Times New Roman" w:cs="Times New Roman"/>
          <w:sz w:val="28"/>
          <w:szCs w:val="28"/>
        </w:rPr>
        <w:t>етодики</w:t>
      </w:r>
      <w:r w:rsidRPr="00153E07">
        <w:rPr>
          <w:rFonts w:ascii="Times New Roman" w:eastAsia="Times New Roman" w:hAnsi="Times New Roman" w:cs="Times New Roman"/>
          <w:sz w:val="28"/>
          <w:szCs w:val="28"/>
        </w:rPr>
        <w:t xml:space="preserve"> оценки эффективности реализации муниципальных программ.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соответствии с методикой, для оценки степени достижения целей и решения задач Стратегии определяется степень достижения целевых значений каждого показателя (индикатора), предусмотренных Стратегией.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Степень достижения целевого значения индикатора рассчитывается по следующим формулам: </w:t>
      </w:r>
    </w:p>
    <w:p w:rsidR="00153E07" w:rsidRPr="00153E07" w:rsidRDefault="00153E07" w:rsidP="00D527CE">
      <w:pPr>
        <w:pStyle w:val="af1"/>
        <w:numPr>
          <w:ilvl w:val="0"/>
          <w:numId w:val="13"/>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индикаторов, желаемой тенденцией развития которых является увеличение значений: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8"/>
                <w:sz w:val="28"/>
                <w:szCs w:val="28"/>
              </w:rPr>
              <w:object w:dxaOrig="1160" w:dyaOrig="660">
                <v:shape id="_x0000_i1027" type="#_x0000_t75" style="width:57.6pt;height:32.25pt" o:ole="">
                  <v:imagedata r:id="rId105" o:title=""/>
                </v:shape>
                <o:OLEObject Type="Embed" ProgID="Equation.3" ShapeID="_x0000_i1027" DrawAspect="Content" ObjectID="_1589718553" r:id="rId106"/>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(3.1)</w:t>
            </w:r>
          </w:p>
          <w:p w:rsidR="00153E07" w:rsidRPr="00153E07" w:rsidRDefault="00153E07" w:rsidP="00D527CE">
            <w:pPr>
              <w:tabs>
                <w:tab w:val="left" w:pos="2177"/>
              </w:tabs>
              <w:jc w:val="both"/>
              <w:rPr>
                <w:rFonts w:ascii="Times New Roman" w:eastAsia="Times New Roman" w:hAnsi="Times New Roman" w:cs="Times New Roman"/>
                <w:sz w:val="28"/>
                <w:szCs w:val="28"/>
              </w:rPr>
            </w:pPr>
          </w:p>
        </w:tc>
      </w:tr>
    </w:tbl>
    <w:p w:rsidR="00153E07" w:rsidRPr="00153E07" w:rsidRDefault="00153E07" w:rsidP="00D527CE">
      <w:pPr>
        <w:pStyle w:val="af1"/>
        <w:numPr>
          <w:ilvl w:val="0"/>
          <w:numId w:val="13"/>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индикаторов, желаемой тенденцией развития которых является снижение значений: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8"/>
                <w:sz w:val="28"/>
                <w:szCs w:val="28"/>
              </w:rPr>
              <w:object w:dxaOrig="1160" w:dyaOrig="660">
                <v:shape id="_x0000_i1028" type="#_x0000_t75" style="width:57.6pt;height:32.25pt" o:ole="">
                  <v:imagedata r:id="rId107" o:title=""/>
                </v:shape>
                <o:OLEObject Type="Embed" ProgID="Equation.3" ShapeID="_x0000_i1028" DrawAspect="Content" ObjectID="_1589718554" r:id="rId108"/>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(3.2)</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где: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СД – степень достижения целевого значения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ЗПф – фактическое (текущее) значение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ЗПц – целевое (плановое) значение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Степень реализации ключевого показателя Стратегии рассчитывается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4"/>
                <w:sz w:val="28"/>
                <w:szCs w:val="28"/>
              </w:rPr>
              <w:object w:dxaOrig="1400" w:dyaOrig="960">
                <v:shape id="_x0000_i1029" type="#_x0000_t75" style="width:67.95pt;height:46.65pt" o:ole="">
                  <v:imagedata r:id="rId109" o:title=""/>
                </v:shape>
                <o:OLEObject Type="Embed" ProgID="Equation.3" ShapeID="_x0000_i1029" DrawAspect="Content" ObjectID="_1589718555" r:id="rId110"/>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(3.3)</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Где: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СРп – степень реализации ключевого показателя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СД - степень достижения целевого значения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lang w:val="en-US"/>
        </w:rPr>
        <w:t>N</w:t>
      </w:r>
      <w:r w:rsidRPr="00153E07">
        <w:rPr>
          <w:rFonts w:ascii="Times New Roman" w:eastAsia="Times New Roman" w:hAnsi="Times New Roman" w:cs="Times New Roman"/>
          <w:sz w:val="28"/>
          <w:szCs w:val="28"/>
        </w:rPr>
        <w:t xml:space="preserve"> – число индикаторов, включаемых в данный ключевой показатель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использовании данной формулы в случаях, если значение СД&gt; 1, значение СД принимается равным 1.</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Степень реализации Стратегии социально-экономического развития рассчитывается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4"/>
                <w:sz w:val="28"/>
                <w:szCs w:val="28"/>
              </w:rPr>
              <w:object w:dxaOrig="1800" w:dyaOrig="960">
                <v:shape id="_x0000_i1030" type="#_x0000_t75" style="width:89.85pt;height:46.65pt" o:ole="">
                  <v:imagedata r:id="rId111" o:title=""/>
                </v:shape>
                <o:OLEObject Type="Embed" ProgID="Equation.3" ShapeID="_x0000_i1030" DrawAspect="Content" ObjectID="_1589718556" r:id="rId112"/>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(3.3)</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где: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СРссэр – степень реализации Стратегии социально-экономического развития,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СРп - степень реализации ключевого показателя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lang w:val="en-US"/>
        </w:rPr>
        <w:t>M</w:t>
      </w:r>
      <w:r w:rsidRPr="00153E07">
        <w:rPr>
          <w:rFonts w:ascii="Times New Roman" w:eastAsia="Times New Roman" w:hAnsi="Times New Roman" w:cs="Times New Roman"/>
          <w:sz w:val="28"/>
          <w:szCs w:val="28"/>
        </w:rPr>
        <w:t xml:space="preserve"> – количество ключевых показателей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реализации ключевых показателей и всей Стратегии в целом признается высокой в случае, если значения СРп и СРссэр составляют не менее 0,9.</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Эффективность реализации ключевых показателей и всей Стратегии в целом признается средней в случае, если значения СРп и СРссэр составляют не менее 0,8.</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реализации ключевых показателей и всей Стратегии в целом признается удовлетворительной в случае, если значения СРп и СРссэр составляют не менее 0,7.</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остальных случаях эффективность реализации ключевых показателей и всей Стратегии в целом признается неудовлетворительной.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Целью оценки и контроля (мониторинга) стратегии социально-экономического развития является выявление вопросов, которые требуют наибольшей проработки и корректировки стратегического плана.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в процессе реализации Стратегии ответственному исполнителю необходимо подготавливать предложения об изменении форм и методов управления реализацией государственной программы, о сокращении (увеличении) финансирования и (или) корректировке, досрочном прекращении основных мероприятий.</w:t>
      </w:r>
    </w:p>
    <w:p w:rsidR="00153E07" w:rsidRPr="00153E07" w:rsidRDefault="00153E07" w:rsidP="00D527CE">
      <w:pPr>
        <w:spacing w:after="160" w:line="240" w:lineRule="auto"/>
        <w:jc w:val="both"/>
        <w:rPr>
          <w:rFonts w:ascii="Times New Roman" w:eastAsiaTheme="majorEastAsia" w:hAnsi="Times New Roman" w:cs="Times New Roman"/>
          <w:b/>
          <w:bCs/>
          <w:sz w:val="28"/>
          <w:szCs w:val="28"/>
        </w:rPr>
      </w:pPr>
    </w:p>
    <w:p w:rsidR="00153E07" w:rsidRPr="00153E07" w:rsidRDefault="00153E07" w:rsidP="00D527CE">
      <w:pPr>
        <w:pStyle w:val="1"/>
        <w:numPr>
          <w:ilvl w:val="1"/>
          <w:numId w:val="7"/>
        </w:numPr>
        <w:spacing w:line="240" w:lineRule="auto"/>
      </w:pPr>
      <w:r w:rsidRPr="00153E07">
        <w:t>Оценка социально-экономических последствий реализации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успешного социально-экономического развития Бардымского муниципального района необходима современная инженерная и транспортная инфраструктура, которая обеспечит потребности и транспортную доступность новых производств, а также их конкурентоспособность.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w:t>
      </w:r>
      <w:r w:rsidRPr="00D53C12">
        <w:rPr>
          <w:rFonts w:ascii="Times New Roman" w:eastAsia="Times New Roman" w:hAnsi="Times New Roman" w:cs="Times New Roman"/>
          <w:b/>
          <w:sz w:val="28"/>
          <w:szCs w:val="28"/>
        </w:rPr>
        <w:t>основными проектами в направлении экономического развития Бардымского муниципального района выступают</w:t>
      </w:r>
      <w:r w:rsidRPr="00153E07">
        <w:rPr>
          <w:rFonts w:ascii="Times New Roman" w:eastAsia="Times New Roman" w:hAnsi="Times New Roman" w:cs="Times New Roman"/>
          <w:sz w:val="28"/>
          <w:szCs w:val="28"/>
        </w:rPr>
        <w:t>:</w:t>
      </w:r>
    </w:p>
    <w:p w:rsidR="00153E07" w:rsidRPr="00153E07" w:rsidRDefault="00AE52B1"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53E07" w:rsidRPr="00153E07">
        <w:rPr>
          <w:rFonts w:ascii="Times New Roman" w:eastAsia="Times New Roman" w:hAnsi="Times New Roman" w:cs="Times New Roman"/>
          <w:sz w:val="28"/>
          <w:szCs w:val="28"/>
        </w:rPr>
        <w:t>оздание комплексной особой экономической зоны с привлечением существующих КФХ и ЛПХ, а также новых инвесторов;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производств</w:t>
      </w:r>
      <w:r w:rsidR="00AE52B1">
        <w:rPr>
          <w:rFonts w:ascii="Times New Roman" w:eastAsia="Times New Roman" w:hAnsi="Times New Roman" w:cs="Times New Roman"/>
          <w:sz w:val="28"/>
          <w:szCs w:val="28"/>
        </w:rPr>
        <w:t xml:space="preserve">о </w:t>
      </w:r>
      <w:r w:rsidRPr="00153E07">
        <w:rPr>
          <w:rFonts w:ascii="Times New Roman" w:eastAsia="Times New Roman" w:hAnsi="Times New Roman" w:cs="Times New Roman"/>
          <w:sz w:val="28"/>
          <w:szCs w:val="28"/>
        </w:rPr>
        <w:t>профилированных железных листов, брикетов из дробленой древесины;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организация производства комбикормов, строительство тепличных хозяйств, мясо- и молокоперерабатывающих производств;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организация кооператива по о</w:t>
      </w:r>
      <w:r w:rsidR="00F805FA">
        <w:rPr>
          <w:rFonts w:ascii="Times New Roman" w:eastAsia="Times New Roman" w:hAnsi="Times New Roman" w:cs="Times New Roman"/>
          <w:sz w:val="28"/>
          <w:szCs w:val="28"/>
        </w:rPr>
        <w:t>казанию бытовых услуг населению.</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Реализация вышеуказанных проектов повлечет за собой появление новых рабочих мест. Недостаток рабочей силы в районе возможно компенсировать за счет миграционного прироста населения. Привлечению населения в район будет способствовать развитие социальной инфраструктуры.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D53C12">
        <w:rPr>
          <w:rFonts w:ascii="Times New Roman" w:eastAsia="Times New Roman" w:hAnsi="Times New Roman" w:cs="Times New Roman"/>
          <w:b/>
          <w:sz w:val="28"/>
          <w:szCs w:val="28"/>
        </w:rPr>
        <w:t>Проектами развития социальной инфраструктуры</w:t>
      </w:r>
      <w:r w:rsidRPr="00153E07">
        <w:rPr>
          <w:rFonts w:ascii="Times New Roman" w:eastAsia="Times New Roman" w:hAnsi="Times New Roman" w:cs="Times New Roman"/>
          <w:sz w:val="28"/>
          <w:szCs w:val="28"/>
        </w:rPr>
        <w:t xml:space="preserve"> в Бардымском муниципальном районе выступают:</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мусороперегрузочной станции;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газификация сельских поселений;</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новых современных и реконструкция имеющихся объектов культуры;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строительство новых и реконструкция имеющихся школ и детских садов;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спортивных объектов;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общежития для студентов краевого политехнического колледжа;</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оптико-волоконных линий связи;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антенн сотовой связи;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линий электропередач, водопроводов;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зон отдыха, парков культуры;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ремонт сельских дорог;</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обустройство инфраструктуры туристических объектов показа.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социальной инфраструктуры, доступность ресурсов информационно-коммуникационных технологий в муниципальном районе способствует притоку и удержанию в районе населения.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филиале ГАПОУ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Краевой политехнический колледж</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ежегодно обучается 250 студентов. 37% обучающихся проживают в удаленных населенных пунктах Бардымского района и преимущественно являются членами малообеспеченных семей.</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В связи с этим становится острой проблема проживания студентов, и контроля за их общественным поведением.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Практически все выпускники 9-х классов таких школ как: Кармановская ООШ, Елпачихинская СОШ,</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Константиновская ООШ,</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Акбашевская ООШ, Бичуринская СОШ, Сарашевская СОШ, Печменская СОШ поступают</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по схожим профессиям и специальностям, в учебные заведения среднего профессионального образования южной зоны в г.Чернушка, г.Оса, г.Чайковский, так как в Бардымском филиале отсутствует общежитие.</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Уезжая из Бардымского района, выпускники школ в своей основной массе не возвращаются обратно. Наличие общежития в Краевом политехническом колледже позволит молодежи получать профессиональное образование в своем родном районе, что будет способствовать удержанию</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молодых специалистов и квалифицированных рабочих в родном районе.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Кроме того, наличие общежития позволит контролировать условия проживания и времяпровождения студентов, что будет способствовать снижению преступности в Бардымском районе.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стадиона является препятствием для проведения на качественном уровне с учетом современных требований занятий по физической культуре и спортивно-массовых мероприятий для жителей с.Барда. Состав стадиона: мини-футбольное поле, беговые дорожки, трибуны, ограждения. Данный стадион будет являться спортивным объектом, на котором в дневное время занимаются студенты, а ранним утром, во второй половине дня и вечером пользуются жители района различного возрастного состава от молодежи до пенсионеров.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стадиона обеспечит потребность студентов и жителей районного центра в занятиях физической культурой и спортом на открытом воздухе, что будет способствовать созданию условий для укрепления здоровья обучающихся и граждан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Стадион может выступать в качестве центра притяжения и проведения районных и краевых массовых спортивных мероприятий на открытом воздухе.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Появление новых рабочих мест в Бардымском районе будет способствовать спросу на качественное жилье, что увеличит темпы роста жилищного строительства.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агропромышленного кластера и производственных предприятий в районе будет способствовать развитию банковского сектора и кредитной инфраструктуры в муниципальном районе.</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транспортной инфраструктуры позволит наладить систему товародвижения, сократить затраты на закупку и обеспечить конкурентоспособность производимой продукции.</w:t>
      </w:r>
    </w:p>
    <w:p w:rsidR="00E65761" w:rsidRPr="00153E07" w:rsidRDefault="00E65761" w:rsidP="00D527CE">
      <w:pPr>
        <w:tabs>
          <w:tab w:val="left" w:pos="217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Прогнозные показатели социально-экономических последствий реализации Стратегии представлены в приложениях 5-7.</w:t>
      </w:r>
    </w:p>
    <w:p w:rsidR="00153E07" w:rsidRPr="00153E07" w:rsidRDefault="00153E07" w:rsidP="00D527CE">
      <w:pPr>
        <w:spacing w:after="160" w:line="240" w:lineRule="auto"/>
        <w:jc w:val="both"/>
        <w:rPr>
          <w:rFonts w:ascii="Times New Roman" w:hAnsi="Times New Roman" w:cs="Times New Roman"/>
          <w:sz w:val="28"/>
          <w:szCs w:val="28"/>
        </w:rPr>
      </w:pPr>
    </w:p>
    <w:p w:rsidR="00153E07" w:rsidRPr="00153E07" w:rsidRDefault="00153E07" w:rsidP="00D527CE">
      <w:pPr>
        <w:pStyle w:val="1"/>
        <w:numPr>
          <w:ilvl w:val="1"/>
          <w:numId w:val="7"/>
        </w:numPr>
        <w:spacing w:line="240" w:lineRule="auto"/>
      </w:pPr>
      <w:r w:rsidRPr="00153E07">
        <w:t>Механизмы реализации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Механизмами реализации стратегии социально-экономического развития выступает совокупность принципов, функций, методов и инструментов управленческого воздействия на процесс социально-экономического развития территории, применяемых территориальными органами власти для достижения стратегических целей и обеспечения приоритетов развития региона.</w:t>
      </w:r>
      <w:r w:rsidRPr="00153E07">
        <w:rPr>
          <w:rFonts w:ascii="Times New Roman" w:eastAsia="Times New Roman" w:hAnsi="Times New Roman" w:cs="Times New Roman"/>
          <w:sz w:val="28"/>
          <w:szCs w:val="28"/>
          <w:vertAlign w:val="superscript"/>
        </w:rPr>
        <w:footnoteReference w:id="12"/>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Принципами реализации стратегии являются: системность, эффективность, адаптивность, непрерывность, целенаправленность и приоритетность, социальное партнерство, гласность и открытость.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Наиболее важным принципом в данной стратегии является принцип социального партнерства, который заключается во взаимодействии и согласовании интересов стейкхолдеров в рамках реализации стратегии социально-экономического развития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Стейкхолдерами выступают заинтересованные лица, участники разработки и реализации стратегии, к которым относятся органы государственной власти, научная общественность, бизнес-сообщество и население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Ключевым моментом стратегии является переход к другой модели развития, который включает в себя развитие компенсирующих отраслей народного хозяйства.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Механизмы реализации, как правило, основываются на организационно-правовом и ресурсном обеспечении Стратегии.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Организационно-правовое обеспечение реализации стратегии социально-экономического развития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Федеральный закон от 28.06.2014 № 172-ФЗ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 стратегическом планировании в Российской Федерации;</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Федеральный закон от 06.10.2003 № 131-ФЗ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Распоряжение Правительства Российской Федерации от 07.02.2011 № 165-р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Об утверждении </w:t>
      </w:r>
      <w:hyperlink r:id="rId113" w:anchor="Par28" w:history="1">
        <w:r w:rsidRPr="00153E07">
          <w:rPr>
            <w:rFonts w:ascii="Times New Roman" w:eastAsia="Times New Roman" w:hAnsi="Times New Roman" w:cs="Times New Roman"/>
            <w:sz w:val="28"/>
            <w:szCs w:val="28"/>
          </w:rPr>
          <w:t>Стратеги</w:t>
        </w:r>
      </w:hyperlink>
      <w:r w:rsidRPr="00153E07">
        <w:rPr>
          <w:rFonts w:ascii="Times New Roman" w:eastAsia="Times New Roman" w:hAnsi="Times New Roman" w:cs="Times New Roman"/>
          <w:sz w:val="28"/>
          <w:szCs w:val="28"/>
        </w:rPr>
        <w:t>и социально-экономического развития Приволжского федерального округа на период до 2020 года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Стандарт деятельности органов местного самоуправления Пермского края по обеспечению благоприятного инвестиционного климата, утвержденного Протоколом Совета Пермского краевого регионального отделения Общероссийской общественной организации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Деловая Россия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от 21.03.2014 № 3/14;</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Постановление Законодательного собрания Пермского края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Об утверждении </w:t>
      </w:r>
      <w:hyperlink r:id="rId114" w:anchor="Par32" w:history="1">
        <w:r w:rsidRPr="00153E07">
          <w:rPr>
            <w:rFonts w:ascii="Times New Roman" w:eastAsia="Times New Roman" w:hAnsi="Times New Roman" w:cs="Times New Roman"/>
            <w:sz w:val="28"/>
            <w:szCs w:val="28"/>
          </w:rPr>
          <w:t>Стратеги</w:t>
        </w:r>
      </w:hyperlink>
      <w:r w:rsidRPr="00153E07">
        <w:rPr>
          <w:rFonts w:ascii="Times New Roman" w:eastAsia="Times New Roman" w:hAnsi="Times New Roman" w:cs="Times New Roman"/>
          <w:sz w:val="28"/>
          <w:szCs w:val="28"/>
        </w:rPr>
        <w:t>и социально-экономического развития Пермского края до 2026 года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от 01.12.2011 № 3046;</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Устав Бардымского муниципального района Пермского края;</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Схема территориального планирования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Генеральные планы поселений, входящие в состав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Муниципальные целевые программы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Инвестиционные муниципальные проекты (программы)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Стратегическое планирование социально-экономического развития территории сдержит два ключевых этапа: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 разработки стратегии социально-экономического развития территории;</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 реализации стратегии социально-экономического развития территории.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Из данных этапов вытекают функции управления реализацией стратегии: планирование, исполнение, контроль и мониторинг реализации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Финансирование Стратегии осуществляется за счет средств бюджета Бардымского муниципального района, средств краевого и федерального бюджетов, средств субъектов малого и среднего предпринимательства, а также организаций, образующих инфраструктуру поддержки предпринимательства и субъектов предпринимательства Бардымского муниципального района</w:t>
      </w:r>
      <w:r w:rsidR="00CB7DA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в размерах, предусмотренных целевыми программами муниципального района.</w:t>
      </w:r>
    </w:p>
    <w:p w:rsidR="00570AAF" w:rsidRPr="00570AAF" w:rsidRDefault="00153E07" w:rsidP="00570AAF">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Финансирование мероприятий за счет средств районного бюджета предполагает ежегодное утверждение предусмотренных сумм на эти цели при формировании бюджета на очередной финансовый год. В ходе реализации Стратегии возможно корректировка объемов финансирования отдельных мероприятий в соответствии с полученной экономией всех средств, предусмотренных на эти цели, а также дополнительное финансирование за счет свободного остатка средств бюджета Бардымского муниципального района.</w:t>
      </w:r>
    </w:p>
    <w:p w:rsidR="00570AAF" w:rsidRPr="00333885" w:rsidRDefault="00570AAF" w:rsidP="00570AAF">
      <w:pPr>
        <w:tabs>
          <w:tab w:val="left" w:pos="2177"/>
        </w:tabs>
        <w:spacing w:after="0" w:line="240" w:lineRule="auto"/>
        <w:ind w:firstLine="709"/>
        <w:jc w:val="both"/>
        <w:rPr>
          <w:rFonts w:ascii="Times New Roman" w:eastAsia="Times New Roman" w:hAnsi="Times New Roman" w:cs="Times New Roman"/>
          <w:sz w:val="28"/>
          <w:szCs w:val="28"/>
        </w:rPr>
      </w:pPr>
    </w:p>
    <w:p w:rsidR="00153E07" w:rsidRPr="00570AAF" w:rsidRDefault="0075760E" w:rsidP="00570AAF">
      <w:pPr>
        <w:tabs>
          <w:tab w:val="left" w:pos="2177"/>
        </w:tabs>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lastRenderedPageBreak/>
        <w:t xml:space="preserve">3.10. </w:t>
      </w:r>
      <w:r w:rsidR="00153E07" w:rsidRPr="00D53C12">
        <w:rPr>
          <w:rFonts w:ascii="Times New Roman" w:hAnsi="Times New Roman" w:cs="Times New Roman"/>
          <w:b/>
          <w:sz w:val="28"/>
          <w:szCs w:val="28"/>
        </w:rPr>
        <w:t>Контроль и мониторинг реализации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Один из аспектов деятельности администрации Бардымского района направлен на осуществление комплексного управления реализацией стратегии, включающая установленные полномочия. А именно определение эффективных методов по организации стратегии работ, также координировании работ исполнителей мероприятий и контроле качества работ, а также сроков реализации исполнения договоров и контрактов. </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Организаторами реализации основных направлении развития, которые соответствуют заданным программам выступает администрация Бардымского муниципального района. </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Проект Стратегии разрабатывается администрацией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с привлечением всех профильных структурных подразделений,  общественных, научных и иных организаций с учетом требований законодательства Российской Федерации о государственной, коммерческой, служебной и иной охраняемой законом тайне.</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Разработанный проект Стратегии вносится в установленном порядке в представительный орган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 Земское Собрание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(далее – Земское Собрание) и выносится на общественные слушания с учетом требований законодательства Российской Федерации, в том числе законодательства Российской Федерации о государственной, коммерческой, служебной и иной охраняемой законом тайне путем размещения проекта на официальном сайте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а также на общедоступном информационном ресурсе стратегического планирования в информаци</w:t>
      </w:r>
      <w:r w:rsidR="00D53C12">
        <w:rPr>
          <w:rFonts w:ascii="Times New Roman" w:eastAsia="Times New Roman" w:hAnsi="Times New Roman" w:cs="Times New Roman"/>
          <w:sz w:val="28"/>
          <w:szCs w:val="28"/>
        </w:rPr>
        <w:t>онно-телекоммуникационной сети «</w:t>
      </w:r>
      <w:r w:rsidRPr="006C167F">
        <w:rPr>
          <w:rFonts w:ascii="Times New Roman" w:eastAsia="Times New Roman" w:hAnsi="Times New Roman" w:cs="Times New Roman"/>
          <w:sz w:val="28"/>
          <w:szCs w:val="28"/>
        </w:rPr>
        <w:t>Интернет».</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Форма, порядок и сроки проведения общественных слушаний проекта Стратегии определяются органом местного самоуправления и публикуются на официальном сайте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Замечания и предложения, поступившие в ходе общественных слушаний проекта Стратегии, рассматриваются администрацией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и с учетом мнений профильных структурных подразделений, принимаются или отклоняются. Перечень полученных замечаний и предложений может быть приложен к проекту Стратегии для рассмотрения Земским Собранием.</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Стратегия утверждается Земским Собранием.</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Утверждённая Земским Собранием Стратегия социально-экономического развития </w:t>
      </w:r>
      <w:r w:rsidR="00E97C6A">
        <w:rPr>
          <w:rFonts w:ascii="Times New Roman" w:eastAsia="Times New Roman" w:hAnsi="Times New Roman" w:cs="Times New Roman"/>
          <w:sz w:val="28"/>
          <w:szCs w:val="28"/>
        </w:rPr>
        <w:t>Бардымс</w:t>
      </w:r>
      <w:r w:rsidRPr="006C167F">
        <w:rPr>
          <w:rFonts w:ascii="Times New Roman" w:eastAsia="Times New Roman" w:hAnsi="Times New Roman" w:cs="Times New Roman"/>
          <w:sz w:val="28"/>
          <w:szCs w:val="28"/>
        </w:rPr>
        <w:t>кого муниципального района на 201</w:t>
      </w:r>
      <w:r w:rsidR="00D53C12">
        <w:rPr>
          <w:rFonts w:ascii="Times New Roman" w:eastAsia="Times New Roman" w:hAnsi="Times New Roman" w:cs="Times New Roman"/>
          <w:sz w:val="28"/>
          <w:szCs w:val="28"/>
        </w:rPr>
        <w:t>8</w:t>
      </w:r>
      <w:r w:rsidRPr="006C167F">
        <w:rPr>
          <w:rFonts w:ascii="Times New Roman" w:eastAsia="Times New Roman" w:hAnsi="Times New Roman" w:cs="Times New Roman"/>
          <w:sz w:val="28"/>
          <w:szCs w:val="28"/>
        </w:rPr>
        <w:t xml:space="preserve">-2030 годы размещается на официальном сайте Земского собрания в разделе «Решения Земского собрания», на сайте администрации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в разделе «Перспективы развития», а также на общедоступном информационном ресурсе стратегического планирования в информационно-телекоммуникационной сети </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Интернет</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 xml:space="preserve"> (далее - сеть </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Интернет</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Мониторинг и контроль реализации стратегии осуществляют соответствующие направлениям развития подразделения Администрации Бардымского муниципального района Пермского края, а также Земское Собрание </w:t>
      </w:r>
      <w:r w:rsidRPr="00153E07">
        <w:rPr>
          <w:rFonts w:ascii="Times New Roman" w:eastAsia="Times New Roman" w:hAnsi="Times New Roman" w:cs="Times New Roman"/>
          <w:sz w:val="28"/>
          <w:szCs w:val="28"/>
        </w:rPr>
        <w:lastRenderedPageBreak/>
        <w:t>Бардымского муниципального района, Контрольно-счетная палата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Администрация Бардымского муниципального района осуществляет управление Стратегией</w:t>
      </w:r>
      <w:r w:rsidR="006C167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и ежегодно через систему количественных и качественных индикативных показателей представляет отчет о ходе ее реализации Земскому Собранию</w:t>
      </w:r>
      <w:r w:rsidR="00F805FA">
        <w:rPr>
          <w:rFonts w:ascii="Times New Roman" w:eastAsia="Times New Roman" w:hAnsi="Times New Roman" w:cs="Times New Roman"/>
          <w:sz w:val="28"/>
          <w:szCs w:val="28"/>
        </w:rPr>
        <w:t xml:space="preserve"> Бардымского района </w:t>
      </w:r>
      <w:r w:rsidRPr="00153E07">
        <w:rPr>
          <w:rFonts w:ascii="Times New Roman" w:eastAsia="Times New Roman" w:hAnsi="Times New Roman" w:cs="Times New Roman"/>
          <w:sz w:val="28"/>
          <w:szCs w:val="28"/>
        </w:rPr>
        <w:t>Пермского края.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Стратегии социально-экономического развития Бардымского муниципального района используется преимущественно программно-целевой метод управления стратегией. Инструментами реализации Стратегии являются муниципальные целевые программы Бардымского муниципального района. Перечень муниципальных целевых программ Бардымского муниципального района представлен в таблице 3.</w:t>
      </w:r>
      <w:r w:rsidR="00D53C12">
        <w:rPr>
          <w:rFonts w:ascii="Times New Roman" w:eastAsia="Times New Roman" w:hAnsi="Times New Roman" w:cs="Times New Roman"/>
          <w:sz w:val="28"/>
          <w:szCs w:val="28"/>
        </w:rPr>
        <w:t>7</w:t>
      </w:r>
      <w:r w:rsidRPr="00153E07">
        <w:rPr>
          <w:rFonts w:ascii="Times New Roman" w:eastAsia="Times New Roman" w:hAnsi="Times New Roman" w:cs="Times New Roman"/>
          <w:sz w:val="28"/>
          <w:szCs w:val="28"/>
        </w:rPr>
        <w:t>.</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tabs>
          <w:tab w:val="left" w:pos="2177"/>
        </w:tabs>
        <w:spacing w:after="0"/>
        <w:ind w:firstLine="709"/>
        <w:jc w:val="both"/>
        <w:rPr>
          <w:rFonts w:ascii="Times New Roman" w:eastAsia="Times New Roman" w:hAnsi="Times New Roman" w:cs="Times New Roman"/>
          <w:sz w:val="28"/>
          <w:szCs w:val="28"/>
        </w:rPr>
        <w:sectPr w:rsidR="00153E07" w:rsidRPr="00153E07" w:rsidSect="001D3C25">
          <w:pgSz w:w="11906" w:h="16838"/>
          <w:pgMar w:top="851" w:right="567" w:bottom="851" w:left="1418" w:header="709" w:footer="709" w:gutter="0"/>
          <w:cols w:space="708"/>
          <w:docGrid w:linePitch="360"/>
        </w:sectPr>
      </w:pPr>
    </w:p>
    <w:p w:rsidR="00153E07" w:rsidRPr="00153E07" w:rsidRDefault="00153E07" w:rsidP="00F805FA">
      <w:pPr>
        <w:tabs>
          <w:tab w:val="left" w:pos="2177"/>
        </w:tabs>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3.</w:t>
      </w:r>
      <w:r w:rsidR="00CB7DA8">
        <w:rPr>
          <w:rFonts w:ascii="Times New Roman" w:eastAsia="Times New Roman" w:hAnsi="Times New Roman" w:cs="Times New Roman"/>
          <w:sz w:val="28"/>
          <w:szCs w:val="28"/>
        </w:rPr>
        <w:t>7</w:t>
      </w:r>
    </w:p>
    <w:p w:rsidR="00153E07" w:rsidRPr="00F805FA" w:rsidRDefault="00153E07" w:rsidP="00F805FA">
      <w:pPr>
        <w:tabs>
          <w:tab w:val="left" w:pos="2177"/>
        </w:tabs>
        <w:spacing w:after="0"/>
        <w:jc w:val="center"/>
        <w:rPr>
          <w:rFonts w:ascii="Times New Roman" w:eastAsia="Times New Roman" w:hAnsi="Times New Roman" w:cs="Times New Roman"/>
          <w:b/>
          <w:sz w:val="28"/>
          <w:szCs w:val="28"/>
        </w:rPr>
      </w:pPr>
      <w:r w:rsidRPr="00F805FA">
        <w:rPr>
          <w:rFonts w:ascii="Times New Roman" w:eastAsia="Times New Roman" w:hAnsi="Times New Roman" w:cs="Times New Roman"/>
          <w:b/>
          <w:sz w:val="28"/>
          <w:szCs w:val="28"/>
        </w:rPr>
        <w:t>Перечень муниципальных целевых программ Бардымского муниципального района</w:t>
      </w:r>
    </w:p>
    <w:tbl>
      <w:tblPr>
        <w:tblW w:w="4948" w:type="pct"/>
        <w:tblLayout w:type="fixed"/>
        <w:tblLook w:val="04A0"/>
      </w:tblPr>
      <w:tblGrid>
        <w:gridCol w:w="413"/>
        <w:gridCol w:w="1206"/>
        <w:gridCol w:w="1326"/>
        <w:gridCol w:w="2833"/>
        <w:gridCol w:w="1278"/>
        <w:gridCol w:w="1559"/>
        <w:gridCol w:w="1417"/>
      </w:tblGrid>
      <w:tr w:rsidR="000771BA" w:rsidRPr="000771BA" w:rsidTr="000771BA">
        <w:trPr>
          <w:cantSplit/>
          <w:trHeight w:val="1007"/>
        </w:trPr>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153E07">
            <w:pPr>
              <w:spacing w:after="0" w:line="240" w:lineRule="auto"/>
              <w:ind w:left="113" w:right="113"/>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Цели</w:t>
            </w:r>
          </w:p>
        </w:tc>
        <w:tc>
          <w:tcPr>
            <w:tcW w:w="601" w:type="pct"/>
            <w:tcBorders>
              <w:top w:val="single" w:sz="4" w:space="0" w:color="auto"/>
              <w:left w:val="nil"/>
              <w:bottom w:val="single" w:sz="4" w:space="0" w:color="auto"/>
              <w:right w:val="single" w:sz="4" w:space="0" w:color="auto"/>
            </w:tcBorders>
            <w:shd w:val="clear" w:color="auto" w:fill="auto"/>
            <w:textDirection w:val="btLr"/>
            <w:vAlign w:val="center"/>
            <w:hideMark/>
          </w:tcPr>
          <w:p w:rsidR="000771BA" w:rsidRPr="000771BA" w:rsidRDefault="000771BA" w:rsidP="00153E07">
            <w:pPr>
              <w:spacing w:after="0" w:line="240" w:lineRule="auto"/>
              <w:ind w:left="113" w:right="113"/>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Задачи</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Программа / Подпрограмма</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Ожидаемый результат</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Куратор</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Ответственный исполнитель</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A725FF">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Соисполнитель</w:t>
            </w:r>
          </w:p>
        </w:tc>
      </w:tr>
      <w:tr w:rsidR="000771BA" w:rsidRPr="000771BA" w:rsidTr="000771BA">
        <w:trPr>
          <w:trHeight w:val="2986"/>
        </w:trPr>
        <w:tc>
          <w:tcPr>
            <w:tcW w:w="20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Цель: Развитие человеческого потенциала</w:t>
            </w:r>
          </w:p>
        </w:tc>
        <w:tc>
          <w:tcPr>
            <w:tcW w:w="601" w:type="pct"/>
            <w:tcBorders>
              <w:top w:val="nil"/>
              <w:left w:val="nil"/>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образования</w:t>
            </w:r>
          </w:p>
        </w:tc>
        <w:tc>
          <w:tcPr>
            <w:tcW w:w="661"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694978">
            <w:pPr>
              <w:spacing w:after="0" w:line="240" w:lineRule="auto"/>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образования Бардымского муниципального района</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bCs/>
                <w:vertAlign w:val="superscript"/>
              </w:rPr>
              <w:t>Конечным результатом реализации муниципальной программы является предоставление общедоступного и бесплатного дошкольного, общего образования, дополнительного образования и воспитания детей. Сфера образования является инвестициями в будущее, поскольку молодое поколение, способное к самореализации, к успешной профессиональной деятельности, обеспечит социально-экономическое развитие района, края, страны.</w:t>
            </w:r>
          </w:p>
        </w:tc>
        <w:tc>
          <w:tcPr>
            <w:tcW w:w="637"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образования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r>
      <w:tr w:rsidR="000771BA" w:rsidRPr="000771BA" w:rsidTr="000771BA">
        <w:trPr>
          <w:trHeight w:val="125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физической культуры и спорта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694978">
            <w:pPr>
              <w:spacing w:after="0" w:line="240" w:lineRule="auto"/>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физической культуры и спорта, пропаганда здорового образа жизни в Бардымском муниципальном районе</w:t>
            </w:r>
            <w:r w:rsidR="00694978">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1. Увеличение численности населения, систематически занимающихся физической культурой и спортом, в том числе детей, подростков и молодежи с 24,5 в 2018 году до 30% в 2020 году.</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образования Администрации Бардымского муниципального района</w:t>
            </w:r>
          </w:p>
        </w:tc>
      </w:tr>
      <w:tr w:rsidR="000771BA" w:rsidRPr="000771BA" w:rsidTr="000771BA">
        <w:trPr>
          <w:trHeight w:val="106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2. Увеличение числа спортсменов Бардымского муниципального района, завоевавших призовые места на краевых и Всероссийских соревнованиях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3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3. Увеличение численности населения, вовлечённых в систему массовых физкультурно-спортивных мероприятий.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 Увеличение количества вновь построенных и реконструированных спортивных объектов: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2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4.1. реконструкция стадиона в с.Барда;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8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4.2. реконструкция хоккейной коробки  в с. Барда;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858"/>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4.3. строительство спортивных залов  в с. Новый Ашап, с. Федорки, с. Брюзли, плоскостные сооружения в с, с.Краснояр-I</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23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5. Увеличение публикаций в средствах массовой информации физкультурно-оздоровительных и спортивных мероприятий, публикаций по пропаганде здорового образа жизни.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6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6.Увеличение доли учащихся и студентов систематически занимающихся ФКС с 56,9  в 2015 году до 59,1 в 2019 году.</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42"/>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7. Увеличение доли лиц с ограниченными возможностями здоровья занимающихся  ФКС с 1,9  в 2015 году до 13,2 в 2018 году.</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5"/>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694978">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культуры и искусства Бардымского муниципального района</w:t>
            </w:r>
          </w:p>
        </w:tc>
        <w:tc>
          <w:tcPr>
            <w:tcW w:w="661"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культуры и искусства Бардымского муниципального района</w:t>
            </w:r>
            <w:r w:rsidR="00694978">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удовлетворенности жителей Бардымского муниципального района качеством предоставления государственных и муниципальных услуг в сфере культуры до 88% к 2020 году;</w:t>
            </w:r>
          </w:p>
        </w:tc>
        <w:tc>
          <w:tcPr>
            <w:tcW w:w="637"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r>
      <w:tr w:rsidR="000771BA" w:rsidRPr="000771BA" w:rsidTr="00694978">
        <w:trPr>
          <w:trHeight w:val="86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xml:space="preserve">- увеличение количества участников культурно-досуговых мероприятий к 2020 году на 7,2 </w:t>
            </w:r>
            <w:r w:rsidRPr="000771BA">
              <w:rPr>
                <w:rFonts w:ascii="Times New Roman" w:eastAsia="Times New Roman" w:hAnsi="Times New Roman" w:cs="Times New Roman"/>
                <w:i/>
                <w:iCs/>
                <w:color w:val="000000"/>
                <w:vertAlign w:val="superscript"/>
              </w:rPr>
              <w:t>%</w:t>
            </w:r>
            <w:r w:rsidRPr="000771BA">
              <w:rPr>
                <w:rFonts w:ascii="Times New Roman" w:eastAsia="Times New Roman" w:hAnsi="Times New Roman" w:cs="Times New Roman"/>
                <w:color w:val="000000"/>
                <w:vertAlign w:val="superscript"/>
              </w:rPr>
              <w:t xml:space="preserve"> (по сравнению с предыдущим периодом);</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185"/>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библиографических записей в сводном электронном каталоге библиотек России (по сравнению с предыдущим годом) до 2,2 % к 2017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8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публичных библиотек, подключенных к сети «Интернет», (в общем количестве библиотек Бардымского муниципального района) до 100 %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09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представленных (во всех формах) зрителю музейных предметов (в общем количестве музейных предметов основного фонда) до 34 %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5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музеев, имеющих сайт в сети «Интернет», в общем количестве музеев до 100 %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5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выставочных проектов до 100%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посещаемости учреждений культуры на 35% к 2020 году (по отношению к 2012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59"/>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виртуальных экспозиции до 2 %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посещаемости музейных учреждений до 0,45%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посещение музеев Пермского края в вечернее и ночное время до 2%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обменных межмузейных выставок до 2%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8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bCs/>
                <w:color w:val="000000"/>
                <w:vertAlign w:val="superscript"/>
              </w:rPr>
              <w:t>- отношение средней заработной платы работников учреждений культуры к средней заработной плате в Бардымском районе – 100,0% к 2020году;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1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bCs/>
                <w:color w:val="000000"/>
                <w:vertAlign w:val="superscript"/>
              </w:rPr>
              <w:t>- увеличение доли детей, привлекаемых к участию в творческих мероприятиях (в общем числе детей) до 4,1 %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4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ежегодное количество молодежи, охваченной патриотическими общественными практиками не менее 400 человек;</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1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молодежи охваченными общественными добровольческими практиками до 10 %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85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 до 10 %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908"/>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объектов культурного наследия, находящихся в удовлетворительном состоянии (не требуется проведение капитального ремонта), от общего количества объектов культурного наследия, расположенных на территории Бардымского района до 50 %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7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начатых строек (переносов, реконструкций) объектов инфраструктуры сферы культуры – 2 объекта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8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инфраструктурных объектов сферы культуры, по которым проведены работы по приведению в нормативное состоянии е до 40 % к 2020году;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44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доля граждан, положительно оценивающих состояние межнациональных отношений, в общем количестве граждан Российской Федерации, проживающих в Пермском крае муниципального района – 89,3%;</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уровень толерантного отношения к представителям другой национальности – 90,3%;</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9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численность участников мероприятий, направленных на этнокультурное развитие народов России и поддержку языкового многообразия – 103%;</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D804FD">
        <w:trPr>
          <w:cantSplit/>
          <w:trHeight w:val="351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эффективности муниципального управления в Бардымском муниципальном районе</w:t>
            </w:r>
          </w:p>
        </w:tc>
        <w:tc>
          <w:tcPr>
            <w:tcW w:w="661"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«Профессиональная переподготовка и повышения квалификации кадров Бардымского муниципального района</w:t>
            </w:r>
            <w:r w:rsidR="00CB02E5">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Формирование системы профессионального и личностного роста муниципальных служащих и работников Администрации Бардымского муниципального района Пермского края, ее структурных подразделений и администраций сельских поселений Бардымского муниципального района Пермского края</w:t>
            </w:r>
          </w:p>
          <w:p w:rsidR="00694978" w:rsidRDefault="00694978" w:rsidP="000771BA">
            <w:pPr>
              <w:spacing w:after="0" w:line="240" w:lineRule="auto"/>
              <w:jc w:val="both"/>
              <w:rPr>
                <w:rFonts w:ascii="Times New Roman" w:eastAsia="Times New Roman" w:hAnsi="Times New Roman" w:cs="Times New Roman"/>
                <w:color w:val="000000"/>
                <w:vertAlign w:val="superscript"/>
              </w:rPr>
            </w:pPr>
          </w:p>
          <w:p w:rsidR="00694978" w:rsidRDefault="00694978" w:rsidP="000771BA">
            <w:pPr>
              <w:spacing w:after="0" w:line="240" w:lineRule="auto"/>
              <w:jc w:val="both"/>
              <w:rPr>
                <w:rFonts w:ascii="Times New Roman" w:eastAsia="Times New Roman" w:hAnsi="Times New Roman" w:cs="Times New Roman"/>
                <w:color w:val="000000"/>
                <w:vertAlign w:val="superscript"/>
              </w:rPr>
            </w:pPr>
          </w:p>
          <w:p w:rsidR="00694978" w:rsidRDefault="00694978" w:rsidP="000771BA">
            <w:pPr>
              <w:spacing w:after="0" w:line="240" w:lineRule="auto"/>
              <w:jc w:val="both"/>
              <w:rPr>
                <w:rFonts w:ascii="Times New Roman" w:eastAsia="Times New Roman" w:hAnsi="Times New Roman" w:cs="Times New Roman"/>
                <w:color w:val="000000"/>
                <w:vertAlign w:val="superscript"/>
              </w:rPr>
            </w:pPr>
          </w:p>
          <w:p w:rsidR="00694978" w:rsidRPr="000771BA" w:rsidRDefault="00694978" w:rsidP="000771BA">
            <w:pPr>
              <w:spacing w:after="0" w:line="240" w:lineRule="auto"/>
              <w:jc w:val="both"/>
              <w:rPr>
                <w:rFonts w:ascii="Times New Roman" w:eastAsia="Times New Roman" w:hAnsi="Times New Roman" w:cs="Times New Roman"/>
                <w:color w:val="000000"/>
                <w:vertAlign w:val="superscript"/>
              </w:rPr>
            </w:pPr>
          </w:p>
        </w:tc>
        <w:tc>
          <w:tcPr>
            <w:tcW w:w="637" w:type="pct"/>
            <w:tcBorders>
              <w:top w:val="nil"/>
              <w:left w:val="nil"/>
              <w:bottom w:val="single" w:sz="4" w:space="0" w:color="auto"/>
              <w:right w:val="single" w:sz="4" w:space="0" w:color="auto"/>
            </w:tcBorders>
            <w:shd w:val="clear" w:color="auto" w:fill="auto"/>
            <w:vAlign w:val="center"/>
            <w:hideMark/>
          </w:tcPr>
          <w:p w:rsidR="000771BA" w:rsidRPr="000771BA" w:rsidRDefault="00694978" w:rsidP="00CB02E5">
            <w:pPr>
              <w:spacing w:after="0" w:line="240" w:lineRule="auto"/>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Управляющий делами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tcBorders>
              <w:top w:val="nil"/>
              <w:left w:val="nil"/>
              <w:bottom w:val="single" w:sz="4" w:space="0" w:color="auto"/>
              <w:right w:val="single" w:sz="4" w:space="0" w:color="auto"/>
            </w:tcBorders>
            <w:shd w:val="clear" w:color="auto" w:fill="auto"/>
            <w:vAlign w:val="center"/>
            <w:hideMark/>
          </w:tcPr>
          <w:p w:rsidR="000771BA" w:rsidRPr="000771BA" w:rsidRDefault="00694978"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Юридический отдел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717"/>
        </w:trPr>
        <w:tc>
          <w:tcPr>
            <w:tcW w:w="20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694978">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lastRenderedPageBreak/>
              <w:t>Экономическое развитие</w:t>
            </w: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694978">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занятости, доходов и качества жизни сельского населения, рост доходности и эффективности сельскохозяйственных товаропроизводителей</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D804FD" w:rsidP="00CB02E5">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w:t>
            </w:r>
            <w:r>
              <w:rPr>
                <w:rFonts w:ascii="Times New Roman" w:eastAsia="Times New Roman" w:hAnsi="Times New Roman" w:cs="Times New Roman"/>
                <w:b/>
                <w:color w:val="000000"/>
                <w:vertAlign w:val="superscript"/>
              </w:rPr>
              <w:t>Создание условий для устойчивого экономического развития</w:t>
            </w:r>
            <w:r w:rsidR="00CB02E5">
              <w:rPr>
                <w:rFonts w:ascii="Times New Roman" w:eastAsia="Times New Roman" w:hAnsi="Times New Roman" w:cs="Times New Roman"/>
                <w:b/>
                <w:color w:val="000000"/>
                <w:vertAlign w:val="superscript"/>
              </w:rPr>
              <w:t>»</w:t>
            </w:r>
            <w:r>
              <w:rPr>
                <w:rFonts w:ascii="Times New Roman" w:eastAsia="Times New Roman" w:hAnsi="Times New Roman" w:cs="Times New Roman"/>
                <w:b/>
                <w:color w:val="000000"/>
                <w:vertAlign w:val="superscript"/>
              </w:rPr>
              <w:t xml:space="preserve"> на 2018-2020 годы / </w:t>
            </w:r>
            <w:r w:rsidRPr="00CB02E5">
              <w:rPr>
                <w:rFonts w:ascii="Times New Roman" w:eastAsia="Times New Roman" w:hAnsi="Times New Roman" w:cs="Times New Roman"/>
                <w:color w:val="000000"/>
                <w:vertAlign w:val="superscript"/>
              </w:rPr>
              <w:t>Подпрограмма «Развитие сельского хозяйства Бардымского муниципального района»</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освоение интенсивных технологий в растениеводстве;</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C313FA"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C313FA"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74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xml:space="preserve">- </w:t>
            </w:r>
            <w:r w:rsidRPr="00FC19C0">
              <w:rPr>
                <w:rFonts w:ascii="Times New Roman" w:eastAsia="Times New Roman" w:hAnsi="Times New Roman" w:cs="Times New Roman"/>
                <w:color w:val="000000"/>
                <w:vertAlign w:val="superscript"/>
              </w:rPr>
              <w:t>увеличение</w:t>
            </w:r>
            <w:r w:rsidRPr="000771BA">
              <w:rPr>
                <w:rFonts w:ascii="Times New Roman" w:eastAsia="Times New Roman" w:hAnsi="Times New Roman" w:cs="Times New Roman"/>
                <w:color w:val="000000"/>
                <w:vertAlign w:val="superscript"/>
              </w:rPr>
              <w:t xml:space="preserve"> внесения минеральных удобрений и выполнение работ по защите растений от вредителей и болезней;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81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переход на посев перспективных высокоурожайных сортов, повышение качества производимой продукции;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87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посевных площадей сельскохозяйственных культур, а также озимых и зернобобовых культур;</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71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решение задач ускоренного наращивания производства мяса и молока;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97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уровня занятости в сельском хозяйстве, повышение имиджа и профессиональной привлекательности сельскохозяйственной отрасли;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00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D804FD">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доходов и качества жизни сельского населения Бардымского муниципального района;</w:t>
            </w:r>
            <w:r w:rsidR="00D804FD">
              <w:rPr>
                <w:rFonts w:ascii="Times New Roman" w:eastAsia="Times New Roman" w:hAnsi="Times New Roman" w:cs="Times New Roman"/>
                <w:color w:val="000000"/>
                <w:vertAlign w:val="superscript"/>
              </w:rPr>
              <w:t xml:space="preserve">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751"/>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числа субъектов малых форм хозяйствования в сельской местности;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91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содействие росту доходности и эффективности деятельности субъектов малых форм хозяйствования;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12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инвестиций из внебюджетных источников (собственных, заемных);</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12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проведение сельскохозяйственных ярмарок с целью привлечения на них участников из числа МФХ;</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12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выполнение задач и достижение предусмотренных подпрограммами показателей, эффективность реализации подпрограмм;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86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объем привлечения федеральных и краевых бюджетных средств;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26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nil"/>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качества оказания государственных услуг, выполнения работ и исполнения государственных функций в сфере развития сельского хозяйства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B02E5" w:rsidRPr="000771BA" w:rsidTr="00C313FA">
        <w:trPr>
          <w:trHeight w:val="1000"/>
        </w:trPr>
        <w:tc>
          <w:tcPr>
            <w:tcW w:w="206" w:type="pct"/>
            <w:vMerge/>
            <w:tcBorders>
              <w:top w:val="nil"/>
              <w:left w:val="single" w:sz="4" w:space="0" w:color="auto"/>
              <w:bottom w:val="single" w:sz="4" w:space="0" w:color="auto"/>
              <w:right w:val="single" w:sz="4" w:space="0" w:color="auto"/>
            </w:tcBorders>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B02E5" w:rsidRPr="000771BA" w:rsidRDefault="00CB02E5" w:rsidP="00FC19C0">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благоприятных условий способствующих развитию СМСП, увеличению количества зарегистрированных СМСП и объемов, производимых ими товаров (работ, услуг), росту налогооблагаемой базы.</w:t>
            </w:r>
          </w:p>
        </w:tc>
        <w:tc>
          <w:tcPr>
            <w:tcW w:w="661" w:type="pct"/>
            <w:vMerge w:val="restart"/>
            <w:tcBorders>
              <w:top w:val="nil"/>
              <w:left w:val="single" w:sz="4" w:space="0" w:color="auto"/>
              <w:bottom w:val="single" w:sz="4" w:space="0" w:color="auto"/>
              <w:right w:val="nil"/>
            </w:tcBorders>
            <w:shd w:val="clear" w:color="auto" w:fill="auto"/>
            <w:vAlign w:val="center"/>
            <w:hideMark/>
          </w:tcPr>
          <w:p w:rsidR="00CB02E5" w:rsidRPr="000771BA" w:rsidRDefault="00CB02E5" w:rsidP="00CB02E5">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w:t>
            </w:r>
            <w:r>
              <w:rPr>
                <w:rFonts w:ascii="Times New Roman" w:eastAsia="Times New Roman" w:hAnsi="Times New Roman" w:cs="Times New Roman"/>
                <w:b/>
                <w:color w:val="000000"/>
                <w:vertAlign w:val="superscript"/>
              </w:rPr>
              <w:t xml:space="preserve">униципальная программа </w:t>
            </w:r>
            <w:r w:rsidRPr="000771BA">
              <w:rPr>
                <w:rFonts w:ascii="Times New Roman" w:eastAsia="Times New Roman" w:hAnsi="Times New Roman" w:cs="Times New Roman"/>
                <w:b/>
                <w:color w:val="000000"/>
                <w:vertAlign w:val="superscript"/>
              </w:rPr>
              <w:t>«</w:t>
            </w:r>
            <w:r w:rsidRPr="00C313FA">
              <w:rPr>
                <w:rFonts w:ascii="Times New Roman" w:eastAsia="Times New Roman" w:hAnsi="Times New Roman" w:cs="Times New Roman"/>
                <w:b/>
                <w:color w:val="000000"/>
                <w:vertAlign w:val="superscript"/>
              </w:rPr>
              <w:t>Создание</w:t>
            </w:r>
            <w:r>
              <w:rPr>
                <w:rFonts w:ascii="Times New Roman" w:eastAsia="Times New Roman" w:hAnsi="Times New Roman" w:cs="Times New Roman"/>
                <w:b/>
                <w:color w:val="000000"/>
                <w:vertAlign w:val="superscript"/>
              </w:rPr>
              <w:t xml:space="preserve"> условий для устойчивого экономического развития» на 2018-2020 годы / </w:t>
            </w:r>
            <w:r w:rsidRPr="00CB02E5">
              <w:rPr>
                <w:rFonts w:ascii="Times New Roman" w:eastAsia="Times New Roman" w:hAnsi="Times New Roman" w:cs="Times New Roman"/>
                <w:color w:val="000000"/>
                <w:vertAlign w:val="superscript"/>
              </w:rPr>
              <w:t>Подпрограмма «Развитие малого и среднего предпринимательства Бардымского муниципального района»</w:t>
            </w: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субъектов малого и среднего предпринимательства, получивших финансовую поддержку (2 в год)</w:t>
            </w:r>
          </w:p>
        </w:tc>
        <w:tc>
          <w:tcPr>
            <w:tcW w:w="637" w:type="pct"/>
            <w:vMerge w:val="restart"/>
            <w:tcBorders>
              <w:top w:val="nil"/>
              <w:left w:val="nil"/>
              <w:bottom w:val="single" w:sz="4" w:space="0" w:color="auto"/>
              <w:right w:val="single" w:sz="4" w:space="0" w:color="auto"/>
            </w:tcBorders>
            <w:shd w:val="clear" w:color="auto" w:fill="auto"/>
            <w:vAlign w:val="center"/>
            <w:hideMark/>
          </w:tcPr>
          <w:p w:rsidR="00CB02E5" w:rsidRPr="000771BA" w:rsidRDefault="00CB02E5"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46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проведенных мероприятий (3 в год)</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1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субъектов, получивших консультационную поддержку до 230 к 2020г.</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CB02E5">
        <w:trPr>
          <w:trHeight w:val="125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C313FA">
            <w:pPr>
              <w:spacing w:after="0" w:line="240" w:lineRule="auto"/>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организаций, образующих инфраструктуру поддержки субъектов малого и среднего предпринимательства, получивших поддержку (1 в год)</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497"/>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субъектов, получивших имущественную поддержку (1 в год)</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3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зарегистрированных субъектов малого и среднего предпринимательства до 680 к 2020 г.</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B02E5" w:rsidRPr="000771BA" w:rsidTr="000771BA">
        <w:trPr>
          <w:trHeight w:val="1325"/>
        </w:trPr>
        <w:tc>
          <w:tcPr>
            <w:tcW w:w="206" w:type="pct"/>
            <w:vMerge/>
            <w:tcBorders>
              <w:top w:val="nil"/>
              <w:left w:val="single" w:sz="4" w:space="0" w:color="auto"/>
              <w:bottom w:val="single" w:sz="4" w:space="0" w:color="auto"/>
              <w:right w:val="single" w:sz="4" w:space="0" w:color="auto"/>
            </w:tcBorders>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Улучшение условий жизнедеятельности, инвестиционного климата в сфере АПК за счет реализации инфраструктурных мероприятий в рамках программы, содействие созданию высокотехнологичных рабочих мест, активизация участия граждан в решении вопросов местного значения, формирование в Пермском крае позитивного отношения к развитию сельских территорий Бардымского района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«Создание условий для устойчивого экономического развития»</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CB02E5">
              <w:rPr>
                <w:rFonts w:ascii="Times New Roman" w:eastAsia="Times New Roman" w:hAnsi="Times New Roman" w:cs="Times New Roman"/>
                <w:color w:val="000000"/>
                <w:vertAlign w:val="superscript"/>
              </w:rPr>
              <w:t>Подпрограмма «Устойчивое развитие сельских территорий Бардымского муниципального района»</w:t>
            </w:r>
          </w:p>
        </w:tc>
        <w:tc>
          <w:tcPr>
            <w:tcW w:w="1412"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улучшение жилищных условий участников подпрограммы с использованием средств социальной выплаты 13сельских семей, в том числе 9 молодых семей и молодых специалистов;</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11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удовлетворение потребностей организаций АПК Бардымского района в молодых специалистах на 100 % и социальной сферы - на 100 %;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9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коэффициента рождаемости сельского населения Бардымского района на 20 % и ожидаемой продолжительности жизни – на 20 %;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10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достижение совокупного экономического эффекта в объеме 2416,4 млн.руб., в т.ч. за счет прироста продукции сельского хозяйства на основе улучшения условий жизни специалистов АПК 142,8 млн.руб., реализации мероприятий по развитию газификации и водоснабжения - 896 млн.руб., привлечения внебюджетных средств 254,02 млн.руб.</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B02E5" w:rsidRPr="000771BA" w:rsidTr="000771BA">
        <w:trPr>
          <w:cantSplit/>
          <w:trHeight w:val="1260"/>
        </w:trPr>
        <w:tc>
          <w:tcPr>
            <w:tcW w:w="206" w:type="pct"/>
            <w:vMerge/>
            <w:tcBorders>
              <w:top w:val="nil"/>
              <w:left w:val="single" w:sz="4" w:space="0" w:color="auto"/>
              <w:bottom w:val="single" w:sz="4" w:space="0" w:color="auto"/>
              <w:right w:val="single" w:sz="4" w:space="0" w:color="auto"/>
            </w:tcBorders>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CB02E5" w:rsidRPr="000771BA" w:rsidRDefault="00CB02E5" w:rsidP="007817DA">
            <w:pPr>
              <w:spacing w:after="0" w:line="240" w:lineRule="auto"/>
              <w:ind w:left="113" w:right="113"/>
              <w:jc w:val="center"/>
              <w:rPr>
                <w:rFonts w:ascii="Times New Roman" w:eastAsia="Times New Roman" w:hAnsi="Times New Roman" w:cs="Times New Roman"/>
                <w:color w:val="000000"/>
                <w:vertAlign w:val="superscript"/>
              </w:rPr>
            </w:pPr>
            <w:r w:rsidRPr="00CB02E5">
              <w:rPr>
                <w:rFonts w:ascii="Times New Roman" w:eastAsia="Times New Roman" w:hAnsi="Times New Roman" w:cs="Times New Roman"/>
                <w:color w:val="000000"/>
                <w:vertAlign w:val="superscript"/>
              </w:rPr>
              <w:t>Реализация полномочий в сфере сельского хозяйства</w:t>
            </w:r>
          </w:p>
        </w:tc>
        <w:tc>
          <w:tcPr>
            <w:tcW w:w="661"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«Создание условий для устойчивого экономического развития»</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CB02E5">
              <w:rPr>
                <w:rFonts w:ascii="Times New Roman" w:eastAsia="Times New Roman" w:hAnsi="Times New Roman" w:cs="Times New Roman"/>
                <w:color w:val="000000"/>
                <w:vertAlign w:val="superscript"/>
              </w:rPr>
              <w:t>Подпрограмма «Обеспечение реализации программы»</w:t>
            </w:r>
          </w:p>
        </w:tc>
        <w:tc>
          <w:tcPr>
            <w:tcW w:w="1412"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Реализация муниципальной программы позволит к 2020 году:- освоение бюджета программы на 90%</w:t>
            </w:r>
          </w:p>
        </w:tc>
        <w:tc>
          <w:tcPr>
            <w:tcW w:w="637"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p>
        </w:tc>
      </w:tr>
      <w:tr w:rsidR="007817D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7817DA" w:rsidRPr="000771BA" w:rsidRDefault="007817D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17DA" w:rsidRPr="000771BA" w:rsidRDefault="007817DA" w:rsidP="007817D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в Бардымском районе современного высокоэффективного и конкурентоспособного туристского комплекса, обеспечивающего, с одной стороны, широкие возможности для удовлетворения потребностей населения в туристских услугах, а с другой стороны, вклад в развитие экономики района, в том числе за счет налоговых поступлений в бюджет, сохранения и увеличения количества рабочих мест, сохранения и рационального использования природно-рекреационного и культурно-исторического потенциала района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7817D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туризма в Бардымском муниципальном районе</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7817DA" w:rsidRPr="000771BA" w:rsidRDefault="007817D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Количественные показатели:</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8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рост туристского потока в Бардымском муниципальном районе к 2020 году;</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64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инвестиций на развитие индустрии туризма в сумме не менее 5,0 млн. руб.;</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создание не менее 30 новых рабочих мест во вновь образуемых и действующих предприятиях туриндустрии, в том числе в связанных с туризмом отраслях и в сегменте частного предпринимательства;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43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объектов историко-культурного наследия.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Качественные показатели: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46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удовлетворение потребности населения в туристско-рекреационных услугах;</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66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создание условий для активного отдыха и укрепление здоровья населения Бардымского муниципального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96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приобщение населения к культурным ценностям; повышение благосостояния местного населения формирование положительного имиджа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56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расширение географии и ежегодное увеличение потока туристов на 10%;</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41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появление межрайонных туристических маршрутов;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9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улучшение качества обслуживания туристов и населения района и предоставляемых им услуг;</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97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приведение внешнего вида объектов инфраструктуры и туристских маршрутов соответствующему уровню для приема туристов;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507"/>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инвесторов для развития инфраструктуры туризма;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получение дополнительных доходов в бюджет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возрождение, сохранение и рациональное использование историко - культурного и природного наследия.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cantSplit/>
          <w:trHeight w:val="539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0771BA" w:rsidRPr="000771BA" w:rsidRDefault="000771BA" w:rsidP="007817D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Обеспечение сбалансированности и устойчивости бюджета Бардымского муниципального района, повышение эффективности и качества управления муниципальными финансами Бардымского муниципального района</w:t>
            </w:r>
          </w:p>
        </w:tc>
        <w:tc>
          <w:tcPr>
            <w:tcW w:w="661"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«Управление муниципальными финансами Бардымского муниципального района</w:t>
            </w:r>
            <w:r w:rsidR="007817DA">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Бюджет Бардымского муниципального района сформирован по программно-целевым принципам</w:t>
            </w:r>
          </w:p>
        </w:tc>
        <w:tc>
          <w:tcPr>
            <w:tcW w:w="637" w:type="pct"/>
            <w:tcBorders>
              <w:top w:val="nil"/>
              <w:left w:val="nil"/>
              <w:bottom w:val="single" w:sz="4" w:space="0" w:color="auto"/>
              <w:right w:val="single" w:sz="4" w:space="0" w:color="auto"/>
            </w:tcBorders>
            <w:shd w:val="clear" w:color="auto" w:fill="auto"/>
            <w:vAlign w:val="center"/>
            <w:hideMark/>
          </w:tcPr>
          <w:p w:rsidR="000771BA" w:rsidRPr="000771BA" w:rsidRDefault="007817D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tcBorders>
              <w:top w:val="nil"/>
              <w:left w:val="nil"/>
              <w:bottom w:val="single" w:sz="4" w:space="0" w:color="auto"/>
              <w:right w:val="single" w:sz="4" w:space="0" w:color="auto"/>
            </w:tcBorders>
            <w:shd w:val="clear" w:color="auto" w:fill="auto"/>
            <w:vAlign w:val="center"/>
            <w:hideMark/>
          </w:tcPr>
          <w:p w:rsidR="000771BA" w:rsidRPr="000771BA" w:rsidRDefault="007817D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финансов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0771BA" w:rsidRPr="000771BA" w:rsidRDefault="007817D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r>
      <w:tr w:rsidR="000771BA" w:rsidRPr="000771BA" w:rsidTr="000771BA">
        <w:trPr>
          <w:trHeight w:val="57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условий для эффективного использования и вовлечения в хозяйственный оборот объектов недвижимости, свободных земельных участков, бесхозного имущества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«Управление муниципальным имуществом и земельными ресурсами Бардымского муниципального района</w:t>
            </w:r>
            <w:r w:rsidR="00EE5A09">
              <w:rPr>
                <w:rFonts w:ascii="Times New Roman" w:eastAsia="Times New Roman" w:hAnsi="Times New Roman" w:cs="Times New Roman"/>
                <w:b/>
                <w:color w:val="000000"/>
                <w:vertAlign w:val="superscript"/>
              </w:rPr>
              <w:t xml:space="preserve"> на 2018-2020 годы»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увеличение площади вовлеченных в оборот земельных участков.</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ЗИВ Администрации Бардымского муниципального района</w:t>
            </w:r>
          </w:p>
        </w:tc>
        <w:tc>
          <w:tcPr>
            <w:tcW w:w="706"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r>
      <w:tr w:rsidR="000771BA" w:rsidRPr="000771BA" w:rsidTr="000771BA">
        <w:trPr>
          <w:trHeight w:val="21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увеличение поступлений по земельному налогу, арендной плате за землю и доходам от продажи земельных участков в консолидированный бюджет Бардымского муниципального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создание единой базы данных учета муниципального имущества.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доход от использования и реализации муниципального имущества.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5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регистрация права собственности на все объекты, включенные в реестр муниципальной собственности Бардымского муниципального имущества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обеспечение земельными участками многодетных семей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202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обеспечение проведения работ по внесению в государственный кадастр недвижимости  сведений о границах населенных пунктов в виде координатного описания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50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качества работы Администрации Бардымского муниципального района за счет использования информационных и телекоммуникационных технологий</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EE5A09">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Совершенствование использования информационно-коммуникационных технологий в деятельности Администрации Бардымского муниципального района и ее структурных подразделений</w:t>
            </w:r>
            <w:r w:rsidR="00EE5A09">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установка и ввод в эксплуатацию сервера;</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Управляющий делами Администрации Бардымского 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Сектор информатизации и программно-технического обеспечения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767"/>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совершенствование технического оснащения;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297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оснащение аппаратной платформы лицензионным программным обеспечением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EE5A09" w:rsidRPr="000771BA" w:rsidTr="00EE5A09">
        <w:trPr>
          <w:cantSplit/>
          <w:trHeight w:val="2946"/>
        </w:trPr>
        <w:tc>
          <w:tcPr>
            <w:tcW w:w="206" w:type="pct"/>
            <w:vMerge/>
            <w:tcBorders>
              <w:top w:val="nil"/>
              <w:left w:val="single" w:sz="4" w:space="0" w:color="auto"/>
              <w:bottom w:val="single" w:sz="4" w:space="0" w:color="auto"/>
              <w:right w:val="single" w:sz="4" w:space="0" w:color="auto"/>
            </w:tcBorders>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 поддержка некоммерческих общественных организаций в Бардымском муниципальном районе</w:t>
            </w:r>
          </w:p>
        </w:tc>
        <w:tc>
          <w:tcPr>
            <w:tcW w:w="661"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и поддержка некоммерческих общественных организаций в Бардымском муниципальном районе</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жителей Бардымского муниципального района, принимающих участие в деятельности общественных организаций и объединений</w:t>
            </w:r>
          </w:p>
        </w:tc>
        <w:tc>
          <w:tcPr>
            <w:tcW w:w="637"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p>
        </w:tc>
      </w:tr>
      <w:tr w:rsidR="00EE5A09" w:rsidRPr="000771BA" w:rsidTr="00E15ED6">
        <w:trPr>
          <w:trHeight w:val="834"/>
        </w:trPr>
        <w:tc>
          <w:tcPr>
            <w:tcW w:w="20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комфортной среды проживания</w:t>
            </w: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Улучшение условий и охраны труда, направленных на сохранение жизни и здоровья работников в процессе трудовой деятельности</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«Охрана труда»</w:t>
            </w:r>
            <w:r>
              <w:rPr>
                <w:rFonts w:ascii="Times New Roman" w:eastAsia="Times New Roman" w:hAnsi="Times New Roman" w:cs="Times New Roman"/>
                <w:b/>
                <w:color w:val="000000"/>
                <w:vertAlign w:val="superscript"/>
              </w:rPr>
              <w:t xml:space="preserve"> на 2018-2020 годы</w:t>
            </w:r>
          </w:p>
        </w:tc>
        <w:tc>
          <w:tcPr>
            <w:tcW w:w="1412"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стабилизация и снижение уровня травматизма, профзаболеваний и аварийности;</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Управляющий делами Администрации Бардымского 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1273"/>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предотвращение материального ущерба от аварий, производственного травматизма и профзаболеваемости.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E15ED6" w:rsidRPr="000771BA" w:rsidTr="00E15ED6">
        <w:trPr>
          <w:trHeight w:val="695"/>
        </w:trPr>
        <w:tc>
          <w:tcPr>
            <w:tcW w:w="206" w:type="pct"/>
            <w:vMerge/>
            <w:tcBorders>
              <w:top w:val="nil"/>
              <w:left w:val="single" w:sz="4" w:space="0" w:color="auto"/>
              <w:bottom w:val="single" w:sz="4" w:space="0" w:color="auto"/>
              <w:right w:val="single" w:sz="4" w:space="0" w:color="auto"/>
            </w:tcBorders>
            <w:textDirection w:val="btLr"/>
            <w:vAlign w:val="center"/>
            <w:hideMark/>
          </w:tcPr>
          <w:p w:rsidR="00E15ED6" w:rsidRPr="000771BA" w:rsidRDefault="00E15ED6"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15ED6" w:rsidRPr="000771BA" w:rsidRDefault="00E15ED6" w:rsidP="00EE5A09">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Удовлетворение потребностей населения в пассажирских перевозках автомобильным транспортом общего пользования по регулярным автобусным маршрутам городского и внутрирайонного сообщения</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E15ED6">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 xml:space="preserve">Муниципальная программа «Развитие </w:t>
            </w:r>
            <w:r>
              <w:rPr>
                <w:rFonts w:ascii="Times New Roman" w:eastAsia="Times New Roman" w:hAnsi="Times New Roman" w:cs="Times New Roman"/>
                <w:b/>
                <w:color w:val="000000"/>
                <w:vertAlign w:val="superscript"/>
              </w:rPr>
              <w:t xml:space="preserve">транспортного обслуживания населения Бардымского </w:t>
            </w:r>
            <w:r w:rsidRPr="000771BA">
              <w:rPr>
                <w:rFonts w:ascii="Times New Roman" w:eastAsia="Times New Roman" w:hAnsi="Times New Roman" w:cs="Times New Roman"/>
                <w:b/>
                <w:color w:val="000000"/>
                <w:vertAlign w:val="superscript"/>
              </w:rPr>
              <w:t>муниципального района</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E15ED6" w:rsidRPr="000771BA" w:rsidRDefault="00E15ED6"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доли населенных пунктов, охваченных автобусным сообщением;</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0D32B7">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E15ED6">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Планово-экономический отдел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улучшение качества предоставления транспортных услуг населению;</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287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безопасности перевозки пассажиров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213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E15ED6">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материальной базы развития социальной и инженерной инфраструктуры. Повышение уровня и качества жизни населения Бардымского района на основе повышения уровня развития социальной инфраструктуры и инженерного обустройства населенных пунктов. Улучшение состояния здоровья населения Бардымского района, в том числе на основе повышения роли физкультуры и спорта.</w:t>
            </w:r>
          </w:p>
        </w:tc>
        <w:tc>
          <w:tcPr>
            <w:tcW w:w="661"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«Муниципальное хозяйство»</w:t>
            </w:r>
            <w:r w:rsidR="00E15ED6">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E15ED6">
              <w:rPr>
                <w:rFonts w:ascii="Times New Roman" w:eastAsia="Times New Roman" w:hAnsi="Times New Roman" w:cs="Times New Roman"/>
                <w:color w:val="000000"/>
                <w:vertAlign w:val="superscript"/>
              </w:rPr>
              <w:t>Подпрограмма «Содержание и развитие инженерной инфраструктуры»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эффективности, доступности и качества обслуживания населения;</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15ED6"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развитию территорий</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15ED6"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строительства и ЖКХ Администрации Бардымского муниципального района</w:t>
            </w:r>
          </w:p>
        </w:tc>
        <w:tc>
          <w:tcPr>
            <w:tcW w:w="706"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3391"/>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уровня комфортности, качества жизни населения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 сохранение территориальной сети автомобильных дорог Бардымского муниципального района</w:t>
            </w:r>
          </w:p>
        </w:tc>
        <w:tc>
          <w:tcPr>
            <w:tcW w:w="661"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«Муниципальное хозяйство»</w:t>
            </w:r>
            <w:r w:rsidR="00E15ED6">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E15ED6">
              <w:rPr>
                <w:rFonts w:ascii="Times New Roman" w:eastAsia="Times New Roman" w:hAnsi="Times New Roman" w:cs="Times New Roman"/>
                <w:color w:val="000000"/>
                <w:vertAlign w:val="superscript"/>
              </w:rPr>
              <w:t>Подпрограмма «Развитие и содержание транспортной системы»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spacing w:val="2"/>
                <w:vertAlign w:val="superscript"/>
              </w:rPr>
              <w:t>- соответствие дорожной сети нормативным требованиям;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2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spacing w:val="2"/>
                <w:vertAlign w:val="superscript"/>
              </w:rPr>
              <w:t>- обеспечение софинансирования объектов, заявляемых в федеральные целевые и инвестиционные программы;</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30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проведение проектно-изыскательских работ и обеспечение разработки проектно-сметной документации для объектов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D32B7" w:rsidRPr="000771BA" w:rsidTr="000771BA">
        <w:trPr>
          <w:trHeight w:val="570"/>
        </w:trPr>
        <w:tc>
          <w:tcPr>
            <w:tcW w:w="206" w:type="pct"/>
            <w:vMerge/>
            <w:tcBorders>
              <w:top w:val="nil"/>
              <w:left w:val="single" w:sz="4" w:space="0" w:color="auto"/>
              <w:bottom w:val="single" w:sz="4" w:space="0" w:color="auto"/>
              <w:right w:val="single" w:sz="4" w:space="0" w:color="auto"/>
            </w:tcBorders>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информационного пространства в Бардымском районе, создание современной материально-технической базы</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МАУ «Редакция «Тан» («Рассвет»)</w:t>
            </w:r>
            <w:r w:rsidR="00EC6A3C">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информированность населения о текущих событиях района, деятельности Администрации и Земского собрания Бардымского муниципального района;</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МАУ «Редакция </w:t>
            </w:r>
            <w:r>
              <w:rPr>
                <w:rFonts w:ascii="Times New Roman" w:eastAsia="Times New Roman" w:hAnsi="Times New Roman" w:cs="Times New Roman"/>
                <w:color w:val="000000"/>
                <w:vertAlign w:val="superscript"/>
              </w:rPr>
              <w:t>«Тан» («Рассвет»)</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42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сохранение и развитие языка, культуры, национальных традиций;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69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обеспечение увеличения тиража газеты</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D32B7" w:rsidRPr="000771BA" w:rsidTr="00EC6A3C">
        <w:trPr>
          <w:trHeight w:val="846"/>
        </w:trPr>
        <w:tc>
          <w:tcPr>
            <w:tcW w:w="206" w:type="pct"/>
            <w:vMerge/>
            <w:tcBorders>
              <w:top w:val="nil"/>
              <w:left w:val="single" w:sz="4" w:space="0" w:color="auto"/>
              <w:bottom w:val="single" w:sz="4" w:space="0" w:color="auto"/>
              <w:right w:val="single" w:sz="4" w:space="0" w:color="auto"/>
            </w:tcBorders>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информационного пространства в Бардымском районе, создание современной материально-технической базы телерадиовещания</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М</w:t>
            </w:r>
            <w:r>
              <w:rPr>
                <w:rFonts w:ascii="Times New Roman" w:eastAsia="Times New Roman" w:hAnsi="Times New Roman" w:cs="Times New Roman"/>
                <w:b/>
                <w:color w:val="000000"/>
                <w:vertAlign w:val="superscript"/>
              </w:rPr>
              <w:t xml:space="preserve">АУ </w:t>
            </w:r>
            <w:r w:rsidRPr="000771BA">
              <w:rPr>
                <w:rFonts w:ascii="Times New Roman" w:eastAsia="Times New Roman" w:hAnsi="Times New Roman" w:cs="Times New Roman"/>
                <w:b/>
                <w:color w:val="000000"/>
                <w:vertAlign w:val="superscript"/>
              </w:rPr>
              <w:t>МТРВ «Тол буйлары» (Притулвье)</w:t>
            </w:r>
            <w:r w:rsidR="00EC6A3C">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информированность населения о текущих событиях района, деятельности администрации муниципального района и Земского Собрания;</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МАУ МТРВ «Тол буйлары» (Притулвье)</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молодого поколения к участию в политической, общественной и социально-культурной жизни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461"/>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и развитие языка, культуры, национальных традиций;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15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xml:space="preserve">- воспитание подрастающего поколения в духе патриотизма, толерантности, </w:t>
            </w:r>
            <w:r w:rsidRPr="000771BA">
              <w:rPr>
                <w:rFonts w:ascii="Times New Roman" w:eastAsia="Times New Roman" w:hAnsi="Times New Roman" w:cs="Times New Roman"/>
                <w:color w:val="000000"/>
                <w:vertAlign w:val="superscript"/>
              </w:rPr>
              <w:lastRenderedPageBreak/>
              <w:t>веротерпимости;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переход на цифровое вещание,</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44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обеспечение 100 процентного охвата  вещания Бардымского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61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уровня защиты населения и территории района от пожаров, чрезвычайных ситуаций природного и техногенного характера. Повышение эффективности спасения людей при ликвидации пожаров и чрезвычайных ситуаций</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«Безопасность»</w:t>
            </w:r>
            <w:r w:rsidR="00EC6A3C">
              <w:rPr>
                <w:rFonts w:ascii="Times New Roman" w:eastAsia="Times New Roman" w:hAnsi="Times New Roman" w:cs="Times New Roman"/>
                <w:b/>
                <w:color w:val="000000"/>
                <w:vertAlign w:val="superscript"/>
              </w:rPr>
              <w:t xml:space="preserve"> на 2018-2020 годы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преодоление неблагоприятных тенденций роста количества чрезвычайных ситуаций и материального ущерба от них;</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развитию территорий</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Отдел по делам ГО ЧС ПБ и мобилизационной работе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85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снижение рисков возникновения чрезвычайных ситуаций для населения в районах, подверженных воздействию неблагоприятных факторов;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95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высокий уровень готовности оперативного реагирования сил и средств при угрозе возникновения чрезвычайной ситуации и ее ликвидации;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64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снижение гибели, травматизма людей и размера материальных потерь от пожаров и чрезвычайных ситуаций;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сокращение затрат на ликвидацию чрезвычайных ситуаций;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121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уровня проведения аварийно-спасательных и других неотложных работ, за счет обеспечения подразделений необходимым оборудованием, вооружением и снаряжением;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0434E" w:rsidRPr="000771BA" w:rsidTr="00E73204">
        <w:trPr>
          <w:trHeight w:val="2615"/>
        </w:trPr>
        <w:tc>
          <w:tcPr>
            <w:tcW w:w="206" w:type="pct"/>
            <w:vMerge/>
            <w:tcBorders>
              <w:top w:val="nil"/>
              <w:left w:val="single" w:sz="4" w:space="0" w:color="auto"/>
              <w:bottom w:val="single" w:sz="4" w:space="0" w:color="auto"/>
              <w:right w:val="single" w:sz="4" w:space="0" w:color="auto"/>
            </w:tcBorders>
            <w:textDirection w:val="btLr"/>
            <w:vAlign w:val="center"/>
            <w:hideMark/>
          </w:tcPr>
          <w:p w:rsidR="00C0434E" w:rsidRPr="000771BA" w:rsidRDefault="00C0434E"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C0434E" w:rsidRPr="000771BA" w:rsidRDefault="00C0434E"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right w:val="single" w:sz="4" w:space="0" w:color="auto"/>
            </w:tcBorders>
            <w:shd w:val="clear" w:color="auto" w:fill="auto"/>
            <w:vAlign w:val="center"/>
            <w:hideMark/>
          </w:tcPr>
          <w:p w:rsidR="00C0434E" w:rsidRPr="000771BA" w:rsidRDefault="00C0434E" w:rsidP="00C0434E">
            <w:pPr>
              <w:spacing w:after="0" w:line="240" w:lineRule="auto"/>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и создание новых рабочих мест</w:t>
            </w:r>
          </w:p>
        </w:tc>
        <w:tc>
          <w:tcPr>
            <w:tcW w:w="637"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C0434E">
        <w:trPr>
          <w:trHeight w:val="5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9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Защита окружающей среды и населения от негативного воздействия отходов, развитие системы сбора и утилизации отходов, улучшение экологического состояния территории Бардымского района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«Благоустройство и охрана окружающей среды Бардымского муниципального района на 2018- 2020 годы»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Снижение количества объектов размещения отходов, не отвечающих экологическим требованиям.</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EC6A3C">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развитию территорий</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строительства и ЖКХ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Внедрение системы раздельного сбора отходов потребления.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7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Создание действующей эффективной системы управления отходами на территории Бардымского муниципального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Функционирование системы учета обращения с отходами.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Создание банка данных поставщиков отходов и объектов санитарной очистки.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bl>
    <w:p w:rsidR="00153E07" w:rsidRPr="000771BA" w:rsidRDefault="00153E07" w:rsidP="000771BA">
      <w:pPr>
        <w:tabs>
          <w:tab w:val="left" w:pos="2177"/>
        </w:tabs>
        <w:spacing w:after="0" w:line="240" w:lineRule="auto"/>
        <w:jc w:val="both"/>
        <w:rPr>
          <w:rFonts w:ascii="Times New Roman" w:eastAsia="Times New Roman" w:hAnsi="Times New Roman" w:cs="Times New Roman"/>
          <w:vertAlign w:val="superscript"/>
        </w:rPr>
      </w:pPr>
    </w:p>
    <w:p w:rsidR="005D24C1" w:rsidRPr="000771BA" w:rsidRDefault="005D24C1" w:rsidP="000771BA">
      <w:pPr>
        <w:tabs>
          <w:tab w:val="left" w:pos="2177"/>
        </w:tabs>
        <w:spacing w:after="0" w:line="240" w:lineRule="auto"/>
        <w:jc w:val="both"/>
        <w:rPr>
          <w:rFonts w:ascii="Times New Roman" w:eastAsia="Times New Roman" w:hAnsi="Times New Roman" w:cs="Times New Roman"/>
        </w:rPr>
      </w:pPr>
    </w:p>
    <w:p w:rsidR="005D24C1" w:rsidRPr="000771BA" w:rsidRDefault="005D24C1" w:rsidP="000771BA">
      <w:pPr>
        <w:spacing w:after="0" w:line="240" w:lineRule="auto"/>
        <w:rPr>
          <w:rFonts w:ascii="Times New Roman" w:eastAsia="Times New Roman" w:hAnsi="Times New Roman" w:cs="Times New Roman"/>
        </w:rPr>
      </w:pPr>
      <w:r w:rsidRPr="000771BA">
        <w:rPr>
          <w:rFonts w:ascii="Times New Roman" w:eastAsia="Times New Roman" w:hAnsi="Times New Roman" w:cs="Times New Roman"/>
        </w:rPr>
        <w:br w:type="page"/>
      </w:r>
    </w:p>
    <w:p w:rsidR="005D24C1" w:rsidRDefault="005D24C1" w:rsidP="005D24C1">
      <w:pPr>
        <w:jc w:val="right"/>
        <w:rPr>
          <w:rFonts w:ascii="Times New Roman" w:hAnsi="Times New Roman" w:cs="Times New Roman"/>
          <w:b/>
          <w:sz w:val="24"/>
          <w:szCs w:val="24"/>
        </w:rPr>
      </w:pPr>
      <w:r w:rsidRPr="00884844">
        <w:rPr>
          <w:rFonts w:ascii="Times New Roman" w:hAnsi="Times New Roman" w:cs="Times New Roman"/>
          <w:b/>
          <w:sz w:val="24"/>
          <w:szCs w:val="24"/>
        </w:rPr>
        <w:lastRenderedPageBreak/>
        <w:t>Приложение 1</w:t>
      </w:r>
    </w:p>
    <w:p w:rsidR="00443EEA" w:rsidRPr="00B41D81" w:rsidRDefault="00443EEA" w:rsidP="00443EEA">
      <w:pPr>
        <w:jc w:val="center"/>
        <w:rPr>
          <w:rFonts w:ascii="Times New Roman" w:hAnsi="Times New Roman" w:cs="Times New Roman"/>
          <w:b/>
          <w:sz w:val="24"/>
          <w:szCs w:val="24"/>
        </w:rPr>
      </w:pPr>
      <w:r w:rsidRPr="00B41D81">
        <w:rPr>
          <w:rFonts w:ascii="Times New Roman" w:eastAsia="Times New Roman" w:hAnsi="Times New Roman" w:cs="Times New Roman"/>
          <w:b/>
          <w:sz w:val="28"/>
          <w:szCs w:val="28"/>
        </w:rPr>
        <w:t>Информация о дефиците / профиците бюджетов в разрезе сельских поселений</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Бюджет Бардымского муниципального района</w:t>
      </w: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452424"/>
            <wp:effectExtent l="19050" t="0" r="317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2010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212698"/>
            <wp:effectExtent l="1905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2011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070456"/>
            <wp:effectExtent l="1905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2012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103564"/>
            <wp:effectExtent l="19050" t="0" r="3175"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84844" w:rsidRDefault="00884844"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2013 году, %</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169920"/>
            <wp:effectExtent l="19050" t="0" r="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2014 году, %</w:t>
      </w: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413760"/>
            <wp:effectExtent l="19050" t="0" r="0" b="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2015 году, %</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213463"/>
            <wp:effectExtent l="19050" t="0" r="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2016 году, %</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3260675"/>
            <wp:effectExtent l="0" t="0" r="0"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Бардымского сельского поселения</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3348584"/>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Березниковского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2715623"/>
            <wp:effectExtent l="0" t="0" r="0" b="0"/>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Бичуринского сельского поселения</w:t>
      </w:r>
    </w:p>
    <w:p w:rsidR="005D24C1" w:rsidRDefault="005D24C1"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Pr="00884844" w:rsidRDefault="00884844" w:rsidP="005D24C1">
      <w:pPr>
        <w:jc w:val="center"/>
        <w:rPr>
          <w:rFonts w:ascii="Times New Roman" w:hAnsi="Times New Roman" w:cs="Times New Roman"/>
          <w:b/>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3600" cy="3114675"/>
            <wp:effectExtent l="0" t="0" r="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Брюзлинского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3600" cy="3219450"/>
            <wp:effectExtent l="0" t="0" r="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Елпачихинского сельского поселения</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2801557"/>
            <wp:effectExtent l="0" t="0" r="0" b="0"/>
            <wp:docPr id="1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Красноярского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867400" cy="3152775"/>
            <wp:effectExtent l="0" t="0" r="0" b="0"/>
            <wp:docPr id="1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Новоашапского сельского поселения</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3098116"/>
            <wp:effectExtent l="0" t="0" r="0" b="0"/>
            <wp:docPr id="1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Печменского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24550" cy="3181350"/>
            <wp:effectExtent l="0" t="0" r="0" b="0"/>
            <wp:docPr id="1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Сарашевского сельского поселения</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819775" cy="3667125"/>
            <wp:effectExtent l="0" t="0" r="0" b="0"/>
            <wp:docPr id="2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D24C1"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Тюндюковского сельского поселения</w:t>
      </w:r>
    </w:p>
    <w:p w:rsidR="00884844" w:rsidRDefault="00884844" w:rsidP="005D24C1">
      <w:pPr>
        <w:jc w:val="center"/>
        <w:rPr>
          <w:rFonts w:ascii="Times New Roman" w:hAnsi="Times New Roman" w:cs="Times New Roman"/>
          <w:b/>
          <w:sz w:val="24"/>
          <w:szCs w:val="24"/>
        </w:rPr>
      </w:pPr>
    </w:p>
    <w:p w:rsidR="00884844" w:rsidRPr="00884844" w:rsidRDefault="00884844" w:rsidP="005D24C1">
      <w:pPr>
        <w:jc w:val="center"/>
        <w:rPr>
          <w:rFonts w:ascii="Times New Roman" w:hAnsi="Times New Roman" w:cs="Times New Roman"/>
          <w:b/>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657850" cy="2743200"/>
            <wp:effectExtent l="0" t="0" r="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Федорковского сельского поселения</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2884071"/>
            <wp:effectExtent l="19050" t="0" r="22225" b="0"/>
            <wp:docPr id="2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Шермейского сельского поселения</w:t>
      </w:r>
    </w:p>
    <w:p w:rsidR="005D24C1" w:rsidRPr="006B1969" w:rsidRDefault="005D24C1" w:rsidP="005D24C1">
      <w:pPr>
        <w:rPr>
          <w:rFonts w:ascii="Times New Roman" w:hAnsi="Times New Roman" w:cs="Times New Roman"/>
          <w:sz w:val="24"/>
          <w:szCs w:val="24"/>
        </w:rPr>
      </w:pPr>
    </w:p>
    <w:p w:rsidR="005D24C1" w:rsidRDefault="005D24C1">
      <w:pPr>
        <w:rPr>
          <w:rFonts w:ascii="Times New Roman" w:eastAsia="Times New Roman" w:hAnsi="Times New Roman" w:cs="Times New Roman"/>
          <w:sz w:val="20"/>
          <w:szCs w:val="20"/>
        </w:rPr>
      </w:pPr>
    </w:p>
    <w:p w:rsidR="005D24C1" w:rsidRPr="00F805FA" w:rsidRDefault="005D24C1" w:rsidP="00153E07">
      <w:pPr>
        <w:tabs>
          <w:tab w:val="left" w:pos="2177"/>
        </w:tabs>
        <w:spacing w:after="0"/>
        <w:jc w:val="both"/>
        <w:rPr>
          <w:rFonts w:ascii="Times New Roman" w:eastAsia="Times New Roman" w:hAnsi="Times New Roman" w:cs="Times New Roman"/>
          <w:sz w:val="20"/>
          <w:szCs w:val="20"/>
        </w:rPr>
      </w:pPr>
    </w:p>
    <w:p w:rsidR="005D24C1" w:rsidRDefault="005D24C1" w:rsidP="00153E07">
      <w:pPr>
        <w:spacing w:after="160" w:line="259" w:lineRule="auto"/>
        <w:jc w:val="both"/>
        <w:rPr>
          <w:rFonts w:ascii="Times New Roman" w:hAnsi="Times New Roman" w:cs="Times New Roman"/>
          <w:sz w:val="20"/>
          <w:szCs w:val="20"/>
        </w:rPr>
        <w:sectPr w:rsidR="005D24C1" w:rsidSect="001D3C25">
          <w:headerReference w:type="default" r:id="rId134"/>
          <w:pgSz w:w="11906" w:h="16838"/>
          <w:pgMar w:top="851" w:right="567" w:bottom="851" w:left="1418" w:header="709" w:footer="709" w:gutter="0"/>
          <w:cols w:space="708"/>
          <w:docGrid w:linePitch="360"/>
        </w:sectPr>
      </w:pPr>
    </w:p>
    <w:p w:rsidR="005D24C1" w:rsidRPr="00884844" w:rsidRDefault="005D24C1" w:rsidP="005D24C1">
      <w:pPr>
        <w:spacing w:after="0"/>
        <w:ind w:firstLine="709"/>
        <w:jc w:val="right"/>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lastRenderedPageBreak/>
        <w:t>Приложение 2</w:t>
      </w:r>
    </w:p>
    <w:p w:rsidR="005D24C1" w:rsidRPr="00884844" w:rsidRDefault="005D24C1" w:rsidP="005D24C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Коэффициенты корреляции Пирсона, отражающие тесноту взаимосвязи факторов, влияющих на экономический рост Бардымского муниципального района</w:t>
      </w:r>
    </w:p>
    <w:tbl>
      <w:tblPr>
        <w:tblW w:w="5000" w:type="pct"/>
        <w:tblLayout w:type="fixed"/>
        <w:tblLook w:val="04A0"/>
      </w:tblPr>
      <w:tblGrid>
        <w:gridCol w:w="2070"/>
        <w:gridCol w:w="990"/>
        <w:gridCol w:w="884"/>
        <w:gridCol w:w="881"/>
        <w:gridCol w:w="884"/>
        <w:gridCol w:w="881"/>
        <w:gridCol w:w="884"/>
        <w:gridCol w:w="881"/>
        <w:gridCol w:w="884"/>
        <w:gridCol w:w="881"/>
        <w:gridCol w:w="884"/>
        <w:gridCol w:w="881"/>
        <w:gridCol w:w="884"/>
        <w:gridCol w:w="946"/>
        <w:gridCol w:w="765"/>
        <w:gridCol w:w="872"/>
      </w:tblGrid>
      <w:tr w:rsidR="005D24C1" w:rsidRPr="005D24C1" w:rsidTr="00424AF3">
        <w:trPr>
          <w:cantSplit/>
          <w:trHeight w:val="2417"/>
        </w:trPr>
        <w:tc>
          <w:tcPr>
            <w:tcW w:w="6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i/>
                <w:iCs/>
                <w:color w:val="000000"/>
                <w:sz w:val="19"/>
                <w:szCs w:val="19"/>
              </w:rPr>
            </w:pPr>
            <w:r w:rsidRPr="00884844">
              <w:rPr>
                <w:rFonts w:ascii="Times New Roman" w:eastAsia="Times New Roman" w:hAnsi="Times New Roman" w:cs="Times New Roman"/>
                <w:b/>
                <w:i/>
                <w:iCs/>
                <w:color w:val="000000"/>
                <w:sz w:val="19"/>
                <w:szCs w:val="19"/>
              </w:rPr>
              <w:t> </w:t>
            </w:r>
          </w:p>
        </w:tc>
        <w:tc>
          <w:tcPr>
            <w:tcW w:w="322"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Объем отгруженных товаров собственного производства, работ и услуг</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Курс доллара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Количество зарегистрированных организаций</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Численность постоянного населения на конец года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Численность населения в трудоспособном возрасте</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Среднесписочная численность работников организаций</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Производительность труда, тыс.</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Доходы бюджета района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Расходы бюджета района</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Соотношение покуп. способности зар. платы и прожит. минимума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Инвестиции в основной капитал</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Число ИП и КФХ.</w:t>
            </w:r>
          </w:p>
        </w:tc>
        <w:tc>
          <w:tcPr>
            <w:tcW w:w="30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Выбросы в атмосферу загрязняющих веществ от стац. источн. в расчете на 1 жителя</w:t>
            </w:r>
          </w:p>
        </w:tc>
        <w:tc>
          <w:tcPr>
            <w:tcW w:w="24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Естественный прирост населения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Заявленная предприятиями и организациями потребность в работниках</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Курс доллара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Количество зарегистрированных организаций</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-0,690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-0,811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постоянного населения на конец года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-0,125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-0,577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населения в трудоспособном возрасте</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-0,620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-0,957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Среднесписочная численность работников организаций</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-0,182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-0,746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0,821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Производительность труда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0,786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0,849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-0,981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-0,905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-0,729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1,000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Доходы бюджета района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-0,482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0,260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0,385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-0,140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-0,527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1,000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 xml:space="preserve">Расходы бюджета </w:t>
            </w:r>
            <w:r w:rsidRPr="005D24C1">
              <w:rPr>
                <w:rFonts w:ascii="Times New Roman" w:eastAsia="Times New Roman" w:hAnsi="Times New Roman" w:cs="Times New Roman"/>
                <w:color w:val="000000"/>
                <w:sz w:val="19"/>
                <w:szCs w:val="19"/>
              </w:rPr>
              <w:lastRenderedPageBreak/>
              <w:t>района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-0,870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-0,837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0,504</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0,345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-0,817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0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sz w:val="19"/>
                <w:szCs w:val="19"/>
              </w:rPr>
            </w:pPr>
            <w:r w:rsidRPr="005D24C1">
              <w:rPr>
                <w:rFonts w:ascii="Times New Roman" w:eastAsia="Times New Roman" w:hAnsi="Times New Roman" w:cs="Times New Roman"/>
                <w:color w:val="000000"/>
                <w:sz w:val="19"/>
                <w:szCs w:val="19"/>
              </w:rPr>
              <w:lastRenderedPageBreak/>
              <w:t>Соотношение покуп. способности зар. платы и прожит. минимума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-0,485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-0,243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-0,208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-0,605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0,109</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0,294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0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sz w:val="19"/>
                <w:szCs w:val="19"/>
              </w:rPr>
            </w:pPr>
            <w:r w:rsidRPr="005D24C1">
              <w:rPr>
                <w:rFonts w:ascii="Times New Roman" w:eastAsia="Times New Roman" w:hAnsi="Times New Roman" w:cs="Times New Roman"/>
                <w:sz w:val="19"/>
                <w:szCs w:val="19"/>
              </w:rPr>
              <w:t>Инвестиции в основной капитал</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-0,495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-0,461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0,028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0,639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0,099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0,275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-0,011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Число ИП и КФХ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-0,805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0,035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-0,047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0,557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-0,540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126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Выбросы в атмосферу загрязняющих веществ от стационарных  источников в расчете на одного жителя</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0,248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-0,116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-0,118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0,107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0,047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0,136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-0,396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0,331</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Естественный прирост населения</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-0,645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0,918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0,589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0,703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-0,826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0,277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-0,433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0,392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-0,776</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0,293</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Заявленная предприятиями и организациями потребность в работниках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0,146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-0,579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0,232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0,736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0,434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0,421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-0,174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0,017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-0,313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0,096</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0,657</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0,346</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421"/>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безработных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0,179</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-0,472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0,534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0,237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0,594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0,894</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-0,450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-0,460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0,031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-0,653</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0,005</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0,587</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0,456</w:t>
            </w:r>
          </w:p>
        </w:tc>
      </w:tr>
    </w:tbl>
    <w:p w:rsidR="005D24C1" w:rsidRPr="005D24C1" w:rsidRDefault="005D24C1" w:rsidP="005D24C1">
      <w:pPr>
        <w:spacing w:after="0"/>
        <w:ind w:firstLine="709"/>
        <w:rPr>
          <w:rFonts w:ascii="Times New Roman" w:eastAsia="Times New Roman" w:hAnsi="Times New Roman" w:cs="Times New Roman"/>
          <w:szCs w:val="24"/>
        </w:rPr>
      </w:pPr>
    </w:p>
    <w:p w:rsidR="005D24C1" w:rsidRPr="005D24C1" w:rsidRDefault="005D24C1" w:rsidP="005D24C1">
      <w:pPr>
        <w:spacing w:after="0"/>
        <w:ind w:firstLine="709"/>
        <w:rPr>
          <w:rFonts w:ascii="Times New Roman" w:eastAsia="Times New Roman" w:hAnsi="Times New Roman" w:cs="Times New Roman"/>
          <w:szCs w:val="24"/>
        </w:rPr>
      </w:pPr>
    </w:p>
    <w:p w:rsidR="005D24C1" w:rsidRPr="00884844" w:rsidRDefault="005D24C1" w:rsidP="005D24C1">
      <w:pPr>
        <w:jc w:val="right"/>
        <w:rPr>
          <w:rFonts w:ascii="Times New Roman" w:eastAsia="Times New Roman" w:hAnsi="Times New Roman" w:cs="Times New Roman"/>
          <w:b/>
          <w:sz w:val="28"/>
          <w:szCs w:val="28"/>
        </w:rPr>
      </w:pPr>
      <w:r w:rsidRPr="005D24C1">
        <w:rPr>
          <w:rFonts w:ascii="Times New Roman" w:eastAsia="Times New Roman" w:hAnsi="Times New Roman" w:cs="Times New Roman"/>
          <w:szCs w:val="24"/>
        </w:rPr>
        <w:br w:type="page"/>
      </w:r>
      <w:r w:rsidRPr="00884844">
        <w:rPr>
          <w:rFonts w:ascii="Times New Roman" w:eastAsia="Times New Roman" w:hAnsi="Times New Roman" w:cs="Times New Roman"/>
          <w:b/>
          <w:sz w:val="28"/>
          <w:szCs w:val="28"/>
        </w:rPr>
        <w:lastRenderedPageBreak/>
        <w:t>Приложение 3</w:t>
      </w:r>
    </w:p>
    <w:p w:rsidR="005D24C1" w:rsidRPr="00884844" w:rsidRDefault="005D24C1" w:rsidP="005D24C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Характеристика коэффициентов корреляции Пирсона в соответствии с критериями Чеддока</w:t>
      </w:r>
    </w:p>
    <w:tbl>
      <w:tblPr>
        <w:tblW w:w="5000" w:type="pct"/>
        <w:tblLayout w:type="fixed"/>
        <w:tblLook w:val="04A0"/>
      </w:tblPr>
      <w:tblGrid>
        <w:gridCol w:w="2322"/>
        <w:gridCol w:w="1177"/>
        <w:gridCol w:w="738"/>
        <w:gridCol w:w="734"/>
        <w:gridCol w:w="1032"/>
        <w:gridCol w:w="881"/>
        <w:gridCol w:w="1032"/>
        <w:gridCol w:w="881"/>
        <w:gridCol w:w="737"/>
        <w:gridCol w:w="586"/>
        <w:gridCol w:w="1032"/>
        <w:gridCol w:w="881"/>
        <w:gridCol w:w="642"/>
        <w:gridCol w:w="943"/>
        <w:gridCol w:w="623"/>
        <w:gridCol w:w="1111"/>
      </w:tblGrid>
      <w:tr w:rsidR="005D24C1" w:rsidRPr="00884844" w:rsidTr="00424AF3">
        <w:trPr>
          <w:cantSplit/>
          <w:trHeight w:val="2835"/>
        </w:trPr>
        <w:tc>
          <w:tcPr>
            <w:tcW w:w="7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i/>
                <w:iCs/>
                <w:color w:val="000000"/>
                <w:sz w:val="20"/>
                <w:szCs w:val="20"/>
              </w:rPr>
            </w:pPr>
            <w:r w:rsidRPr="00884844">
              <w:rPr>
                <w:rFonts w:ascii="Times New Roman" w:eastAsia="Times New Roman" w:hAnsi="Times New Roman" w:cs="Times New Roman"/>
                <w:b/>
                <w:i/>
                <w:iCs/>
                <w:color w:val="000000"/>
                <w:sz w:val="20"/>
                <w:szCs w:val="20"/>
              </w:rPr>
              <w:t> </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Объем отгруженных товаров собственного производства, выполненных работ и услуг</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Курс доллара</w:t>
            </w:r>
          </w:p>
        </w:tc>
        <w:tc>
          <w:tcPr>
            <w:tcW w:w="23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Количество зарегистрированных организаций</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Численность постоянного населения на конец года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Численность населения в трудоспособном возрасте</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Среднесписочная численность работников организаций</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Производительность труда</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Доходы бюджета района</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Расходы бюджета района</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19"/>
                <w:szCs w:val="19"/>
              </w:rPr>
              <w:t>Соотношение покуп. способности зар. платы и прожит. минимума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Инвестиции в основной капитал</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Число ИП и КФХ</w:t>
            </w:r>
          </w:p>
        </w:tc>
        <w:tc>
          <w:tcPr>
            <w:tcW w:w="30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Выбросы в атмосферу загрязняющих веществ от стационарных  источников в расчете на одного жителя</w:t>
            </w:r>
          </w:p>
        </w:tc>
        <w:tc>
          <w:tcPr>
            <w:tcW w:w="2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Естественный прирост населения</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Заявленная предприятиями и организациями потребность в работниках</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Курс доллара, 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3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Количество зарегистрированных организаций, ед.</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постоянного населения на конец года,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населения в трудоспособном возрасте,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Среднесписочная численность работников организаций, чел.</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Производительность труда, тыс.руб./чел.</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Доходы бюджета района, тыс.руб.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Расходы бюджета района, тыс.руб.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19"/>
                <w:szCs w:val="19"/>
              </w:rPr>
              <w:t>Соотношение покуп. способности зар. платы и прожит. минимума</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Инвестиции в основной капитал, млн.руб.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Число ИП и КФХ, ед.</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Выбросы в атмосферу загрязняющих веществ от стационарных  источников в расчете на одного жителя, кг.</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Естественный прирост населения,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Заявленная предприятиями и организациями потребность в работниках,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безработных зарегистрированных в государственных службах занятости,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62"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r>
    </w:tbl>
    <w:p w:rsidR="005D24C1" w:rsidRDefault="005D24C1" w:rsidP="005D24C1">
      <w:pPr>
        <w:spacing w:after="0"/>
        <w:ind w:firstLine="709"/>
        <w:rPr>
          <w:rFonts w:eastAsia="Times New Roman" w:cs="Times New Roman"/>
          <w:szCs w:val="24"/>
        </w:rPr>
      </w:pPr>
    </w:p>
    <w:p w:rsidR="00E65761" w:rsidRDefault="00E65761">
      <w:pPr>
        <w:rPr>
          <w:rFonts w:eastAsia="Times New Roman" w:cs="Times New Roman"/>
          <w:szCs w:val="24"/>
        </w:rPr>
      </w:pPr>
      <w:r>
        <w:rPr>
          <w:rFonts w:eastAsia="Times New Roman" w:cs="Times New Roman"/>
          <w:szCs w:val="24"/>
        </w:rPr>
        <w:br w:type="page"/>
      </w:r>
    </w:p>
    <w:p w:rsidR="00E65761" w:rsidRPr="00884844" w:rsidRDefault="00E65761" w:rsidP="00E65761">
      <w:pPr>
        <w:spacing w:after="0"/>
        <w:jc w:val="right"/>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lastRenderedPageBreak/>
        <w:t>Приложение 4</w:t>
      </w:r>
    </w:p>
    <w:p w:rsidR="00E65761" w:rsidRPr="00884844" w:rsidRDefault="00E65761" w:rsidP="00E6576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 xml:space="preserve">Система целевых показателей и индикаторов реализации Стратегии социально-экономического развития </w:t>
      </w:r>
      <w:r w:rsidR="00E97C6A" w:rsidRPr="00884844">
        <w:rPr>
          <w:rFonts w:ascii="Times New Roman" w:eastAsia="Times New Roman" w:hAnsi="Times New Roman" w:cs="Times New Roman"/>
          <w:b/>
          <w:sz w:val="28"/>
          <w:szCs w:val="28"/>
        </w:rPr>
        <w:t>Бардымского</w:t>
      </w:r>
      <w:r w:rsidRPr="00884844">
        <w:rPr>
          <w:rFonts w:ascii="Times New Roman" w:eastAsia="Times New Roman" w:hAnsi="Times New Roman" w:cs="Times New Roman"/>
          <w:b/>
          <w:sz w:val="28"/>
          <w:szCs w:val="28"/>
        </w:rPr>
        <w:t xml:space="preserve"> муниципального района на 2017-2030 годы</w:t>
      </w:r>
    </w:p>
    <w:tbl>
      <w:tblPr>
        <w:tblW w:w="160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2084"/>
        <w:gridCol w:w="5940"/>
        <w:gridCol w:w="6212"/>
      </w:tblGrid>
      <w:tr w:rsidR="00E65761" w:rsidRPr="00E97C6A" w:rsidTr="00E65761">
        <w:trPr>
          <w:trHeight w:val="255"/>
        </w:trPr>
        <w:tc>
          <w:tcPr>
            <w:tcW w:w="16043" w:type="dxa"/>
            <w:gridSpan w:val="4"/>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Стратегическая Цель - Рост  человеческого потенциала.</w:t>
            </w:r>
          </w:p>
        </w:tc>
      </w:tr>
      <w:tr w:rsidR="00E65761" w:rsidRPr="00E97C6A" w:rsidTr="00E65761">
        <w:trPr>
          <w:trHeight w:val="270"/>
        </w:trPr>
        <w:tc>
          <w:tcPr>
            <w:tcW w:w="1807" w:type="dxa"/>
            <w:noWrap/>
            <w:vAlign w:val="center"/>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Сфера</w:t>
            </w:r>
          </w:p>
        </w:tc>
        <w:tc>
          <w:tcPr>
            <w:tcW w:w="2084" w:type="dxa"/>
            <w:noWrap/>
            <w:vAlign w:val="center"/>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Направления развития</w:t>
            </w:r>
          </w:p>
        </w:tc>
        <w:tc>
          <w:tcPr>
            <w:tcW w:w="5940" w:type="dxa"/>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Показатели 1-го уровня</w:t>
            </w:r>
          </w:p>
        </w:tc>
        <w:tc>
          <w:tcPr>
            <w:tcW w:w="6212" w:type="dxa"/>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Индикативные показатели</w:t>
            </w:r>
          </w:p>
        </w:tc>
      </w:tr>
      <w:tr w:rsidR="00E65761" w:rsidRPr="00E97C6A" w:rsidTr="00E65761">
        <w:trPr>
          <w:trHeight w:val="671"/>
        </w:trPr>
        <w:tc>
          <w:tcPr>
            <w:tcW w:w="1807" w:type="dxa"/>
            <w:noWrap/>
          </w:tcPr>
          <w:p w:rsidR="00E65761" w:rsidRPr="00ED6628" w:rsidRDefault="00E97C6A"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Бардымс</w:t>
            </w:r>
            <w:r w:rsidR="00E65761" w:rsidRPr="00ED6628">
              <w:rPr>
                <w:rFonts w:ascii="Times New Roman" w:eastAsia="Times New Roman" w:hAnsi="Times New Roman"/>
                <w:b/>
                <w:bCs/>
                <w:color w:val="000000"/>
                <w:sz w:val="18"/>
                <w:szCs w:val="18"/>
              </w:rPr>
              <w:t>ский      муниципальный район</w:t>
            </w:r>
          </w:p>
        </w:tc>
        <w:tc>
          <w:tcPr>
            <w:tcW w:w="2084" w:type="dxa"/>
            <w:noWrap/>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Демография</w:t>
            </w:r>
          </w:p>
        </w:tc>
        <w:tc>
          <w:tcPr>
            <w:tcW w:w="5940" w:type="dxa"/>
            <w:noWrap/>
          </w:tcPr>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 xml:space="preserve">1. Численность  населения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муниципального района, чел.</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2. Ожидаемая продолжительность жизни, лет</w:t>
            </w:r>
          </w:p>
        </w:tc>
        <w:tc>
          <w:tcPr>
            <w:tcW w:w="6212" w:type="dxa"/>
            <w:noWrap/>
          </w:tcPr>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1.Коэффициет рождаемости, промилле</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2. Коэффициент смертности, промилле</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3. Коэффициент миграционного  прироста  населения, промилле</w:t>
            </w:r>
          </w:p>
        </w:tc>
      </w:tr>
      <w:tr w:rsidR="00E65761" w:rsidRPr="00E97C6A" w:rsidTr="00F726A9">
        <w:trPr>
          <w:trHeight w:val="1479"/>
        </w:trPr>
        <w:tc>
          <w:tcPr>
            <w:tcW w:w="1807" w:type="dxa"/>
            <w:vMerge w:val="restart"/>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Инфраструктурная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Дорожная </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инфраструктура</w:t>
            </w:r>
          </w:p>
          <w:p w:rsidR="00E65761" w:rsidRPr="00ED6628" w:rsidRDefault="00E65761" w:rsidP="00530383">
            <w:pPr>
              <w:rPr>
                <w:rFonts w:ascii="Times New Roman" w:eastAsia="Times New Roman" w:hAnsi="Times New Roman"/>
                <w:b/>
                <w:bCs/>
                <w:color w:val="000000"/>
                <w:sz w:val="18"/>
                <w:szCs w:val="18"/>
              </w:rPr>
            </w:pP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1.</w:t>
            </w:r>
            <w:r w:rsidRPr="00E97C6A">
              <w:rPr>
                <w:rFonts w:ascii="Times New Roman" w:eastAsia="Times New Roman" w:hAnsi="Times New Roman"/>
                <w:color w:val="000000"/>
                <w:sz w:val="18"/>
                <w:szCs w:val="18"/>
                <w:lang w:bidi="en-US"/>
              </w:rPr>
              <w:t xml:space="preserve"> Протяжённость автодорог общего пользования местного значения  находящихся в собственности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всего, км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 </w:t>
            </w:r>
            <w:r w:rsidRPr="00E97C6A">
              <w:rPr>
                <w:rFonts w:ascii="Times New Roman" w:eastAsia="Times New Roman" w:hAnsi="Times New Roman"/>
                <w:color w:val="000000"/>
                <w:sz w:val="18"/>
                <w:szCs w:val="18"/>
              </w:rPr>
              <w:t xml:space="preserve">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1.</w:t>
            </w:r>
            <w:r w:rsidRPr="00E97C6A">
              <w:rPr>
                <w:rFonts w:ascii="Times New Roman" w:eastAsia="Times New Roman" w:hAnsi="Times New Roman"/>
                <w:color w:val="000000"/>
                <w:sz w:val="18"/>
                <w:szCs w:val="18"/>
                <w:lang w:bidi="en-US"/>
              </w:rPr>
              <w:t xml:space="preserve"> Доля автодорог общего пользования местного значения  находящихся в пользовании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с твердым  покрытием,%</w:t>
            </w:r>
          </w:p>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 xml:space="preserve">2. Доля автодорог общего пользования местного значения  находящихся в пользовании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с усовершенствованным (цементобетонным, асфальтобетонным и т.п.)  покрытием,%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3. Доля автодорог общего пользования находящихся в собственности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в ненормативном состоянии,  %</w:t>
            </w:r>
          </w:p>
        </w:tc>
      </w:tr>
      <w:tr w:rsidR="00E65761" w:rsidRPr="00E97C6A" w:rsidTr="00E65761">
        <w:trPr>
          <w:trHeight w:val="1552"/>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Инженерная и коммунальная инфраструктура</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 xml:space="preserve">1. </w:t>
            </w:r>
            <w:r w:rsidRPr="00E97C6A">
              <w:rPr>
                <w:rFonts w:ascii="Times New Roman" w:eastAsia="Times New Roman" w:hAnsi="Times New Roman"/>
                <w:color w:val="000000"/>
                <w:sz w:val="18"/>
                <w:szCs w:val="18"/>
                <w:lang w:bidi="en-US"/>
              </w:rPr>
              <w:t xml:space="preserve">Общая площадь жилых помещений в расчете на одного жителя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lang w:bidi="en-US"/>
              </w:rPr>
              <w:t xml:space="preserve"> муниципального района, кв. м.</w:t>
            </w:r>
          </w:p>
          <w:p w:rsidR="00E65761" w:rsidRPr="00E97C6A" w:rsidRDefault="00E65761" w:rsidP="00530383">
            <w:pPr>
              <w:spacing w:after="0" w:line="240" w:lineRule="auto"/>
              <w:rPr>
                <w:rFonts w:ascii="Times New Roman" w:hAnsi="Times New Roman"/>
                <w:sz w:val="18"/>
                <w:szCs w:val="18"/>
              </w:rPr>
            </w:pPr>
            <w:r w:rsidRPr="00E97C6A">
              <w:rPr>
                <w:rFonts w:ascii="Times New Roman" w:eastAsia="Times New Roman" w:hAnsi="Times New Roman"/>
                <w:color w:val="000000"/>
                <w:sz w:val="18"/>
                <w:szCs w:val="18"/>
                <w:lang w:bidi="en-US"/>
              </w:rPr>
              <w:t xml:space="preserve">2. </w:t>
            </w:r>
            <w:r w:rsidRPr="00E97C6A">
              <w:rPr>
                <w:rFonts w:ascii="Times New Roman" w:eastAsia="Times New Roman" w:hAnsi="Times New Roman"/>
                <w:color w:val="000000"/>
                <w:sz w:val="18"/>
                <w:szCs w:val="18"/>
              </w:rPr>
              <w:t xml:space="preserve">Количество негазифицированных населенных пунктов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color w:val="000000"/>
                <w:sz w:val="18"/>
                <w:szCs w:val="18"/>
              </w:rPr>
              <w:t xml:space="preserve"> муниципального района,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hAnsi="Times New Roman"/>
                <w:sz w:val="18"/>
                <w:szCs w:val="18"/>
              </w:rPr>
            </w:pPr>
            <w:r w:rsidRPr="00E97C6A">
              <w:rPr>
                <w:rFonts w:ascii="Times New Roman" w:eastAsia="Times New Roman" w:hAnsi="Times New Roman"/>
                <w:color w:val="000000"/>
                <w:sz w:val="18"/>
                <w:szCs w:val="18"/>
                <w:lang w:bidi="en-US"/>
              </w:rPr>
              <w:t>1.</w:t>
            </w:r>
            <w:r w:rsidRPr="00E97C6A">
              <w:rPr>
                <w:rFonts w:ascii="Times New Roman" w:eastAsia="Times New Roman" w:hAnsi="Times New Roman"/>
                <w:color w:val="000000"/>
                <w:sz w:val="18"/>
                <w:szCs w:val="18"/>
              </w:rPr>
              <w:t xml:space="preserve"> </w:t>
            </w:r>
            <w:r w:rsidRPr="00E97C6A">
              <w:rPr>
                <w:rFonts w:ascii="Times New Roman" w:hAnsi="Times New Roman"/>
                <w:sz w:val="18"/>
                <w:szCs w:val="18"/>
              </w:rPr>
              <w:t>Обеспеченность жилого фонда центральным водопроводом, %</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2. Обеспеченность жилого фонда центральной канализацией,%</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3. Обеспеченность жилого фонда центральным отоплением, %</w:t>
            </w:r>
          </w:p>
          <w:p w:rsidR="00E65761" w:rsidRPr="00E97C6A" w:rsidRDefault="00E65761" w:rsidP="00530383">
            <w:pPr>
              <w:spacing w:after="0" w:line="240" w:lineRule="auto"/>
              <w:rPr>
                <w:rFonts w:ascii="Times New Roman" w:eastAsia="Times New Roman" w:hAnsi="Times New Roman"/>
                <w:sz w:val="18"/>
                <w:szCs w:val="18"/>
              </w:rPr>
            </w:pPr>
            <w:r w:rsidRPr="00E97C6A">
              <w:rPr>
                <w:rFonts w:ascii="Times New Roman" w:eastAsia="Times New Roman" w:hAnsi="Times New Roman"/>
                <w:color w:val="000000"/>
                <w:sz w:val="18"/>
                <w:szCs w:val="18"/>
              </w:rPr>
              <w:t xml:space="preserve">4. </w:t>
            </w:r>
            <w:r w:rsidRPr="00E97C6A">
              <w:rPr>
                <w:rFonts w:ascii="Times New Roman" w:eastAsia="Times New Roman" w:hAnsi="Times New Roman"/>
                <w:sz w:val="18"/>
                <w:szCs w:val="18"/>
              </w:rPr>
              <w:t>Доля  домашних хозяйств, имеющих доступ к информационно-телекоммуникационной сети "Интернет" с домашнего компьютера,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sz w:val="18"/>
                <w:szCs w:val="18"/>
              </w:rPr>
              <w:t>5. У</w:t>
            </w:r>
            <w:r w:rsidRPr="00E97C6A">
              <w:rPr>
                <w:rFonts w:ascii="Times New Roman" w:hAnsi="Times New Roman"/>
                <w:sz w:val="18"/>
                <w:szCs w:val="18"/>
              </w:rPr>
              <w:t>ровень собираемости платежей за предоставленные жилищно-коммунальные услуги, %</w:t>
            </w:r>
          </w:p>
        </w:tc>
      </w:tr>
      <w:tr w:rsidR="00E65761" w:rsidRPr="00E97C6A" w:rsidTr="00E65761">
        <w:trPr>
          <w:trHeight w:val="1097"/>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Инфраструктура благоустройства</w:t>
            </w:r>
          </w:p>
          <w:p w:rsidR="00E65761" w:rsidRPr="00ED6628" w:rsidRDefault="00E65761" w:rsidP="00530383">
            <w:pP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1. Выбросы в атмосферу загрязняющих веществ от стационарных  источников, т.</w:t>
            </w:r>
          </w:p>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 xml:space="preserve">2. Количество предприятий по переработке  и утилизации бытовых отходов, ед. </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населенных пунктов не включенных в схему санитарной очистки территории,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несанкционированных свалок,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w:t>
            </w:r>
            <w:r w:rsidRPr="00E97C6A">
              <w:rPr>
                <w:rFonts w:ascii="Times New Roman" w:eastAsia="Times New Roman" w:hAnsi="Times New Roman"/>
                <w:sz w:val="18"/>
                <w:szCs w:val="18"/>
              </w:rPr>
              <w:t xml:space="preserve"> Удельный вес улиц, проездов, набережных, обеспеченных уличным освещением, %</w:t>
            </w:r>
          </w:p>
        </w:tc>
      </w:tr>
      <w:tr w:rsidR="00E65761" w:rsidRPr="00E97C6A" w:rsidTr="00F726A9">
        <w:trPr>
          <w:trHeight w:val="2111"/>
        </w:trPr>
        <w:tc>
          <w:tcPr>
            <w:tcW w:w="1807" w:type="dxa"/>
            <w:vMerge w:val="restart"/>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Экономическая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Производство </w:t>
            </w:r>
          </w:p>
        </w:tc>
        <w:tc>
          <w:tcPr>
            <w:tcW w:w="5940" w:type="dxa"/>
            <w:noWrap/>
          </w:tcPr>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eastAsia="Times New Roman" w:hAnsi="Times New Roman"/>
                <w:color w:val="000000"/>
                <w:sz w:val="18"/>
                <w:szCs w:val="18"/>
              </w:rPr>
              <w:t xml:space="preserve">1. </w:t>
            </w:r>
            <w:r w:rsidRPr="00E97C6A">
              <w:rPr>
                <w:rFonts w:ascii="Times New Roman" w:hAnsi="Times New Roman"/>
                <w:color w:val="000000"/>
                <w:sz w:val="18"/>
                <w:szCs w:val="18"/>
              </w:rPr>
              <w:t xml:space="preserve">Среднесписочное число работников  организаций на территории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(без субъектов малого предпринимательства), чел.</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 xml:space="preserve">2. Объем отгруженных товаров собственного производства, выполненных работ и услуг организаций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(без субъекта малого предпринимательства), млн. руб.</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3.</w:t>
            </w:r>
            <w:r w:rsidRPr="00E97C6A">
              <w:rPr>
                <w:rFonts w:ascii="Times New Roman" w:eastAsia="Times New Roman" w:hAnsi="Times New Roman"/>
                <w:color w:val="000000"/>
                <w:sz w:val="18"/>
                <w:szCs w:val="18"/>
              </w:rPr>
              <w:t xml:space="preserve"> </w:t>
            </w:r>
            <w:r w:rsidRPr="00E97C6A">
              <w:rPr>
                <w:rFonts w:ascii="Times New Roman" w:hAnsi="Times New Roman"/>
                <w:color w:val="000000"/>
                <w:sz w:val="18"/>
                <w:szCs w:val="18"/>
              </w:rPr>
              <w:t>Инвестиции в основной капитал , млн. руб.</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 xml:space="preserve">4. Среднемесячная  номинальная начисленная  заработная  плата работников  организаций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руб.</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5. </w:t>
            </w:r>
            <w:r w:rsidRPr="00E97C6A">
              <w:rPr>
                <w:rFonts w:ascii="Times New Roman" w:hAnsi="Times New Roman"/>
                <w:sz w:val="18"/>
                <w:szCs w:val="18"/>
              </w:rPr>
              <w:t>Уровень зарегистрированной  безработицы,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в трудоспособном возрасте,%</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sz w:val="18"/>
                <w:szCs w:val="18"/>
              </w:rPr>
              <w:t xml:space="preserve">2. </w:t>
            </w:r>
            <w:r w:rsidRPr="00E97C6A">
              <w:rPr>
                <w:rFonts w:ascii="Times New Roman" w:eastAsia="Times New Roman" w:hAnsi="Times New Roman"/>
                <w:color w:val="000000"/>
                <w:sz w:val="18"/>
                <w:szCs w:val="18"/>
              </w:rPr>
              <w:t>Соотношение количества пенсионеров в расчете на 1 работающего,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w:t>
            </w:r>
          </w:p>
          <w:p w:rsidR="00E65761" w:rsidRPr="00E97C6A" w:rsidRDefault="00E65761" w:rsidP="00530383">
            <w:pPr>
              <w:spacing w:after="0" w:line="240" w:lineRule="auto"/>
              <w:rPr>
                <w:rFonts w:ascii="Times New Roman" w:eastAsia="Times New Roman" w:hAnsi="Times New Roman"/>
                <w:color w:val="000000"/>
                <w:sz w:val="18"/>
                <w:szCs w:val="18"/>
              </w:rPr>
            </w:pPr>
          </w:p>
        </w:tc>
      </w:tr>
      <w:tr w:rsidR="00E65761" w:rsidRPr="00E97C6A" w:rsidTr="00F726A9">
        <w:trPr>
          <w:trHeight w:val="1119"/>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Сельское хозяйство</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w:t>
            </w:r>
            <w:r w:rsidRPr="00E97C6A">
              <w:rPr>
                <w:rFonts w:ascii="Times New Roman" w:hAnsi="Times New Roman"/>
                <w:color w:val="000000"/>
                <w:sz w:val="18"/>
                <w:szCs w:val="18"/>
              </w:rPr>
              <w:t xml:space="preserve"> Объем продукции (в действующих ценах)  сельского хозяйства произведенной в хозяйствах всех категорий, млн. руб.</w:t>
            </w:r>
            <w:r w:rsidRPr="00E97C6A">
              <w:rPr>
                <w:rFonts w:ascii="Times New Roman" w:eastAsia="Times New Roman" w:hAnsi="Times New Roman"/>
                <w:color w:val="000000"/>
                <w:sz w:val="18"/>
                <w:szCs w:val="18"/>
              </w:rPr>
              <w:t xml:space="preserve"> </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hAnsi="Times New Roman"/>
                <w:sz w:val="18"/>
                <w:szCs w:val="18"/>
              </w:rPr>
              <w:t xml:space="preserve"> </w:t>
            </w:r>
            <w:r w:rsidRPr="00E97C6A">
              <w:rPr>
                <w:rFonts w:ascii="Times New Roman" w:eastAsia="Times New Roman" w:hAnsi="Times New Roman"/>
                <w:color w:val="000000"/>
                <w:sz w:val="18"/>
                <w:szCs w:val="18"/>
              </w:rPr>
              <w:t>1. Доля продукции (в действующих ценах) сельского хозяйства произведенной в хозяйствах населения,  в общем объеме,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2. Доля посевных площадей  сельскохозяйственных  культур  в хозяйствах всех категорий, в общей площади сельскохозяйственных  угодий муниципального района, %</w:t>
            </w:r>
          </w:p>
        </w:tc>
      </w:tr>
      <w:tr w:rsidR="00E65761" w:rsidRPr="00E97C6A" w:rsidTr="00E65761">
        <w:trPr>
          <w:trHeight w:val="236"/>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Логистика и торговля</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 </w:t>
            </w:r>
            <w:r w:rsidRPr="00E97C6A">
              <w:rPr>
                <w:rFonts w:ascii="Times New Roman" w:hAnsi="Times New Roman"/>
                <w:sz w:val="18"/>
                <w:szCs w:val="18"/>
              </w:rPr>
              <w:t>Оборот  розничной торговли (без субъектов малого предпринимательства), млн. руб.</w:t>
            </w:r>
          </w:p>
        </w:tc>
        <w:tc>
          <w:tcPr>
            <w:tcW w:w="6212" w:type="dxa"/>
            <w:vAlign w:val="center"/>
          </w:tcPr>
          <w:p w:rsidR="00E65761" w:rsidRPr="00E97C6A" w:rsidRDefault="00E65761" w:rsidP="00530383">
            <w:pPr>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Оборот общественного питания (без субъектов малого предпринимательства), млн. руб.</w:t>
            </w:r>
          </w:p>
        </w:tc>
      </w:tr>
      <w:tr w:rsidR="00E65761" w:rsidRPr="00E97C6A" w:rsidTr="00E65761">
        <w:trPr>
          <w:trHeight w:val="657"/>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Малое предпринимательство. Туризм</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субъектов малого предпринимательства,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sz w:val="18"/>
                <w:szCs w:val="18"/>
              </w:rPr>
            </w:pPr>
            <w:r w:rsidRPr="00E97C6A">
              <w:rPr>
                <w:rFonts w:ascii="Times New Roman" w:eastAsia="Times New Roman" w:hAnsi="Times New Roman"/>
                <w:color w:val="000000"/>
                <w:sz w:val="18"/>
                <w:szCs w:val="18"/>
              </w:rPr>
              <w:t xml:space="preserve">1. </w:t>
            </w:r>
            <w:r w:rsidRPr="00E97C6A">
              <w:rPr>
                <w:rFonts w:ascii="Times New Roman" w:eastAsia="Times New Roman" w:hAnsi="Times New Roman"/>
                <w:sz w:val="18"/>
                <w:szCs w:val="18"/>
              </w:rPr>
              <w:t xml:space="preserve"> Доля продукции  (в действующих ценах) произведенной субъектами малого предпринимательства ,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Турпоток, чел.</w:t>
            </w:r>
          </w:p>
        </w:tc>
      </w:tr>
      <w:tr w:rsidR="00E65761" w:rsidRPr="00E97C6A" w:rsidTr="00E65761">
        <w:trPr>
          <w:trHeight w:val="809"/>
        </w:trPr>
        <w:tc>
          <w:tcPr>
            <w:tcW w:w="1807" w:type="dxa"/>
            <w:vMerge w:val="restart"/>
            <w:noWrap/>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Социальная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Здравоохранение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Общая заболеваемость населения, промилле</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Младенческая смертность, промилле</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жителей не прошедших диспансеризацию (профосмотр) на конец года,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фельдшерско-акушерских пунктов (ФАП) и (или) офисов врачей общей практики (ВОП),  ед.</w:t>
            </w:r>
          </w:p>
        </w:tc>
      </w:tr>
      <w:tr w:rsidR="00E65761" w:rsidRPr="00E97C6A" w:rsidTr="00E65761">
        <w:trPr>
          <w:trHeight w:val="653"/>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Социальная защита и пенсионное обеспечение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Средний размер месячных пенсий на конец года, руб.</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r>
      <w:tr w:rsidR="00E65761" w:rsidRPr="00E97C6A" w:rsidTr="00E65761">
        <w:trPr>
          <w:trHeight w:val="963"/>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Образование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учащихся в образовательных организациях, чел.</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Количество посещающих дошкольные  образовательных организациях, чел.  </w:t>
            </w:r>
          </w:p>
        </w:tc>
        <w:tc>
          <w:tcPr>
            <w:tcW w:w="6212" w:type="dxa"/>
            <w:vAlign w:val="center"/>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общеобразовательных школ,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дошкольных образовательных организаций,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3.Количество обучающихся во 2 и 3 смены в образовательных организациях, чел.</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Численность  детей, приходящихся  на 100 место в  дошкольных образовательных организациях чел.</w:t>
            </w:r>
          </w:p>
        </w:tc>
      </w:tr>
      <w:tr w:rsidR="00E65761" w:rsidRPr="00E97C6A" w:rsidTr="00E65761">
        <w:trPr>
          <w:trHeight w:val="1010"/>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Культура</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1. Количество культурно-досуговых учреждений,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2. Количество сельских библиотек, ед.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Вместимость культурно-досуговых учреждений в расчете на 1000 жителей, мест</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Библиотечный фонд сельских библиотек в расчете на 1000 жителей, экземпляров</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p>
        </w:tc>
      </w:tr>
      <w:tr w:rsidR="00E65761" w:rsidRPr="00E97C6A" w:rsidTr="00E65761">
        <w:trPr>
          <w:trHeight w:val="1267"/>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Физкультура и спорт</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1.Количество спортсооружений,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систематически занимающегося физической культурой и спортом,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Площадь  плоскостных спортсооружений в расчете на 10000 жителей, кв. м.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 Площадь спортивных залов в расчете на 10000 жителей, кв. 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Площадь (зеркало) бассейнов в расчете на 10000 жителей, кв. м.</w:t>
            </w:r>
          </w:p>
        </w:tc>
      </w:tr>
      <w:tr w:rsidR="00E65761" w:rsidRPr="00E97C6A" w:rsidTr="00E65761">
        <w:trPr>
          <w:trHeight w:val="65"/>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Общественная </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безопасность</w:t>
            </w: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Уровень зарегистрированной преступности (количество преступлений на 10000 жителей),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Уровень детской преступности (количество преступлений совершенных несовершеннолетними на 10000 жителей), ед.</w:t>
            </w:r>
          </w:p>
        </w:tc>
        <w:tc>
          <w:tcPr>
            <w:tcW w:w="6212" w:type="dxa"/>
            <w:vAlign w:val="center"/>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Обеспеченность населенных пунктов пожарными депо,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Обеспеченность населенных пунктов участковыми инспекторами, %</w:t>
            </w:r>
          </w:p>
          <w:p w:rsidR="00E65761" w:rsidRPr="00E97C6A" w:rsidRDefault="00E65761" w:rsidP="00530383">
            <w:pPr>
              <w:rPr>
                <w:rFonts w:ascii="Times New Roman" w:eastAsia="Times New Roman" w:hAnsi="Times New Roman"/>
                <w:color w:val="000000"/>
                <w:sz w:val="18"/>
                <w:szCs w:val="18"/>
              </w:rPr>
            </w:pPr>
          </w:p>
        </w:tc>
      </w:tr>
      <w:tr w:rsidR="00E65761" w:rsidRPr="00E97C6A" w:rsidTr="00E65761">
        <w:trPr>
          <w:trHeight w:val="2242"/>
        </w:trPr>
        <w:tc>
          <w:tcPr>
            <w:tcW w:w="1807" w:type="dxa"/>
            <w:vMerge w:val="restart"/>
            <w:noWrap/>
            <w:vAlign w:val="center"/>
          </w:tcPr>
          <w:p w:rsidR="00E65761" w:rsidRPr="00E97C6A" w:rsidRDefault="00E65761" w:rsidP="00530383">
            <w:pPr>
              <w:spacing w:after="0" w:line="240" w:lineRule="auto"/>
              <w:jc w:val="center"/>
              <w:rPr>
                <w:rFonts w:ascii="Times New Roman" w:eastAsia="Times New Roman" w:hAnsi="Times New Roman"/>
                <w:bCs/>
                <w:color w:val="000000"/>
                <w:sz w:val="18"/>
                <w:szCs w:val="18"/>
              </w:rPr>
            </w:pPr>
          </w:p>
          <w:p w:rsidR="00E65761" w:rsidRPr="00E97C6A" w:rsidRDefault="00E65761" w:rsidP="00530383">
            <w:pPr>
              <w:spacing w:after="0" w:line="240" w:lineRule="auto"/>
              <w:jc w:val="center"/>
              <w:rPr>
                <w:rFonts w:ascii="Times New Roman" w:eastAsia="Times New Roman" w:hAnsi="Times New Roman"/>
                <w:bCs/>
                <w:color w:val="000000"/>
                <w:sz w:val="18"/>
                <w:szCs w:val="18"/>
              </w:rPr>
            </w:pPr>
          </w:p>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Бюджетная</w:t>
            </w: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Муниципальное</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управление</w:t>
            </w:r>
          </w:p>
        </w:tc>
        <w:tc>
          <w:tcPr>
            <w:tcW w:w="5940" w:type="dxa"/>
          </w:tcPr>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1. Среднемесячная номинальная начисленная заработная плата работников:</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дошкольных образовательных организаций,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образовательных организаций,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учреждений культуры и искусства,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учреждений физической культуры и спорта, руб.</w:t>
            </w:r>
          </w:p>
          <w:p w:rsidR="00E65761" w:rsidRPr="00E97C6A" w:rsidRDefault="00E65761" w:rsidP="00530383">
            <w:pPr>
              <w:spacing w:after="0" w:line="240" w:lineRule="auto"/>
              <w:rPr>
                <w:rFonts w:ascii="Times New Roman" w:hAnsi="Times New Roman"/>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 Удовлетворенность населения деятельностью органов местного самоуправления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w:t>
            </w:r>
            <w:r w:rsidRPr="00E97C6A">
              <w:rPr>
                <w:rFonts w:ascii="Times New Roman" w:hAnsi="Times New Roman"/>
                <w:sz w:val="18"/>
                <w:szCs w:val="18"/>
              </w:rPr>
              <w:t xml:space="preserve"> Доля площади земельных участков, являющихся объектами налогообложения земельным налогом, в общей площади территории,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3. </w:t>
            </w:r>
            <w:r w:rsidRPr="00E97C6A">
              <w:rPr>
                <w:rFonts w:ascii="Times New Roman" w:eastAsia="Times New Roman" w:hAnsi="Times New Roman"/>
                <w:color w:val="000000"/>
                <w:sz w:val="18"/>
                <w:szCs w:val="18"/>
              </w:rPr>
              <w:t xml:space="preserve">Доля населения, проживающего в населенных пунктах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не имеющих регулярного автобусного и (или) железнодорожного сообщения с административным центром муниципального района,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hAnsi="Times New Roman"/>
                <w:sz w:val="18"/>
                <w:szCs w:val="18"/>
              </w:rPr>
              <w:t xml:space="preserve">4. </w:t>
            </w:r>
            <w:r w:rsidRPr="00E97C6A">
              <w:rPr>
                <w:rFonts w:ascii="Times New Roman" w:eastAsia="Times New Roman" w:hAnsi="Times New Roman"/>
                <w:color w:val="000000"/>
                <w:sz w:val="18"/>
                <w:szCs w:val="18"/>
              </w:rPr>
              <w:t>Количество субъектов малого предпринимательства, получивших муниципальную поддержку, ед.</w:t>
            </w:r>
          </w:p>
        </w:tc>
      </w:tr>
      <w:tr w:rsidR="00E65761" w:rsidRPr="00E97C6A" w:rsidTr="00E65761">
        <w:trPr>
          <w:trHeight w:val="271"/>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Бюджетные отношения</w:t>
            </w: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1.Объем консолидированного бюджета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rPr>
              <w:t xml:space="preserve"> муниципального района, млн. руб.</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Собственные доходы консолидированного бюджета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rPr>
              <w:t xml:space="preserve"> муниципального района, млн. руб.</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собственных  налоговых  доходов  бюджета,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Доля  собственных  неналоговых  доходов бюджета,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3. Доля безвозмездных поступлений в бюджет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из бюджетов других уровней,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Доля расходов бюджета муниципального образования на содержание работников органов местного самоуправления в  общем объеме расходов консолидированного бюджета, %.</w:t>
            </w:r>
          </w:p>
        </w:tc>
      </w:tr>
    </w:tbl>
    <w:p w:rsidR="005D24C1" w:rsidRDefault="005D24C1" w:rsidP="005D24C1">
      <w:pPr>
        <w:spacing w:after="0"/>
        <w:ind w:firstLine="709"/>
        <w:rPr>
          <w:rFonts w:eastAsia="Times New Roman" w:cs="Times New Roman"/>
          <w:szCs w:val="24"/>
        </w:rPr>
      </w:pPr>
    </w:p>
    <w:p w:rsidR="005D24C1" w:rsidRDefault="005D24C1" w:rsidP="005D24C1">
      <w:pPr>
        <w:spacing w:after="0"/>
        <w:ind w:firstLine="709"/>
        <w:rPr>
          <w:rFonts w:eastAsia="Times New Roman" w:cs="Times New Roman"/>
          <w:szCs w:val="24"/>
        </w:rPr>
      </w:pPr>
    </w:p>
    <w:p w:rsidR="00424AF3" w:rsidRDefault="00424AF3" w:rsidP="00F805FA">
      <w:pPr>
        <w:spacing w:after="0"/>
        <w:ind w:firstLine="709"/>
        <w:jc w:val="right"/>
        <w:rPr>
          <w:rFonts w:ascii="Times New Roman" w:hAnsi="Times New Roman" w:cs="Times New Roman"/>
          <w:sz w:val="28"/>
          <w:szCs w:val="28"/>
        </w:rPr>
        <w:sectPr w:rsidR="00424AF3" w:rsidSect="005D24C1">
          <w:footerReference w:type="default" r:id="rId135"/>
          <w:pgSz w:w="16838" w:h="11906" w:orient="landscape"/>
          <w:pgMar w:top="1418" w:right="851" w:bottom="567" w:left="851" w:header="709" w:footer="709" w:gutter="0"/>
          <w:cols w:space="708"/>
          <w:docGrid w:linePitch="360"/>
        </w:sectPr>
      </w:pPr>
    </w:p>
    <w:p w:rsidR="00153E07" w:rsidRPr="00ED6628" w:rsidRDefault="00153E07" w:rsidP="00F805FA">
      <w:pPr>
        <w:spacing w:after="0"/>
        <w:ind w:firstLine="709"/>
        <w:jc w:val="right"/>
        <w:rPr>
          <w:rFonts w:ascii="Times New Roman" w:hAnsi="Times New Roman" w:cs="Times New Roman"/>
          <w:b/>
          <w:sz w:val="28"/>
          <w:szCs w:val="28"/>
        </w:rPr>
      </w:pPr>
      <w:r w:rsidRPr="00ED6628">
        <w:rPr>
          <w:rFonts w:ascii="Times New Roman" w:hAnsi="Times New Roman" w:cs="Times New Roman"/>
          <w:b/>
          <w:sz w:val="28"/>
          <w:szCs w:val="28"/>
        </w:rPr>
        <w:lastRenderedPageBreak/>
        <w:t>Приложение</w:t>
      </w:r>
      <w:r w:rsidR="00424AF3" w:rsidRPr="00ED6628">
        <w:rPr>
          <w:rFonts w:ascii="Times New Roman" w:hAnsi="Times New Roman" w:cs="Times New Roman"/>
          <w:b/>
          <w:sz w:val="28"/>
          <w:szCs w:val="28"/>
        </w:rPr>
        <w:t xml:space="preserve"> 5</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Инновационный прогноз социально-экономического развития Бардымского муниципального района Пермского края на 2018-2030 годы</w:t>
      </w:r>
    </w:p>
    <w:tbl>
      <w:tblPr>
        <w:tblW w:w="5000" w:type="pct"/>
        <w:tblLayout w:type="fixed"/>
        <w:tblLook w:val="04A0"/>
      </w:tblPr>
      <w:tblGrid>
        <w:gridCol w:w="1663"/>
        <w:gridCol w:w="2878"/>
        <w:gridCol w:w="931"/>
        <w:gridCol w:w="845"/>
        <w:gridCol w:w="764"/>
        <w:gridCol w:w="764"/>
        <w:gridCol w:w="764"/>
        <w:gridCol w:w="764"/>
        <w:gridCol w:w="764"/>
      </w:tblGrid>
      <w:tr w:rsidR="00810A0F" w:rsidRPr="00BF5CCA" w:rsidTr="00810A0F">
        <w:trPr>
          <w:trHeight w:val="600"/>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7" w:type="pct"/>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884" w:type="pct"/>
            <w:gridSpan w:val="5"/>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BF5CCA" w:rsidTr="00810A0F">
        <w:trPr>
          <w:trHeight w:val="300"/>
        </w:trPr>
        <w:tc>
          <w:tcPr>
            <w:tcW w:w="820"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419"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45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BF5CCA" w:rsidTr="00810A0F">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чел.</w:t>
            </w:r>
          </w:p>
        </w:tc>
        <w:tc>
          <w:tcPr>
            <w:tcW w:w="45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25114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25010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24946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26524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33221</w:t>
            </w:r>
          </w:p>
        </w:tc>
      </w:tr>
      <w:tr w:rsidR="00810A0F" w:rsidRPr="00BF5CCA" w:rsidTr="00810A0F">
        <w:trPr>
          <w:trHeight w:val="60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532,16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521,71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515,22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556,34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603,49</w:t>
            </w:r>
          </w:p>
        </w:tc>
      </w:tr>
      <w:tr w:rsidR="00810A0F" w:rsidRPr="00BF5CCA" w:rsidTr="00810A0F">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141,21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147,06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150,69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172</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89,78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85,48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82,81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99,73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119,12</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86,6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73,45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65,27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117,06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176,42</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9,71</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180,72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234,2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104,37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1,21</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79,86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50,81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121,33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202,18</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37,75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79,48</w:t>
            </w:r>
          </w:p>
        </w:tc>
      </w:tr>
      <w:tr w:rsidR="00810A0F" w:rsidRPr="00BF5CCA" w:rsidTr="00810A0F">
        <w:trPr>
          <w:trHeight w:val="6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109,84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111,28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112,17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1,87</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52,69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55,41</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302,19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304,11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352</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4,77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4,09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2,76</w:t>
            </w:r>
          </w:p>
        </w:tc>
      </w:tr>
      <w:tr w:rsidR="00810A0F" w:rsidRPr="00BF5CCA" w:rsidTr="00810A0F">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29,89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34,37</w:t>
            </w:r>
          </w:p>
        </w:tc>
      </w:tr>
      <w:tr w:rsidR="00810A0F" w:rsidRPr="00BF5CCA" w:rsidTr="00810A0F">
        <w:trPr>
          <w:trHeight w:val="18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12,32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12,99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19,47</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113,3</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90,39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102,7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142,9</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71,33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71,85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72,17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70,14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77,81</w:t>
            </w:r>
          </w:p>
        </w:tc>
      </w:tr>
    </w:tbl>
    <w:p w:rsidR="00810A0F" w:rsidRDefault="00810A0F" w:rsidP="00810A0F">
      <w:pPr>
        <w:spacing w:after="0"/>
        <w:ind w:firstLine="709"/>
        <w:jc w:val="right"/>
        <w:rPr>
          <w:rFonts w:ascii="Times New Roman" w:hAnsi="Times New Roman" w:cs="Times New Roman"/>
          <w:sz w:val="28"/>
          <w:szCs w:val="28"/>
        </w:rPr>
      </w:pPr>
    </w:p>
    <w:p w:rsidR="00810A0F" w:rsidRPr="00153E07" w:rsidRDefault="00810A0F" w:rsidP="00810A0F">
      <w:pPr>
        <w:spacing w:after="160" w:line="259" w:lineRule="auto"/>
        <w:jc w:val="both"/>
        <w:rPr>
          <w:rFonts w:ascii="Times New Roman" w:hAnsi="Times New Roman" w:cs="Times New Roman"/>
          <w:sz w:val="28"/>
          <w:szCs w:val="28"/>
        </w:rPr>
      </w:pPr>
      <w:r w:rsidRPr="00153E07">
        <w:rPr>
          <w:rFonts w:ascii="Times New Roman" w:hAnsi="Times New Roman" w:cs="Times New Roman"/>
          <w:sz w:val="28"/>
          <w:szCs w:val="28"/>
        </w:rPr>
        <w:br w:type="page"/>
      </w:r>
    </w:p>
    <w:p w:rsidR="00810A0F" w:rsidRPr="00ED6628" w:rsidRDefault="00810A0F" w:rsidP="00810A0F">
      <w:pPr>
        <w:spacing w:after="0"/>
        <w:ind w:firstLine="709"/>
        <w:jc w:val="right"/>
        <w:rPr>
          <w:rFonts w:ascii="Times New Roman" w:hAnsi="Times New Roman" w:cs="Times New Roman"/>
          <w:b/>
          <w:sz w:val="28"/>
          <w:szCs w:val="28"/>
        </w:rPr>
      </w:pPr>
      <w:r w:rsidRPr="00ED6628">
        <w:rPr>
          <w:rFonts w:ascii="Times New Roman" w:hAnsi="Times New Roman" w:cs="Times New Roman"/>
          <w:b/>
          <w:sz w:val="28"/>
          <w:szCs w:val="28"/>
        </w:rPr>
        <w:lastRenderedPageBreak/>
        <w:t>Приложение 6</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Оптимальный прогноз социально-экономического развития Бардымского муниципального района Пермского края на 2018-2030 годы</w:t>
      </w:r>
    </w:p>
    <w:tbl>
      <w:tblPr>
        <w:tblW w:w="5000" w:type="pct"/>
        <w:tblLayout w:type="fixed"/>
        <w:tblLook w:val="04A0"/>
      </w:tblPr>
      <w:tblGrid>
        <w:gridCol w:w="1807"/>
        <w:gridCol w:w="2421"/>
        <w:gridCol w:w="1129"/>
        <w:gridCol w:w="847"/>
        <w:gridCol w:w="787"/>
        <w:gridCol w:w="787"/>
        <w:gridCol w:w="787"/>
        <w:gridCol w:w="787"/>
        <w:gridCol w:w="785"/>
      </w:tblGrid>
      <w:tr w:rsidR="00810A0F" w:rsidRPr="00E97C6A" w:rsidTr="00810A0F">
        <w:trPr>
          <w:trHeight w:val="3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8" w:type="pct"/>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939" w:type="pct"/>
            <w:gridSpan w:val="5"/>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E97C6A" w:rsidTr="00810A0F">
        <w:trPr>
          <w:trHeight w:val="300"/>
        </w:trPr>
        <w:tc>
          <w:tcPr>
            <w:tcW w:w="892"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194"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55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E97C6A" w:rsidTr="00810A0F">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тыс.чел.</w:t>
            </w:r>
          </w:p>
        </w:tc>
        <w:tc>
          <w:tcPr>
            <w:tcW w:w="55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25232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25133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24800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24568</w:t>
            </w:r>
          </w:p>
        </w:tc>
      </w:tr>
      <w:tr w:rsidR="00810A0F" w:rsidRPr="00E97C6A" w:rsidTr="00810A0F">
        <w:trPr>
          <w:trHeight w:val="60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544,14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534,15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519,55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500,42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676,62</w:t>
            </w:r>
          </w:p>
        </w:tc>
      </w:tr>
      <w:tr w:rsidR="00810A0F" w:rsidRPr="00E97C6A" w:rsidTr="00810A0F">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130,97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135,87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143,03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152,42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163,97</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94,71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84,59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67,03</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101,69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76,63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79,36</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3,44</w:t>
            </w:r>
          </w:p>
        </w:tc>
      </w:tr>
      <w:tr w:rsidR="00810A0F" w:rsidRPr="00E97C6A" w:rsidTr="00810A0F">
        <w:trPr>
          <w:trHeight w:val="1485"/>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8,05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7,67</w:t>
            </w:r>
          </w:p>
        </w:tc>
      </w:tr>
      <w:tr w:rsidR="00810A0F" w:rsidRPr="00E97C6A" w:rsidTr="00810A0F">
        <w:trPr>
          <w:trHeight w:val="434"/>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142,89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174,44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220,54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280,93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355,28</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0,72</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83,27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69,23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72,83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105,87</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39,74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75,16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61,05</w:t>
            </w:r>
          </w:p>
        </w:tc>
      </w:tr>
      <w:tr w:rsidR="00810A0F" w:rsidRPr="00E97C6A" w:rsidTr="00810A0F">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108,18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109,56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114,21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117,46</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1,92</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52,23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51,5</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19,68</w:t>
            </w:r>
          </w:p>
        </w:tc>
      </w:tr>
      <w:tr w:rsidR="00810A0F" w:rsidRPr="00E97C6A" w:rsidTr="00810A0F">
        <w:trPr>
          <w:trHeight w:val="15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303,62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308,47</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4,71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6,32</w:t>
            </w:r>
          </w:p>
        </w:tc>
      </w:tr>
      <w:tr w:rsidR="00810A0F" w:rsidRPr="00E97C6A" w:rsidTr="00810A0F">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30,85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29,15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27,95</w:t>
            </w:r>
          </w:p>
        </w:tc>
      </w:tr>
      <w:tr w:rsidR="00810A0F" w:rsidRPr="00E97C6A" w:rsidTr="00810A0F">
        <w:trPr>
          <w:trHeight w:val="21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14,52</w:t>
            </w:r>
          </w:p>
        </w:tc>
      </w:tr>
      <w:tr w:rsidR="00810A0F" w:rsidRPr="00E97C6A" w:rsidTr="00810A0F">
        <w:trPr>
          <w:trHeight w:val="15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113,3</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99,21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91,85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100,05</w:t>
            </w:r>
          </w:p>
        </w:tc>
      </w:tr>
      <w:tr w:rsidR="00810A0F" w:rsidRPr="00E97C6A" w:rsidTr="00810A0F">
        <w:trPr>
          <w:trHeight w:val="292"/>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74,06</w:t>
            </w:r>
          </w:p>
        </w:tc>
      </w:tr>
    </w:tbl>
    <w:p w:rsidR="00810A0F" w:rsidRDefault="00810A0F" w:rsidP="00810A0F">
      <w:pPr>
        <w:spacing w:after="0"/>
        <w:jc w:val="center"/>
        <w:rPr>
          <w:rFonts w:ascii="Times New Roman" w:hAnsi="Times New Roman" w:cs="Times New Roman"/>
          <w:b/>
          <w:sz w:val="28"/>
          <w:szCs w:val="28"/>
        </w:rPr>
      </w:pPr>
    </w:p>
    <w:p w:rsidR="00810A0F" w:rsidRPr="00ED6628" w:rsidRDefault="00810A0F" w:rsidP="00810A0F">
      <w:pPr>
        <w:spacing w:after="160" w:line="259" w:lineRule="auto"/>
        <w:jc w:val="right"/>
        <w:rPr>
          <w:rFonts w:ascii="Times New Roman" w:hAnsi="Times New Roman" w:cs="Times New Roman"/>
          <w:b/>
          <w:sz w:val="28"/>
          <w:szCs w:val="28"/>
        </w:rPr>
      </w:pPr>
      <w:r w:rsidRPr="00153E07">
        <w:rPr>
          <w:rFonts w:ascii="Times New Roman" w:hAnsi="Times New Roman" w:cs="Times New Roman"/>
          <w:sz w:val="28"/>
          <w:szCs w:val="28"/>
        </w:rPr>
        <w:br w:type="page"/>
      </w:r>
      <w:r w:rsidRPr="00ED6628">
        <w:rPr>
          <w:rFonts w:ascii="Times New Roman" w:hAnsi="Times New Roman" w:cs="Times New Roman"/>
          <w:b/>
          <w:sz w:val="28"/>
          <w:szCs w:val="28"/>
        </w:rPr>
        <w:lastRenderedPageBreak/>
        <w:t>Приложение 7</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Пессимистический прогноз социально-экономического развития Бардымского муниципального района Пермского края на 2018-2030 годы</w:t>
      </w:r>
    </w:p>
    <w:tbl>
      <w:tblPr>
        <w:tblW w:w="4998" w:type="pct"/>
        <w:tblLayout w:type="fixed"/>
        <w:tblLook w:val="04A0"/>
      </w:tblPr>
      <w:tblGrid>
        <w:gridCol w:w="1670"/>
        <w:gridCol w:w="2691"/>
        <w:gridCol w:w="991"/>
        <w:gridCol w:w="849"/>
        <w:gridCol w:w="815"/>
        <w:gridCol w:w="742"/>
        <w:gridCol w:w="711"/>
        <w:gridCol w:w="849"/>
        <w:gridCol w:w="815"/>
      </w:tblGrid>
      <w:tr w:rsidR="00810A0F" w:rsidRPr="00ED6628" w:rsidTr="00810A0F">
        <w:trPr>
          <w:trHeight w:val="600"/>
        </w:trPr>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940" w:type="pct"/>
            <w:gridSpan w:val="5"/>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ED6628" w:rsidTr="00810A0F">
        <w:trPr>
          <w:trHeight w:val="300"/>
        </w:trPr>
        <w:tc>
          <w:tcPr>
            <w:tcW w:w="824"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48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402"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66"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51"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41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403"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ED6628" w:rsidTr="00810A0F">
        <w:trPr>
          <w:trHeight w:val="300"/>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чел.</w:t>
            </w:r>
          </w:p>
        </w:tc>
        <w:tc>
          <w:tcPr>
            <w:tcW w:w="48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25186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24995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24716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24349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23901</w:t>
            </w:r>
          </w:p>
        </w:tc>
      </w:tr>
      <w:tr w:rsidR="00810A0F" w:rsidRPr="00ED6628" w:rsidTr="00810A0F">
        <w:trPr>
          <w:trHeight w:val="60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539,46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520,18</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491,85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454,77</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409,35</w:t>
            </w:r>
          </w:p>
        </w:tc>
      </w:tr>
      <w:tr w:rsidR="00810A0F" w:rsidRPr="00ED6628" w:rsidTr="00810A0F">
        <w:trPr>
          <w:trHeight w:val="6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137,12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147,91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163,76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184,51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209,92</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92,78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84,85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77,95</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87,82</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95,8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71,52</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65,85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69,26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72,66</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3,79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8,68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8,37</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6,58</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157,67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218,53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307,97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425,02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568,41</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ED6628" w:rsidTr="00810A0F">
        <w:trPr>
          <w:trHeight w:val="434"/>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0,67</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92,38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59,33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60,74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62,72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78,02</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22,81</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5,75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19,33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42,26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56,32</w:t>
            </w:r>
          </w:p>
        </w:tc>
      </w:tr>
      <w:tr w:rsidR="00810A0F" w:rsidRPr="00ED6628" w:rsidTr="00810A0F">
        <w:trPr>
          <w:trHeight w:val="3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108,83</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111,49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115,39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120,51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126,77</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1,93</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1,95</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53,43</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52,84</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50,82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49,42</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6,89</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16,62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24,19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33,47</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301,36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303,55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306,77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310,99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316,15</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6,94</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8,21</w:t>
            </w:r>
          </w:p>
        </w:tc>
      </w:tr>
      <w:tr w:rsidR="00810A0F" w:rsidRPr="00ED6628" w:rsidTr="00810A0F">
        <w:trPr>
          <w:trHeight w:val="9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31,12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28,71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26,83</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24,53</w:t>
            </w:r>
          </w:p>
        </w:tc>
      </w:tr>
      <w:tr w:rsidR="00810A0F" w:rsidRPr="00ED6628" w:rsidTr="00810A0F">
        <w:trPr>
          <w:trHeight w:val="15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12,02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12,79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13,92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15,4</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17,21</w:t>
            </w:r>
          </w:p>
        </w:tc>
      </w:tr>
      <w:tr w:rsidR="00810A0F" w:rsidRPr="00ED6628" w:rsidTr="00810A0F">
        <w:trPr>
          <w:trHeight w:val="15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 xml:space="preserve">Темп роста налоговых и неналоговых доходов консолидированного бюджета Бардымского МР (за период с начала года в % к соответствующему периоду </w:t>
            </w:r>
            <w:r w:rsidRPr="00ED6628">
              <w:rPr>
                <w:rFonts w:ascii="Times New Roman" w:eastAsia="Times New Roman" w:hAnsi="Times New Roman" w:cs="Times New Roman"/>
                <w:color w:val="000000"/>
                <w:sz w:val="18"/>
                <w:szCs w:val="18"/>
              </w:rPr>
              <w:lastRenderedPageBreak/>
              <w:t>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lastRenderedPageBreak/>
              <w:t>113,3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95,76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81,57</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60,71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73,42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77,2</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70,97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71,92</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75,15</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77,39</w:t>
            </w:r>
          </w:p>
        </w:tc>
      </w:tr>
    </w:tbl>
    <w:p w:rsidR="00BF5CCA" w:rsidRPr="00CF5485" w:rsidRDefault="00153E07" w:rsidP="00543488">
      <w:pPr>
        <w:spacing w:after="160" w:line="259" w:lineRule="auto"/>
        <w:jc w:val="center"/>
        <w:rPr>
          <w:rFonts w:ascii="Times New Roman" w:hAnsi="Times New Roman" w:cs="Times New Roman"/>
          <w:b/>
          <w:sz w:val="28"/>
          <w:szCs w:val="28"/>
        </w:rPr>
      </w:pPr>
      <w:r w:rsidRPr="00153E07">
        <w:rPr>
          <w:rFonts w:ascii="Times New Roman" w:hAnsi="Times New Roman" w:cs="Times New Roman"/>
          <w:sz w:val="28"/>
          <w:szCs w:val="28"/>
        </w:rPr>
        <w:br w:type="page"/>
      </w:r>
      <w:bookmarkEnd w:id="12"/>
      <w:r w:rsidR="00543488" w:rsidRPr="00CF5485">
        <w:rPr>
          <w:rFonts w:ascii="Times New Roman" w:hAnsi="Times New Roman" w:cs="Times New Roman"/>
          <w:b/>
          <w:sz w:val="28"/>
          <w:szCs w:val="28"/>
        </w:rPr>
        <w:lastRenderedPageBreak/>
        <w:t>Оглавление</w:t>
      </w:r>
    </w:p>
    <w:p w:rsidR="00870C51" w:rsidRPr="00BF6E5D" w:rsidRDefault="00870C51" w:rsidP="00BF6E5D">
      <w:pPr>
        <w:pStyle w:val="1"/>
        <w:spacing w:line="240" w:lineRule="auto"/>
        <w:rPr>
          <w:b w:val="0"/>
          <w:sz w:val="24"/>
          <w:szCs w:val="24"/>
        </w:rPr>
      </w:pPr>
      <w:r w:rsidRPr="00BF6E5D">
        <w:rPr>
          <w:b w:val="0"/>
          <w:sz w:val="24"/>
          <w:szCs w:val="24"/>
        </w:rPr>
        <w:t xml:space="preserve">1. Оценка социально-экономического развития Бардымского муниципального района </w:t>
      </w:r>
      <w:r w:rsidR="005A3CFC">
        <w:rPr>
          <w:b w:val="0"/>
          <w:sz w:val="24"/>
          <w:szCs w:val="24"/>
        </w:rPr>
        <w:t xml:space="preserve">               </w:t>
      </w:r>
      <w:r w:rsidR="00E73204">
        <w:rPr>
          <w:b w:val="0"/>
          <w:sz w:val="24"/>
          <w:szCs w:val="24"/>
        </w:rPr>
        <w:t>2</w:t>
      </w:r>
    </w:p>
    <w:p w:rsidR="00870C51" w:rsidRPr="00BF6E5D" w:rsidRDefault="00870C51" w:rsidP="00BF6E5D">
      <w:pPr>
        <w:pStyle w:val="1"/>
        <w:spacing w:line="240" w:lineRule="auto"/>
        <w:rPr>
          <w:b w:val="0"/>
          <w:sz w:val="24"/>
          <w:szCs w:val="24"/>
        </w:rPr>
      </w:pPr>
      <w:r w:rsidRPr="00BF6E5D">
        <w:rPr>
          <w:b w:val="0"/>
          <w:sz w:val="24"/>
          <w:szCs w:val="24"/>
        </w:rPr>
        <w:t xml:space="preserve">     1.1. Бардымский муниципальный район (общая информация) </w:t>
      </w:r>
      <w:r w:rsidR="005A3CFC">
        <w:rPr>
          <w:b w:val="0"/>
          <w:sz w:val="24"/>
          <w:szCs w:val="24"/>
        </w:rPr>
        <w:t xml:space="preserve">                     </w:t>
      </w:r>
      <w:r w:rsidR="00E73204">
        <w:rPr>
          <w:b w:val="0"/>
          <w:sz w:val="24"/>
          <w:szCs w:val="24"/>
        </w:rPr>
        <w:t xml:space="preserve">                               2</w:t>
      </w:r>
    </w:p>
    <w:p w:rsidR="00870C51" w:rsidRPr="00BF6E5D" w:rsidRDefault="00870C51" w:rsidP="00BF6E5D">
      <w:pPr>
        <w:pStyle w:val="1"/>
        <w:spacing w:line="240" w:lineRule="auto"/>
        <w:rPr>
          <w:b w:val="0"/>
          <w:sz w:val="24"/>
          <w:szCs w:val="24"/>
        </w:rPr>
      </w:pPr>
      <w:r w:rsidRPr="00BF6E5D">
        <w:rPr>
          <w:b w:val="0"/>
          <w:sz w:val="24"/>
          <w:szCs w:val="24"/>
        </w:rPr>
        <w:t xml:space="preserve">     1.1.1. Краткая информация </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2</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1.1.2. Географическое расположение Бардымского муниципального района</w:t>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w:t>
      </w:r>
      <w:r w:rsidR="00333885">
        <w:rPr>
          <w:rFonts w:ascii="Times New Roman" w:hAnsi="Times New Roman" w:cs="Times New Roman"/>
          <w:sz w:val="24"/>
          <w:szCs w:val="24"/>
        </w:rPr>
        <w:t>3</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1.1.3 Природные условия Бардымского муниципального района</w:t>
      </w:r>
      <w:r w:rsidR="005A3CFC">
        <w:rPr>
          <w:rFonts w:ascii="Times New Roman" w:hAnsi="Times New Roman" w:cs="Times New Roman"/>
          <w:sz w:val="24"/>
          <w:szCs w:val="24"/>
        </w:rPr>
        <w:tab/>
      </w:r>
      <w:r w:rsidR="005A3CFC">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w:t>
      </w:r>
      <w:r w:rsidR="00333885">
        <w:rPr>
          <w:rFonts w:ascii="Times New Roman" w:hAnsi="Times New Roman" w:cs="Times New Roman"/>
          <w:sz w:val="24"/>
          <w:szCs w:val="24"/>
        </w:rPr>
        <w:t>3</w:t>
      </w:r>
    </w:p>
    <w:p w:rsidR="00870C51" w:rsidRPr="00BF6E5D" w:rsidRDefault="00870C51" w:rsidP="00BF6E5D">
      <w:pPr>
        <w:pStyle w:val="1"/>
        <w:spacing w:line="240" w:lineRule="auto"/>
        <w:rPr>
          <w:b w:val="0"/>
          <w:sz w:val="24"/>
          <w:szCs w:val="24"/>
        </w:rPr>
      </w:pPr>
      <w:r w:rsidRPr="00BF6E5D">
        <w:rPr>
          <w:b w:val="0"/>
          <w:sz w:val="24"/>
          <w:szCs w:val="24"/>
        </w:rPr>
        <w:t xml:space="preserve">     1.1.4 Основные показатели социально-экономического развития Бардымского муниципального района</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4</w:t>
      </w:r>
    </w:p>
    <w:p w:rsidR="00870C51" w:rsidRPr="00BF6E5D" w:rsidRDefault="00870C51" w:rsidP="00BF6E5D">
      <w:pPr>
        <w:pStyle w:val="1"/>
        <w:spacing w:line="240" w:lineRule="auto"/>
        <w:rPr>
          <w:b w:val="0"/>
          <w:sz w:val="24"/>
          <w:szCs w:val="24"/>
        </w:rPr>
      </w:pPr>
      <w:r w:rsidRPr="00BF6E5D">
        <w:rPr>
          <w:b w:val="0"/>
          <w:sz w:val="24"/>
          <w:szCs w:val="24"/>
        </w:rPr>
        <w:t>1.2. Социально-экономическое развитие Бардымского муниципального района</w:t>
      </w:r>
      <w:r w:rsidR="00E73204">
        <w:rPr>
          <w:b w:val="0"/>
          <w:sz w:val="24"/>
          <w:szCs w:val="24"/>
        </w:rPr>
        <w:tab/>
      </w:r>
      <w:r w:rsidR="00E73204">
        <w:rPr>
          <w:b w:val="0"/>
          <w:sz w:val="24"/>
          <w:szCs w:val="24"/>
        </w:rPr>
        <w:tab/>
        <w:t xml:space="preserve">    </w:t>
      </w:r>
      <w:r w:rsidR="00333885">
        <w:rPr>
          <w:b w:val="0"/>
          <w:sz w:val="24"/>
          <w:szCs w:val="24"/>
        </w:rPr>
        <w:t xml:space="preserve"> </w:t>
      </w:r>
      <w:r w:rsidR="00E73204">
        <w:rPr>
          <w:b w:val="0"/>
          <w:sz w:val="24"/>
          <w:szCs w:val="24"/>
        </w:rPr>
        <w:t xml:space="preserve">    8</w:t>
      </w:r>
    </w:p>
    <w:p w:rsidR="00870C51" w:rsidRPr="00BF6E5D" w:rsidRDefault="00870C51" w:rsidP="00BF6E5D">
      <w:pPr>
        <w:pStyle w:val="1"/>
        <w:spacing w:line="240" w:lineRule="auto"/>
        <w:rPr>
          <w:b w:val="0"/>
          <w:sz w:val="24"/>
          <w:szCs w:val="24"/>
        </w:rPr>
      </w:pPr>
      <w:r w:rsidRPr="00BF6E5D">
        <w:rPr>
          <w:b w:val="0"/>
          <w:sz w:val="24"/>
          <w:szCs w:val="24"/>
        </w:rPr>
        <w:t xml:space="preserve">     1.2.1 Демография</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t xml:space="preserve">        </w:t>
      </w:r>
      <w:r w:rsidR="00E73204">
        <w:rPr>
          <w:b w:val="0"/>
          <w:sz w:val="24"/>
          <w:szCs w:val="24"/>
        </w:rPr>
        <w:t xml:space="preserve"> 8</w:t>
      </w:r>
    </w:p>
    <w:p w:rsidR="00870C51" w:rsidRPr="00BF6E5D" w:rsidRDefault="00870C51" w:rsidP="00BF6E5D">
      <w:pPr>
        <w:pStyle w:val="1"/>
        <w:spacing w:line="240" w:lineRule="auto"/>
        <w:rPr>
          <w:b w:val="0"/>
          <w:sz w:val="24"/>
          <w:szCs w:val="24"/>
        </w:rPr>
      </w:pPr>
      <w:r w:rsidRPr="00BF6E5D">
        <w:rPr>
          <w:b w:val="0"/>
          <w:sz w:val="24"/>
          <w:szCs w:val="24"/>
        </w:rPr>
        <w:t xml:space="preserve">     1.2.2 Социальная сфера</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12</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1.2.3 Здравоохранение</w:t>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14</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1.2.4 Культура. Досуг. Физкультура и туризм</w:t>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21</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1.2.5 Социальная защита населения</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24</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1.2.6 Общественная безопасность</w:t>
      </w:r>
      <w:r w:rsidR="005A3CFC">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w:t>
      </w:r>
      <w:r w:rsidR="00333885">
        <w:rPr>
          <w:rFonts w:ascii="Times New Roman" w:hAnsi="Times New Roman" w:cs="Times New Roman"/>
          <w:sz w:val="24"/>
          <w:szCs w:val="24"/>
        </w:rPr>
        <w:t xml:space="preserve"> 26</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1.2.7 Инфраструктурная сфера. Транспортная инфраструктура</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28</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1.2.8 Градостроительство. Инженерная инфраструктура</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29</w:t>
      </w:r>
    </w:p>
    <w:p w:rsidR="00870C51" w:rsidRPr="00BF6E5D" w:rsidRDefault="00870C51" w:rsidP="00BF6E5D">
      <w:pPr>
        <w:pStyle w:val="1"/>
        <w:spacing w:line="240" w:lineRule="auto"/>
        <w:rPr>
          <w:b w:val="0"/>
          <w:sz w:val="24"/>
          <w:szCs w:val="24"/>
        </w:rPr>
      </w:pPr>
      <w:r w:rsidRPr="00BF6E5D">
        <w:rPr>
          <w:b w:val="0"/>
          <w:sz w:val="24"/>
          <w:szCs w:val="24"/>
        </w:rPr>
        <w:t xml:space="preserve">     1.2.9 Экология. Охрана окружающей среды</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32</w:t>
      </w:r>
    </w:p>
    <w:p w:rsidR="00870C51" w:rsidRPr="00BF6E5D" w:rsidRDefault="00870C51" w:rsidP="00BF6E5D">
      <w:pPr>
        <w:pStyle w:val="1"/>
        <w:spacing w:line="240" w:lineRule="auto"/>
        <w:rPr>
          <w:b w:val="0"/>
          <w:sz w:val="24"/>
          <w:szCs w:val="24"/>
        </w:rPr>
      </w:pPr>
      <w:r w:rsidRPr="00BF6E5D">
        <w:rPr>
          <w:b w:val="0"/>
          <w:sz w:val="24"/>
          <w:szCs w:val="24"/>
        </w:rPr>
        <w:t xml:space="preserve">     1.2.10 Имущественные и земельные отношения</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333885">
        <w:rPr>
          <w:b w:val="0"/>
          <w:sz w:val="24"/>
          <w:szCs w:val="24"/>
        </w:rPr>
        <w:t xml:space="preserve">       34</w:t>
      </w:r>
    </w:p>
    <w:p w:rsidR="00870C51" w:rsidRPr="00BF6E5D" w:rsidRDefault="00870C51" w:rsidP="00BF6E5D">
      <w:pPr>
        <w:pStyle w:val="1"/>
        <w:spacing w:line="240" w:lineRule="auto"/>
        <w:rPr>
          <w:b w:val="0"/>
          <w:sz w:val="24"/>
          <w:szCs w:val="24"/>
        </w:rPr>
      </w:pPr>
      <w:r w:rsidRPr="00BF6E5D">
        <w:rPr>
          <w:b w:val="0"/>
          <w:sz w:val="24"/>
          <w:szCs w:val="24"/>
        </w:rPr>
        <w:t xml:space="preserve">     1.2.11 Финансовая деятельность</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35</w:t>
      </w:r>
    </w:p>
    <w:p w:rsidR="00870C51" w:rsidRPr="00BF6E5D" w:rsidRDefault="00870C51" w:rsidP="00BF6E5D">
      <w:pPr>
        <w:pStyle w:val="1"/>
        <w:spacing w:line="240" w:lineRule="auto"/>
        <w:rPr>
          <w:b w:val="0"/>
          <w:sz w:val="24"/>
          <w:szCs w:val="24"/>
        </w:rPr>
      </w:pPr>
      <w:r w:rsidRPr="00BF6E5D">
        <w:rPr>
          <w:b w:val="0"/>
          <w:sz w:val="24"/>
          <w:szCs w:val="24"/>
        </w:rPr>
        <w:t xml:space="preserve">     1.2.12 Инвестиции в основной капитал</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40</w:t>
      </w:r>
    </w:p>
    <w:p w:rsidR="00870C51" w:rsidRPr="00BF6E5D" w:rsidRDefault="00870C51" w:rsidP="00BF6E5D">
      <w:pPr>
        <w:pStyle w:val="1"/>
        <w:spacing w:line="240" w:lineRule="auto"/>
        <w:rPr>
          <w:b w:val="0"/>
          <w:sz w:val="24"/>
          <w:szCs w:val="24"/>
        </w:rPr>
      </w:pPr>
      <w:r w:rsidRPr="00BF6E5D">
        <w:rPr>
          <w:b w:val="0"/>
          <w:sz w:val="24"/>
          <w:szCs w:val="24"/>
        </w:rPr>
        <w:t xml:space="preserve">     1.2.13 Малый бизнес</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40</w:t>
      </w:r>
    </w:p>
    <w:p w:rsidR="00870C51" w:rsidRPr="00BF6E5D" w:rsidRDefault="00870C51" w:rsidP="00BF6E5D">
      <w:pPr>
        <w:pStyle w:val="1"/>
        <w:spacing w:line="240" w:lineRule="auto"/>
        <w:rPr>
          <w:b w:val="0"/>
          <w:sz w:val="24"/>
          <w:szCs w:val="24"/>
        </w:rPr>
      </w:pPr>
      <w:r w:rsidRPr="00BF6E5D">
        <w:rPr>
          <w:b w:val="0"/>
          <w:sz w:val="24"/>
          <w:szCs w:val="24"/>
        </w:rPr>
        <w:t xml:space="preserve">     1.2.14 Сельское хозяйство</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42</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1.2.15 Трудовые показатели</w:t>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t xml:space="preserve">       45</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1.2.16 Бюджет Бардымского муниципального района </w:t>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t xml:space="preserve">       51</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1.2.17 Историко-культурные и туристские ресурсы</w:t>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t xml:space="preserve">       75</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1.3. </w:t>
      </w:r>
      <w:r w:rsidRPr="00BF6E5D">
        <w:rPr>
          <w:b w:val="0"/>
          <w:sz w:val="24"/>
          <w:szCs w:val="24"/>
        </w:rPr>
        <w:t>Роль и место Бардымского муниципального района в региональной экономике</w:t>
      </w:r>
      <w:r w:rsidR="00333885">
        <w:rPr>
          <w:b w:val="0"/>
          <w:sz w:val="24"/>
          <w:szCs w:val="24"/>
        </w:rPr>
        <w:t xml:space="preserve">                   76</w:t>
      </w:r>
    </w:p>
    <w:p w:rsidR="00870C51" w:rsidRPr="00BF6E5D" w:rsidRDefault="00870C51" w:rsidP="00BF6E5D">
      <w:pPr>
        <w:pStyle w:val="1"/>
        <w:spacing w:line="240" w:lineRule="auto"/>
        <w:rPr>
          <w:b w:val="0"/>
          <w:sz w:val="24"/>
          <w:szCs w:val="24"/>
        </w:rPr>
      </w:pPr>
      <w:r w:rsidRPr="00BF6E5D">
        <w:rPr>
          <w:b w:val="0"/>
          <w:sz w:val="24"/>
          <w:szCs w:val="24"/>
        </w:rPr>
        <w:t>1.4. Типология городских и сельских поселений Бардымского муниципального района</w:t>
      </w:r>
      <w:r w:rsidR="00E73204">
        <w:rPr>
          <w:b w:val="0"/>
          <w:sz w:val="24"/>
          <w:szCs w:val="24"/>
        </w:rPr>
        <w:t xml:space="preserve">             85</w:t>
      </w:r>
    </w:p>
    <w:p w:rsidR="00870C51" w:rsidRPr="00BF6E5D" w:rsidRDefault="00870C51" w:rsidP="00BF6E5D">
      <w:pPr>
        <w:pStyle w:val="1"/>
        <w:spacing w:line="240" w:lineRule="auto"/>
        <w:rPr>
          <w:b w:val="0"/>
          <w:bCs w:val="0"/>
          <w:sz w:val="24"/>
          <w:szCs w:val="24"/>
        </w:rPr>
      </w:pPr>
      <w:r w:rsidRPr="00BF6E5D">
        <w:rPr>
          <w:b w:val="0"/>
          <w:sz w:val="24"/>
          <w:szCs w:val="24"/>
        </w:rPr>
        <w:t xml:space="preserve">     </w:t>
      </w:r>
      <w:r w:rsidRPr="00BF6E5D">
        <w:rPr>
          <w:rFonts w:eastAsia="Times New Roman"/>
          <w:b w:val="0"/>
          <w:sz w:val="24"/>
          <w:szCs w:val="24"/>
        </w:rPr>
        <w:t>1.4.1 Типология населенных пунктов Бардымского муниципального района</w:t>
      </w:r>
      <w:r w:rsidR="00333885">
        <w:rPr>
          <w:rFonts w:eastAsia="Times New Roman"/>
          <w:b w:val="0"/>
          <w:sz w:val="24"/>
          <w:szCs w:val="24"/>
        </w:rPr>
        <w:t xml:space="preserve">                          87</w:t>
      </w:r>
    </w:p>
    <w:p w:rsidR="00870C51" w:rsidRPr="00BF6E5D" w:rsidRDefault="00870C51" w:rsidP="00BF6E5D">
      <w:pPr>
        <w:pStyle w:val="1"/>
        <w:spacing w:line="240" w:lineRule="auto"/>
        <w:rPr>
          <w:b w:val="0"/>
          <w:sz w:val="24"/>
          <w:szCs w:val="24"/>
        </w:rPr>
      </w:pPr>
      <w:r w:rsidRPr="00BF6E5D">
        <w:rPr>
          <w:b w:val="0"/>
          <w:sz w:val="24"/>
          <w:szCs w:val="24"/>
        </w:rPr>
        <w:t>2 Предпосылки формирования Стратегии социально-экономического развития Бардымского муниципального района на 2018-2030 годы в условиях современных угроз и ограничений</w:t>
      </w:r>
      <w:r w:rsidR="00333885">
        <w:rPr>
          <w:b w:val="0"/>
          <w:sz w:val="24"/>
          <w:szCs w:val="24"/>
        </w:rPr>
        <w:t xml:space="preserve">       92</w:t>
      </w:r>
    </w:p>
    <w:p w:rsidR="00870C51" w:rsidRPr="00BF6E5D" w:rsidRDefault="00870C51" w:rsidP="00BF6E5D">
      <w:pPr>
        <w:pStyle w:val="1"/>
        <w:spacing w:line="240" w:lineRule="auto"/>
        <w:rPr>
          <w:b w:val="0"/>
          <w:sz w:val="24"/>
          <w:szCs w:val="24"/>
        </w:rPr>
      </w:pPr>
      <w:r w:rsidRPr="00BF6E5D">
        <w:rPr>
          <w:b w:val="0"/>
          <w:sz w:val="24"/>
          <w:szCs w:val="24"/>
        </w:rPr>
        <w:t xml:space="preserve">     2.1. Общемировые и общероссийские тенденции социально-экономического развития до 2030 года</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92</w:t>
      </w:r>
    </w:p>
    <w:p w:rsidR="00870C51" w:rsidRPr="00BF6E5D" w:rsidRDefault="00870C51" w:rsidP="00BF6E5D">
      <w:pPr>
        <w:pStyle w:val="1"/>
        <w:spacing w:line="240" w:lineRule="auto"/>
        <w:rPr>
          <w:b w:val="0"/>
          <w:sz w:val="24"/>
          <w:szCs w:val="24"/>
        </w:rPr>
      </w:pPr>
      <w:r w:rsidRPr="00BF6E5D">
        <w:rPr>
          <w:b w:val="0"/>
          <w:sz w:val="24"/>
          <w:szCs w:val="24"/>
        </w:rPr>
        <w:t xml:space="preserve">     2.2. Основные принципы формирования Стратегии социально-экономического развития Бардымского муниципального района на период 2018-2030 годы</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94</w:t>
      </w:r>
    </w:p>
    <w:p w:rsidR="00870C51" w:rsidRPr="00BF6E5D" w:rsidRDefault="00870C51" w:rsidP="00BF6E5D">
      <w:pPr>
        <w:pStyle w:val="1"/>
        <w:spacing w:line="240" w:lineRule="auto"/>
        <w:rPr>
          <w:b w:val="0"/>
          <w:sz w:val="24"/>
          <w:szCs w:val="24"/>
        </w:rPr>
      </w:pPr>
      <w:r w:rsidRPr="00BF6E5D">
        <w:rPr>
          <w:b w:val="0"/>
          <w:sz w:val="24"/>
          <w:szCs w:val="24"/>
        </w:rPr>
        <w:t xml:space="preserve">        2.2.1. Агломерационный подход при формировании системы пространственной организации и Стратегии социально-экономического развития Бардымского муниципального района</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95</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2.2.2. Факторы экономического роста</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100</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2.2.3. Принципы формирования Стратегии социально-экономического развития Бардымского муниципального района на 2018-2030 годы</w:t>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t xml:space="preserve">     10</w:t>
      </w:r>
      <w:r w:rsidR="003867F5">
        <w:rPr>
          <w:rFonts w:ascii="Times New Roman" w:hAnsi="Times New Roman" w:cs="Times New Roman"/>
          <w:sz w:val="24"/>
          <w:szCs w:val="24"/>
        </w:rPr>
        <w:t>4</w:t>
      </w:r>
    </w:p>
    <w:p w:rsidR="00BF6E5D" w:rsidRPr="00BF6E5D" w:rsidRDefault="00BF6E5D" w:rsidP="00BF6E5D">
      <w:pPr>
        <w:pStyle w:val="1"/>
        <w:spacing w:line="240" w:lineRule="auto"/>
        <w:rPr>
          <w:b w:val="0"/>
          <w:sz w:val="24"/>
          <w:szCs w:val="24"/>
        </w:rPr>
      </w:pPr>
      <w:r w:rsidRPr="00BF6E5D">
        <w:rPr>
          <w:b w:val="0"/>
          <w:sz w:val="24"/>
          <w:szCs w:val="24"/>
        </w:rPr>
        <w:t>3</w:t>
      </w:r>
      <w:r w:rsidR="005420A6">
        <w:rPr>
          <w:b w:val="0"/>
          <w:sz w:val="24"/>
          <w:szCs w:val="24"/>
        </w:rPr>
        <w:t>.</w:t>
      </w:r>
      <w:r w:rsidRPr="00BF6E5D">
        <w:rPr>
          <w:b w:val="0"/>
          <w:sz w:val="24"/>
          <w:szCs w:val="24"/>
        </w:rPr>
        <w:t xml:space="preserve"> Стратегия социально-экономического развития Бардымского муниципального района </w:t>
      </w:r>
      <w:r w:rsidR="00664AF8">
        <w:rPr>
          <w:b w:val="0"/>
          <w:sz w:val="24"/>
          <w:szCs w:val="24"/>
        </w:rPr>
        <w:t xml:space="preserve">       10</w:t>
      </w:r>
      <w:r w:rsidR="003867F5">
        <w:rPr>
          <w:b w:val="0"/>
          <w:sz w:val="24"/>
          <w:szCs w:val="24"/>
        </w:rPr>
        <w:t>6</w:t>
      </w:r>
    </w:p>
    <w:p w:rsidR="00BF6E5D" w:rsidRPr="00BF6E5D" w:rsidRDefault="00BF6E5D" w:rsidP="00BF6E5D">
      <w:pPr>
        <w:pStyle w:val="1"/>
        <w:spacing w:line="240" w:lineRule="auto"/>
        <w:rPr>
          <w:b w:val="0"/>
          <w:sz w:val="24"/>
          <w:szCs w:val="24"/>
        </w:rPr>
      </w:pPr>
      <w:r w:rsidRPr="00BF6E5D">
        <w:rPr>
          <w:b w:val="0"/>
          <w:sz w:val="24"/>
          <w:szCs w:val="24"/>
        </w:rPr>
        <w:t xml:space="preserve">     3.1. Анализ сложившихся тенденций и проблем в экономике и социальной и демографической сфере Бардымского муниципального района</w:t>
      </w:r>
      <w:r w:rsidR="00664AF8">
        <w:rPr>
          <w:b w:val="0"/>
          <w:sz w:val="24"/>
          <w:szCs w:val="24"/>
        </w:rPr>
        <w:t xml:space="preserve">                       </w:t>
      </w:r>
      <w:r w:rsidR="003867F5">
        <w:rPr>
          <w:b w:val="0"/>
          <w:sz w:val="24"/>
          <w:szCs w:val="24"/>
        </w:rPr>
        <w:t xml:space="preserve">                             106</w:t>
      </w:r>
      <w:r w:rsidR="00664AF8">
        <w:rPr>
          <w:b w:val="0"/>
          <w:sz w:val="24"/>
          <w:szCs w:val="24"/>
        </w:rPr>
        <w:t xml:space="preserve"> </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3.2. Риски и ограничения развития Бардымского муниципального района</w:t>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109</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3.3. Факторы, определяющие развитие экономики Бардымского муниципального района</w:t>
      </w:r>
      <w:r w:rsidR="00E73204">
        <w:rPr>
          <w:rFonts w:ascii="Times New Roman" w:hAnsi="Times New Roman" w:cs="Times New Roman"/>
          <w:sz w:val="24"/>
          <w:szCs w:val="24"/>
        </w:rPr>
        <w:t xml:space="preserve">  1</w:t>
      </w:r>
      <w:r w:rsidR="003867F5">
        <w:rPr>
          <w:rFonts w:ascii="Times New Roman" w:hAnsi="Times New Roman" w:cs="Times New Roman"/>
          <w:sz w:val="24"/>
          <w:szCs w:val="24"/>
        </w:rPr>
        <w:t>10</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3.4. Основные итоги анализа социально-экономического развития Бардымского муниципального района с использованием метода свод-анализ</w:t>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117</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3.5. Предложения по развитию Бардымского муниципального района, как конкурентоспособного муниципального образования Пермского края</w:t>
      </w:r>
      <w:r w:rsidR="00664AF8">
        <w:rPr>
          <w:rFonts w:ascii="Times New Roman" w:hAnsi="Times New Roman" w:cs="Times New Roman"/>
          <w:sz w:val="24"/>
          <w:szCs w:val="24"/>
        </w:rPr>
        <w:t xml:space="preserve">          </w:t>
      </w:r>
      <w:r w:rsidR="003867F5">
        <w:rPr>
          <w:rFonts w:ascii="Times New Roman" w:hAnsi="Times New Roman" w:cs="Times New Roman"/>
          <w:sz w:val="24"/>
          <w:szCs w:val="24"/>
        </w:rPr>
        <w:t xml:space="preserve">                             133</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3.5.1. Миссия Бардымского муниципального района</w:t>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133</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lastRenderedPageBreak/>
        <w:t xml:space="preserve">        3.5.2. Приоритетные направления социально-экономического развития Бардымского муниципального района</w:t>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133</w:t>
      </w:r>
    </w:p>
    <w:p w:rsidR="00BF6E5D" w:rsidRPr="00BF6E5D" w:rsidRDefault="00BF6E5D" w:rsidP="00BF6E5D">
      <w:pPr>
        <w:pStyle w:val="1"/>
        <w:spacing w:line="240" w:lineRule="auto"/>
        <w:rPr>
          <w:b w:val="0"/>
          <w:sz w:val="24"/>
          <w:szCs w:val="24"/>
        </w:rPr>
      </w:pPr>
      <w:r w:rsidRPr="00BF6E5D">
        <w:rPr>
          <w:b w:val="0"/>
          <w:sz w:val="24"/>
          <w:szCs w:val="24"/>
        </w:rPr>
        <w:t xml:space="preserve">        3.5.3. Система стратегических целей по приоритетным направлениям социально-экономического развития Бардымского муниципального района</w:t>
      </w:r>
      <w:r w:rsidR="00664AF8">
        <w:rPr>
          <w:b w:val="0"/>
          <w:sz w:val="24"/>
          <w:szCs w:val="24"/>
        </w:rPr>
        <w:tab/>
      </w:r>
      <w:r w:rsidR="003867F5">
        <w:rPr>
          <w:b w:val="0"/>
          <w:sz w:val="24"/>
          <w:szCs w:val="24"/>
        </w:rPr>
        <w:tab/>
      </w:r>
      <w:r w:rsidR="003867F5">
        <w:rPr>
          <w:b w:val="0"/>
          <w:sz w:val="24"/>
          <w:szCs w:val="24"/>
        </w:rPr>
        <w:tab/>
      </w:r>
      <w:r w:rsidR="003867F5">
        <w:rPr>
          <w:b w:val="0"/>
          <w:sz w:val="24"/>
          <w:szCs w:val="24"/>
        </w:rPr>
        <w:tab/>
        <w:t xml:space="preserve">     138</w:t>
      </w:r>
    </w:p>
    <w:p w:rsidR="00BF6E5D" w:rsidRPr="00BF6E5D" w:rsidRDefault="00BF6E5D" w:rsidP="00BF6E5D">
      <w:pPr>
        <w:pStyle w:val="1"/>
        <w:spacing w:line="240" w:lineRule="auto"/>
        <w:rPr>
          <w:b w:val="0"/>
          <w:sz w:val="24"/>
          <w:szCs w:val="24"/>
        </w:rPr>
      </w:pPr>
      <w:r w:rsidRPr="00BF6E5D">
        <w:rPr>
          <w:b w:val="0"/>
          <w:sz w:val="24"/>
          <w:szCs w:val="24"/>
        </w:rPr>
        <w:t xml:space="preserve">        3.5.4. Система ключевых показателей и индикаторов Стратегии социально-экономического развития Бардымского муниципального района на период 2018-2030 годы</w:t>
      </w:r>
      <w:r w:rsidR="003867F5">
        <w:rPr>
          <w:b w:val="0"/>
          <w:sz w:val="24"/>
          <w:szCs w:val="24"/>
        </w:rPr>
        <w:tab/>
      </w:r>
      <w:r w:rsidR="003867F5">
        <w:rPr>
          <w:b w:val="0"/>
          <w:sz w:val="24"/>
          <w:szCs w:val="24"/>
        </w:rPr>
        <w:tab/>
      </w:r>
      <w:r w:rsidR="003867F5">
        <w:rPr>
          <w:b w:val="0"/>
          <w:sz w:val="24"/>
          <w:szCs w:val="24"/>
        </w:rPr>
        <w:tab/>
        <w:t xml:space="preserve">     140</w:t>
      </w:r>
    </w:p>
    <w:p w:rsidR="00BF6E5D" w:rsidRPr="00BF6E5D" w:rsidRDefault="00BF6E5D" w:rsidP="00BF6E5D">
      <w:pPr>
        <w:pStyle w:val="1"/>
        <w:spacing w:line="240" w:lineRule="auto"/>
        <w:rPr>
          <w:b w:val="0"/>
          <w:sz w:val="24"/>
          <w:szCs w:val="24"/>
        </w:rPr>
      </w:pPr>
      <w:r w:rsidRPr="00BF6E5D">
        <w:rPr>
          <w:b w:val="0"/>
          <w:sz w:val="24"/>
          <w:szCs w:val="24"/>
        </w:rPr>
        <w:t xml:space="preserve">     3.6. Прогноз основных показателей социально-экономического развития Бардымского муниципального района до 2030 года</w:t>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t xml:space="preserve">     145</w:t>
      </w:r>
    </w:p>
    <w:p w:rsidR="00BF6E5D" w:rsidRPr="00BF6E5D" w:rsidRDefault="00BF6E5D" w:rsidP="00BF6E5D">
      <w:pPr>
        <w:pStyle w:val="1"/>
        <w:spacing w:line="240" w:lineRule="auto"/>
        <w:rPr>
          <w:b w:val="0"/>
          <w:sz w:val="24"/>
          <w:szCs w:val="24"/>
        </w:rPr>
      </w:pPr>
      <w:r w:rsidRPr="00BF6E5D">
        <w:rPr>
          <w:b w:val="0"/>
          <w:sz w:val="24"/>
          <w:szCs w:val="24"/>
        </w:rPr>
        <w:t xml:space="preserve">     3.7. Система оценки и контроля (мониторинга) реализации Стратегии социально-экономического развития Бардымского муниципального района на 2018-2030 годы</w:t>
      </w:r>
      <w:r w:rsidR="00E73204">
        <w:rPr>
          <w:b w:val="0"/>
          <w:sz w:val="24"/>
          <w:szCs w:val="24"/>
        </w:rPr>
        <w:tab/>
        <w:t xml:space="preserve">     147</w:t>
      </w:r>
    </w:p>
    <w:p w:rsidR="00BF6E5D" w:rsidRPr="00BF6E5D" w:rsidRDefault="00BF6E5D" w:rsidP="00BF6E5D">
      <w:pPr>
        <w:pStyle w:val="1"/>
        <w:spacing w:line="240" w:lineRule="auto"/>
        <w:rPr>
          <w:b w:val="0"/>
          <w:sz w:val="24"/>
          <w:szCs w:val="24"/>
        </w:rPr>
      </w:pPr>
      <w:r w:rsidRPr="00BF6E5D">
        <w:rPr>
          <w:b w:val="0"/>
          <w:sz w:val="24"/>
          <w:szCs w:val="24"/>
        </w:rPr>
        <w:t xml:space="preserve">     3.8. Оценка социально-экономических последствий реализации Стратегии социально-экономического развития Бардымского муниципального района на период 2018-2030 годы</w:t>
      </w:r>
      <w:r w:rsidR="00E73204">
        <w:rPr>
          <w:b w:val="0"/>
          <w:sz w:val="24"/>
          <w:szCs w:val="24"/>
        </w:rPr>
        <w:t xml:space="preserve">   149</w:t>
      </w:r>
    </w:p>
    <w:p w:rsidR="00BF6E5D" w:rsidRPr="00BF6E5D" w:rsidRDefault="00BF6E5D" w:rsidP="00BF6E5D">
      <w:pPr>
        <w:pStyle w:val="1"/>
        <w:spacing w:line="240" w:lineRule="auto"/>
        <w:rPr>
          <w:b w:val="0"/>
          <w:sz w:val="24"/>
          <w:szCs w:val="24"/>
        </w:rPr>
      </w:pPr>
      <w:r w:rsidRPr="00BF6E5D">
        <w:rPr>
          <w:b w:val="0"/>
          <w:sz w:val="24"/>
          <w:szCs w:val="24"/>
        </w:rPr>
        <w:t xml:space="preserve">     3.9. Механизмы реализации Стратегии социально-экономического развития Бардымского муниципального района на период 2018-2030 годы</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151</w:t>
      </w:r>
    </w:p>
    <w:p w:rsidR="00BF6E5D" w:rsidRDefault="00BF6E5D" w:rsidP="00BF6E5D">
      <w:pPr>
        <w:pStyle w:val="1"/>
        <w:spacing w:line="240" w:lineRule="auto"/>
        <w:rPr>
          <w:b w:val="0"/>
          <w:sz w:val="24"/>
          <w:szCs w:val="24"/>
        </w:rPr>
      </w:pPr>
      <w:r w:rsidRPr="00BF6E5D">
        <w:rPr>
          <w:b w:val="0"/>
          <w:sz w:val="24"/>
          <w:szCs w:val="24"/>
        </w:rPr>
        <w:t xml:space="preserve">     3.10. Контроль и мониторинг реализации Стратегии</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153</w:t>
      </w:r>
    </w:p>
    <w:p w:rsidR="00BF6E5D" w:rsidRPr="00BF6E5D" w:rsidRDefault="00BF6E5D" w:rsidP="00BF6E5D">
      <w:pPr>
        <w:jc w:val="both"/>
      </w:pPr>
    </w:p>
    <w:p w:rsidR="00BF6E5D" w:rsidRPr="00664AF8" w:rsidRDefault="00BF6E5D" w:rsidP="00BF6E5D">
      <w:pPr>
        <w:spacing w:line="240" w:lineRule="auto"/>
        <w:jc w:val="both"/>
        <w:rPr>
          <w:rFonts w:ascii="Times New Roman" w:hAnsi="Times New Roman" w:cs="Times New Roman"/>
          <w:szCs w:val="24"/>
        </w:rPr>
      </w:pPr>
      <w:r w:rsidRPr="00664AF8">
        <w:rPr>
          <w:rFonts w:ascii="Times New Roman" w:hAnsi="Times New Roman" w:cs="Times New Roman"/>
          <w:szCs w:val="24"/>
        </w:rPr>
        <w:t xml:space="preserve">Приложение 1. </w:t>
      </w:r>
      <w:r w:rsidRPr="00664AF8">
        <w:rPr>
          <w:rFonts w:ascii="Times New Roman" w:eastAsia="Times New Roman" w:hAnsi="Times New Roman" w:cs="Times New Roman"/>
          <w:szCs w:val="24"/>
        </w:rPr>
        <w:t>Информация о дефиците / профиците бюджетов в разрезе сельских поселений</w:t>
      </w:r>
      <w:r w:rsidR="00E73204">
        <w:rPr>
          <w:rFonts w:ascii="Times New Roman" w:eastAsia="Times New Roman" w:hAnsi="Times New Roman" w:cs="Times New Roman"/>
          <w:szCs w:val="24"/>
        </w:rPr>
        <w:t xml:space="preserve">           165</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2. Коэффициенты корреляции Пирсона, отражающие тесноту взаимосвязи факторов, влияющих на экономический рост Бардымского муниципального района</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175</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3. Характеристика коэффициентов корреляции Пирсона в соответствии с критериями Чеддока</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177</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4. Система целевых показателей и индикаторов реализации Стратегии социально-экономического развития Бардымского муниципального района на 2017-2030 годы</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180</w:t>
      </w:r>
    </w:p>
    <w:p w:rsidR="00BF6E5D" w:rsidRDefault="00BF6E5D" w:rsidP="00810A0F">
      <w:pPr>
        <w:spacing w:after="0"/>
        <w:jc w:val="both"/>
        <w:rPr>
          <w:rFonts w:ascii="Times New Roman" w:hAnsi="Times New Roman" w:cs="Times New Roman"/>
          <w:szCs w:val="24"/>
        </w:rPr>
      </w:pPr>
      <w:r w:rsidRPr="00664AF8">
        <w:rPr>
          <w:rFonts w:ascii="Times New Roman" w:hAnsi="Times New Roman" w:cs="Times New Roman"/>
          <w:szCs w:val="24"/>
        </w:rPr>
        <w:t xml:space="preserve">Приложение 5. </w:t>
      </w:r>
      <w:r w:rsidR="00810A0F" w:rsidRPr="00810A0F">
        <w:rPr>
          <w:rFonts w:ascii="Times New Roman" w:hAnsi="Times New Roman" w:cs="Times New Roman"/>
        </w:rPr>
        <w:t>Инновационный прогноз социально-экономического развития Бардымского муниципального района Пермского края на 2018-2030 годы</w:t>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t xml:space="preserve">    183</w:t>
      </w:r>
    </w:p>
    <w:p w:rsidR="00055C85" w:rsidRDefault="00055C85" w:rsidP="00810A0F">
      <w:pPr>
        <w:spacing w:after="0"/>
        <w:rPr>
          <w:rFonts w:ascii="Times New Roman" w:hAnsi="Times New Roman" w:cs="Times New Roman"/>
          <w:szCs w:val="24"/>
        </w:rPr>
      </w:pPr>
    </w:p>
    <w:p w:rsidR="00810A0F" w:rsidRDefault="00810A0F" w:rsidP="00810A0F">
      <w:pPr>
        <w:spacing w:after="0"/>
        <w:rPr>
          <w:rFonts w:ascii="Times New Roman" w:hAnsi="Times New Roman" w:cs="Times New Roman"/>
        </w:rPr>
      </w:pPr>
      <w:r>
        <w:rPr>
          <w:rFonts w:ascii="Times New Roman" w:hAnsi="Times New Roman" w:cs="Times New Roman"/>
          <w:szCs w:val="24"/>
        </w:rPr>
        <w:t xml:space="preserve">Приложение 6. </w:t>
      </w:r>
      <w:r w:rsidRPr="00810A0F">
        <w:rPr>
          <w:rFonts w:ascii="Times New Roman" w:hAnsi="Times New Roman" w:cs="Times New Roman"/>
        </w:rPr>
        <w:t>Оптимальный прогноз социально-экономического развития Бардымского</w:t>
      </w:r>
      <w:r>
        <w:rPr>
          <w:rFonts w:ascii="Times New Roman" w:hAnsi="Times New Roman" w:cs="Times New Roman"/>
        </w:rPr>
        <w:t xml:space="preserve"> </w:t>
      </w:r>
      <w:r w:rsidRPr="00810A0F">
        <w:rPr>
          <w:rFonts w:ascii="Times New Roman" w:hAnsi="Times New Roman" w:cs="Times New Roman"/>
        </w:rPr>
        <w:t>муниципального района Пермского края на 2018-2030 годы</w:t>
      </w:r>
      <w:r w:rsidR="00E73204">
        <w:rPr>
          <w:rFonts w:ascii="Times New Roman" w:hAnsi="Times New Roman" w:cs="Times New Roman"/>
        </w:rPr>
        <w:tab/>
      </w:r>
      <w:r w:rsidR="00E73204">
        <w:rPr>
          <w:rFonts w:ascii="Times New Roman" w:hAnsi="Times New Roman" w:cs="Times New Roman"/>
        </w:rPr>
        <w:tab/>
      </w:r>
      <w:r w:rsidR="00E73204">
        <w:rPr>
          <w:rFonts w:ascii="Times New Roman" w:hAnsi="Times New Roman" w:cs="Times New Roman"/>
        </w:rPr>
        <w:tab/>
      </w:r>
      <w:r w:rsidR="00E73204">
        <w:rPr>
          <w:rFonts w:ascii="Times New Roman" w:hAnsi="Times New Roman" w:cs="Times New Roman"/>
        </w:rPr>
        <w:tab/>
      </w:r>
      <w:r w:rsidR="00E73204">
        <w:rPr>
          <w:rFonts w:ascii="Times New Roman" w:hAnsi="Times New Roman" w:cs="Times New Roman"/>
        </w:rPr>
        <w:tab/>
        <w:t xml:space="preserve">                 186</w:t>
      </w:r>
    </w:p>
    <w:p w:rsidR="00055C85" w:rsidRDefault="00055C85" w:rsidP="00810A0F">
      <w:pPr>
        <w:spacing w:after="0"/>
        <w:rPr>
          <w:rFonts w:ascii="Times New Roman" w:hAnsi="Times New Roman" w:cs="Times New Roman"/>
        </w:rPr>
      </w:pPr>
    </w:p>
    <w:p w:rsidR="00CF5485" w:rsidRPr="00CF5485" w:rsidRDefault="00055C85" w:rsidP="00055C85">
      <w:pPr>
        <w:spacing w:after="0"/>
      </w:pPr>
      <w:r>
        <w:rPr>
          <w:rFonts w:ascii="Times New Roman" w:hAnsi="Times New Roman" w:cs="Times New Roman"/>
        </w:rPr>
        <w:t xml:space="preserve">Приложение 7. Пессимистический </w:t>
      </w:r>
      <w:r w:rsidRPr="00810A0F">
        <w:rPr>
          <w:rFonts w:ascii="Times New Roman" w:hAnsi="Times New Roman" w:cs="Times New Roman"/>
        </w:rPr>
        <w:t>прогноз социально-экономического развития Бардымского</w:t>
      </w:r>
      <w:r>
        <w:rPr>
          <w:rFonts w:ascii="Times New Roman" w:hAnsi="Times New Roman" w:cs="Times New Roman"/>
        </w:rPr>
        <w:t xml:space="preserve"> </w:t>
      </w:r>
      <w:r w:rsidRPr="00810A0F">
        <w:rPr>
          <w:rFonts w:ascii="Times New Roman" w:hAnsi="Times New Roman" w:cs="Times New Roman"/>
        </w:rPr>
        <w:t>муниципального района Пермского края на 2018-2030 годы</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w:t>
      </w:r>
      <w:r w:rsidR="00E73204">
        <w:rPr>
          <w:rFonts w:ascii="Times New Roman" w:hAnsi="Times New Roman" w:cs="Times New Roman"/>
        </w:rPr>
        <w:t>89</w:t>
      </w:r>
    </w:p>
    <w:sectPr w:rsidR="00CF5485" w:rsidRPr="00CF5485" w:rsidSect="00424AF3">
      <w:pgSz w:w="11906" w:h="16838"/>
      <w:pgMar w:top="851"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AA6" w:rsidRDefault="00B61AA6" w:rsidP="00B9076E">
      <w:pPr>
        <w:spacing w:after="0" w:line="240" w:lineRule="auto"/>
      </w:pPr>
      <w:r>
        <w:separator/>
      </w:r>
    </w:p>
  </w:endnote>
  <w:endnote w:type="continuationSeparator" w:id="1">
    <w:p w:rsidR="00B61AA6" w:rsidRDefault="00B61AA6" w:rsidP="00B90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995618"/>
    </w:sdtPr>
    <w:sdtContent>
      <w:p w:rsidR="00A11ECC" w:rsidRDefault="00A11ECC">
        <w:pPr>
          <w:pStyle w:val="a5"/>
          <w:jc w:val="center"/>
        </w:pPr>
        <w:fldSimple w:instr=" PAGE   \* MERGEFORMAT ">
          <w:r w:rsidR="004E4188">
            <w:rPr>
              <w:noProof/>
            </w:rPr>
            <w:t>2</w:t>
          </w:r>
        </w:fldSimple>
      </w:p>
    </w:sdtContent>
  </w:sdt>
  <w:p w:rsidR="00A11ECC" w:rsidRDefault="00A11EC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88"/>
    </w:sdtPr>
    <w:sdtContent>
      <w:p w:rsidR="00A11ECC" w:rsidRDefault="00A11ECC">
        <w:pPr>
          <w:pStyle w:val="a5"/>
          <w:jc w:val="center"/>
        </w:pPr>
        <w:fldSimple w:instr=" PAGE   \* MERGEFORMAT ">
          <w:r w:rsidR="004E4188">
            <w:rPr>
              <w:noProof/>
            </w:rPr>
            <w:t>74</w:t>
          </w:r>
        </w:fldSimple>
      </w:p>
    </w:sdtContent>
  </w:sdt>
  <w:p w:rsidR="00A11ECC" w:rsidRDefault="00A11EC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93"/>
    </w:sdtPr>
    <w:sdtContent>
      <w:p w:rsidR="00A11ECC" w:rsidRDefault="00A11ECC">
        <w:pPr>
          <w:pStyle w:val="a5"/>
          <w:jc w:val="center"/>
        </w:pPr>
        <w:fldSimple w:instr=" PAGE   \* MERGEFORMAT ">
          <w:r w:rsidR="004E4188">
            <w:rPr>
              <w:noProof/>
            </w:rPr>
            <w:t>121</w:t>
          </w:r>
        </w:fldSimple>
      </w:p>
    </w:sdtContent>
  </w:sdt>
  <w:p w:rsidR="00A11ECC" w:rsidRDefault="00A11EC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94"/>
    </w:sdtPr>
    <w:sdtContent>
      <w:p w:rsidR="00A11ECC" w:rsidRDefault="00A11ECC">
        <w:pPr>
          <w:pStyle w:val="a5"/>
          <w:jc w:val="center"/>
        </w:pPr>
        <w:fldSimple w:instr=" PAGE   \* MERGEFORMAT ">
          <w:r w:rsidR="004E4188">
            <w:rPr>
              <w:noProof/>
            </w:rPr>
            <w:t>174</w:t>
          </w:r>
        </w:fldSimple>
      </w:p>
    </w:sdtContent>
  </w:sdt>
  <w:p w:rsidR="00A11ECC" w:rsidRDefault="00A11ECC">
    <w:pPr>
      <w:pStyle w:val="a5"/>
    </w:pPr>
  </w:p>
  <w:p w:rsidR="00A11ECC" w:rsidRDefault="00A11EC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770619"/>
    </w:sdtPr>
    <w:sdtContent>
      <w:p w:rsidR="00A11ECC" w:rsidRDefault="00A11ECC">
        <w:pPr>
          <w:pStyle w:val="a5"/>
          <w:jc w:val="center"/>
        </w:pPr>
        <w:fldSimple w:instr=" PAGE   \* MERGEFORMAT ">
          <w:r w:rsidR="004E4188">
            <w:rPr>
              <w:noProof/>
            </w:rPr>
            <w:t>193</w:t>
          </w:r>
        </w:fldSimple>
      </w:p>
    </w:sdtContent>
  </w:sdt>
  <w:p w:rsidR="00A11ECC" w:rsidRDefault="00A11EC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AA6" w:rsidRDefault="00B61AA6" w:rsidP="00B9076E">
      <w:pPr>
        <w:spacing w:after="0" w:line="240" w:lineRule="auto"/>
      </w:pPr>
      <w:r>
        <w:separator/>
      </w:r>
    </w:p>
  </w:footnote>
  <w:footnote w:type="continuationSeparator" w:id="1">
    <w:p w:rsidR="00B61AA6" w:rsidRDefault="00B61AA6" w:rsidP="00B9076E">
      <w:pPr>
        <w:spacing w:after="0" w:line="240" w:lineRule="auto"/>
      </w:pPr>
      <w:r>
        <w:continuationSeparator/>
      </w:r>
    </w:p>
  </w:footnote>
  <w:footnote w:id="2">
    <w:p w:rsidR="00A11ECC" w:rsidRDefault="00A11ECC" w:rsidP="00153E07">
      <w:pPr>
        <w:pStyle w:val="aff0"/>
      </w:pPr>
      <w:r>
        <w:rPr>
          <w:rStyle w:val="aff2"/>
        </w:rPr>
        <w:footnoteRef/>
      </w:r>
      <w:r w:rsidRPr="00CF0707">
        <w:rPr>
          <w:rFonts w:ascii="Times New Roman" w:hAnsi="Times New Roman" w:cs="Times New Roman"/>
        </w:rPr>
        <w:t xml:space="preserve">Источник: </w:t>
      </w:r>
      <w:r w:rsidRPr="00880680">
        <w:rPr>
          <w:rFonts w:ascii="Times New Roman" w:hAnsi="Times New Roman" w:cs="Times New Roman"/>
        </w:rPr>
        <w:t>ГКУ "Центр занятости населения Бардымского района"</w:t>
      </w:r>
    </w:p>
  </w:footnote>
  <w:footnote w:id="3">
    <w:p w:rsidR="00A11ECC" w:rsidRDefault="00A11ECC" w:rsidP="00153E07">
      <w:pPr>
        <w:pStyle w:val="aff0"/>
      </w:pPr>
      <w:r>
        <w:rPr>
          <w:rStyle w:val="aff2"/>
        </w:rPr>
        <w:footnoteRef/>
      </w:r>
      <w:r w:rsidRPr="00CF0707">
        <w:rPr>
          <w:rFonts w:ascii="Times New Roman" w:eastAsia="Times New Roman" w:hAnsi="Times New Roman" w:cs="Times New Roman"/>
          <w:lang w:eastAsia="ru-RU"/>
        </w:rPr>
        <w:t>Источник: Территориальный орган Федеральной службы государственной статистики по Пермскому краю. http://permstat.gks.ru/</w:t>
      </w:r>
    </w:p>
  </w:footnote>
  <w:footnote w:id="4">
    <w:p w:rsidR="00A11ECC" w:rsidRDefault="00A11ECC" w:rsidP="00153E07">
      <w:pPr>
        <w:pStyle w:val="aff0"/>
        <w:jc w:val="both"/>
      </w:pPr>
      <w:r>
        <w:rPr>
          <w:rStyle w:val="aff2"/>
        </w:rPr>
        <w:footnoteRef/>
      </w:r>
      <w:r w:rsidRPr="00273AE8">
        <w:rPr>
          <w:rFonts w:ascii="Times New Roman" w:eastAsia="Times New Roman" w:hAnsi="Times New Roman" w:cs="Times New Roman"/>
          <w:lang w:eastAsia="ru-RU"/>
        </w:rPr>
        <w:t>СП 42.13330.2016 «СНиП 2.07.01-89</w:t>
      </w:r>
      <w:r>
        <w:rPr>
          <w:rFonts w:ascii="Times New Roman" w:eastAsia="Times New Roman" w:hAnsi="Times New Roman" w:cs="Times New Roman"/>
          <w:lang w:eastAsia="ru-RU"/>
        </w:rPr>
        <w:t>.</w:t>
      </w:r>
      <w:r w:rsidRPr="00273AE8">
        <w:rPr>
          <w:rFonts w:ascii="Times New Roman" w:eastAsia="Times New Roman" w:hAnsi="Times New Roman" w:cs="Times New Roman"/>
          <w:lang w:eastAsia="ru-RU"/>
        </w:rPr>
        <w:t xml:space="preserve"> Градостроительство. Планировка и застройка городских и сельских поселений»</w:t>
      </w:r>
      <w:r>
        <w:rPr>
          <w:rFonts w:ascii="Times New Roman" w:eastAsia="Times New Roman" w:hAnsi="Times New Roman" w:cs="Times New Roman"/>
          <w:lang w:eastAsia="ru-RU"/>
        </w:rPr>
        <w:t xml:space="preserve">. </w:t>
      </w:r>
      <w:r w:rsidRPr="00C433AB">
        <w:rPr>
          <w:rFonts w:ascii="Times New Roman" w:eastAsia="Times New Roman" w:hAnsi="Times New Roman" w:cs="Times New Roman"/>
          <w:lang w:eastAsia="ru-RU"/>
        </w:rPr>
        <w:t>Утвержденприказом Министерства строительства и жилищно-коммунального хозяйства Российской Федерации от 30.12.2016 г. № 1034/при введен в действие с 1.07.2017</w:t>
      </w:r>
      <w:r>
        <w:rPr>
          <w:rFonts w:ascii="Times New Roman" w:eastAsia="Times New Roman" w:hAnsi="Times New Roman" w:cs="Times New Roman"/>
          <w:lang w:eastAsia="ru-RU"/>
        </w:rPr>
        <w:t>г</w:t>
      </w:r>
      <w:r w:rsidRPr="00C433AB">
        <w:rPr>
          <w:rFonts w:ascii="Times New Roman" w:eastAsia="Times New Roman" w:hAnsi="Times New Roman" w:cs="Times New Roman"/>
          <w:lang w:eastAsia="ru-RU"/>
        </w:rPr>
        <w:t>.</w:t>
      </w:r>
    </w:p>
  </w:footnote>
  <w:footnote w:id="5">
    <w:p w:rsidR="00A11ECC" w:rsidRDefault="00A11ECC" w:rsidP="00153E07">
      <w:pPr>
        <w:pStyle w:val="aff0"/>
      </w:pPr>
      <w:r>
        <w:rPr>
          <w:rStyle w:val="aff2"/>
        </w:rPr>
        <w:footnoteRef/>
      </w:r>
      <w:r w:rsidRPr="00CF0707">
        <w:rPr>
          <w:rFonts w:ascii="Times New Roman" w:eastAsia="Times New Roman" w:hAnsi="Times New Roman" w:cs="Times New Roman"/>
          <w:lang w:eastAsia="ru-RU"/>
        </w:rPr>
        <w:t>Источник: Территориальный орган Федеральной службы государственной статистики по Пермскому краю. http://permstat.gks.ru/</w:t>
      </w:r>
    </w:p>
  </w:footnote>
  <w:footnote w:id="6">
    <w:p w:rsidR="00A11ECC" w:rsidRDefault="00A11ECC" w:rsidP="00153E07">
      <w:r>
        <w:rPr>
          <w:rStyle w:val="aff2"/>
        </w:rPr>
        <w:footnoteRef/>
      </w:r>
      <w:r w:rsidRPr="00DE2D0E">
        <w:rPr>
          <w:rFonts w:ascii="Times New Roman" w:eastAsia="Times New Roman" w:hAnsi="Times New Roman" w:cs="Times New Roman"/>
          <w:sz w:val="20"/>
          <w:szCs w:val="20"/>
        </w:rPr>
        <w:t>Федеральный закон № 131-ФЗ от 06.10.2003г. «Об общих принципах организации местного самоуправления в Российской Федерации (в ред. от 26.07.2017г.)</w:t>
      </w:r>
    </w:p>
  </w:footnote>
  <w:footnote w:id="7">
    <w:p w:rsidR="00A11ECC" w:rsidRPr="007130BD" w:rsidRDefault="00A11ECC" w:rsidP="00153E07">
      <w:pPr>
        <w:pStyle w:val="aff0"/>
        <w:jc w:val="both"/>
      </w:pPr>
      <w:r>
        <w:rPr>
          <w:rStyle w:val="aff2"/>
        </w:rPr>
        <w:footnoteRef/>
      </w:r>
      <w:r w:rsidRPr="007130BD">
        <w:rPr>
          <w:rFonts w:ascii="Times New Roman" w:hAnsi="Times New Roman" w:cs="Times New Roman"/>
        </w:rPr>
        <w:t>По данным программ социально-экономического развития сельских поселений Бардымского муниципального района</w:t>
      </w:r>
    </w:p>
  </w:footnote>
  <w:footnote w:id="8">
    <w:p w:rsidR="00A11ECC" w:rsidRPr="002F28A2" w:rsidRDefault="00A11ECC" w:rsidP="00153E07">
      <w:pPr>
        <w:pStyle w:val="aff0"/>
        <w:rPr>
          <w:rFonts w:ascii="Times New Roman" w:hAnsi="Times New Roman" w:cs="Times New Roman"/>
        </w:rPr>
      </w:pPr>
      <w:r>
        <w:rPr>
          <w:rStyle w:val="aff2"/>
        </w:rPr>
        <w:footnoteRef/>
      </w:r>
      <w:r w:rsidRPr="002F28A2">
        <w:rPr>
          <w:rFonts w:ascii="Times New Roman" w:eastAsia="Times New Roman" w:hAnsi="Times New Roman" w:cs="Times New Roman"/>
        </w:rPr>
        <w:t>Федеральный закон № 116 от 22.07.20015г. «Об особых экономических зонах в Российской Федерации»</w:t>
      </w:r>
    </w:p>
  </w:footnote>
  <w:footnote w:id="9">
    <w:p w:rsidR="00A11ECC" w:rsidRDefault="00A11ECC" w:rsidP="00153E07">
      <w:pPr>
        <w:pStyle w:val="aff0"/>
        <w:jc w:val="both"/>
      </w:pPr>
      <w:r>
        <w:rPr>
          <w:rStyle w:val="aff2"/>
        </w:rPr>
        <w:footnoteRef/>
      </w:r>
      <w:r w:rsidRPr="007B4B21">
        <w:rPr>
          <w:rFonts w:ascii="Times New Roman" w:eastAsia="Times New Roman" w:hAnsi="Times New Roman" w:cs="Times New Roman"/>
          <w:bCs/>
        </w:rPr>
        <w:t>Постановление Правительства Российской Федерации № 398 от 26 апреля 2012г. «Об утверждении критериев создания особой экономической зоны»</w:t>
      </w:r>
    </w:p>
  </w:footnote>
  <w:footnote w:id="10">
    <w:p w:rsidR="00A11ECC" w:rsidRPr="0098077F" w:rsidRDefault="00A11ECC" w:rsidP="00153E07">
      <w:pPr>
        <w:tabs>
          <w:tab w:val="left" w:pos="2177"/>
        </w:tabs>
        <w:spacing w:after="0"/>
        <w:rPr>
          <w:rFonts w:eastAsia="Times New Roman" w:cs="Times New Roman"/>
          <w:szCs w:val="24"/>
        </w:rPr>
      </w:pPr>
      <w:r>
        <w:rPr>
          <w:rStyle w:val="aff2"/>
        </w:rPr>
        <w:footnoteRef/>
      </w:r>
      <w:r w:rsidRPr="00796E85">
        <w:rPr>
          <w:rFonts w:ascii="Times New Roman" w:hAnsi="Times New Roman" w:cs="Times New Roman"/>
          <w:sz w:val="20"/>
          <w:szCs w:val="20"/>
        </w:rPr>
        <w:t xml:space="preserve">Источник: </w:t>
      </w:r>
      <w:r w:rsidRPr="00796E85">
        <w:rPr>
          <w:rFonts w:ascii="Times New Roman" w:eastAsia="Times New Roman" w:hAnsi="Times New Roman" w:cs="Times New Roman"/>
          <w:sz w:val="20"/>
          <w:szCs w:val="20"/>
        </w:rPr>
        <w:t>Схема территориального планирования Бардымского муниципального района. Материалы по обоснованию проекта схемы территориального планирования. Том. 2. Книга 2. Барды, 2008г.</w:t>
      </w:r>
    </w:p>
    <w:p w:rsidR="00A11ECC" w:rsidRDefault="00A11ECC" w:rsidP="00153E07">
      <w:pPr>
        <w:pStyle w:val="aff0"/>
      </w:pPr>
    </w:p>
  </w:footnote>
  <w:footnote w:id="11">
    <w:p w:rsidR="00A11ECC" w:rsidRDefault="00A11ECC" w:rsidP="00153E07">
      <w:pPr>
        <w:pStyle w:val="aff0"/>
        <w:jc w:val="both"/>
      </w:pPr>
      <w:r>
        <w:rPr>
          <w:rStyle w:val="aff2"/>
        </w:rPr>
        <w:footnoteRef/>
      </w:r>
      <w:r w:rsidRPr="00985BEF">
        <w:rPr>
          <w:rFonts w:ascii="Times New Roman" w:eastAsia="Times New Roman" w:hAnsi="Times New Roman" w:cs="Times New Roman"/>
          <w:szCs w:val="24"/>
        </w:rPr>
        <w:t>Постановление Правительства РФ от 2 августа 2010 г. № 588 «Об утверждении Порядка разработки, реализации и оценки эффективности государственных программ Российской Федерации»</w:t>
      </w:r>
    </w:p>
  </w:footnote>
  <w:footnote w:id="12">
    <w:p w:rsidR="00A11ECC" w:rsidRDefault="00A11ECC" w:rsidP="00153E07">
      <w:pPr>
        <w:pStyle w:val="aff0"/>
      </w:pPr>
      <w:r>
        <w:rPr>
          <w:rStyle w:val="aff2"/>
        </w:rPr>
        <w:footnoteRef/>
      </w:r>
      <w:r w:rsidRPr="00AA52E8">
        <w:rPr>
          <w:rFonts w:ascii="Times New Roman" w:hAnsi="Times New Roman" w:cs="Times New Roman"/>
        </w:rPr>
        <w:t>Источник:</w:t>
      </w:r>
      <w:r>
        <w:rPr>
          <w:rFonts w:ascii="Times New Roman" w:hAnsi="Times New Roman" w:cs="Times New Roman"/>
        </w:rPr>
        <w:t xml:space="preserve"> </w:t>
      </w:r>
      <w:r w:rsidRPr="005233D6">
        <w:rPr>
          <w:rFonts w:ascii="Times New Roman" w:hAnsi="Times New Roman" w:cs="Times New Roman"/>
        </w:rPr>
        <w:t>Рабаданова А.А. Механизм реализации стратегии социально- экономического развития региона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CC" w:rsidRDefault="00A11ECC">
    <w:pPr>
      <w:pStyle w:val="a3"/>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3C6D"/>
    <w:multiLevelType w:val="hybridMultilevel"/>
    <w:tmpl w:val="DC0E8CFC"/>
    <w:lvl w:ilvl="0" w:tplc="256AB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176426"/>
    <w:multiLevelType w:val="hybridMultilevel"/>
    <w:tmpl w:val="82348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061D0A"/>
    <w:multiLevelType w:val="hybridMultilevel"/>
    <w:tmpl w:val="706095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346E5E"/>
    <w:multiLevelType w:val="multilevel"/>
    <w:tmpl w:val="A996809E"/>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1D1566B"/>
    <w:multiLevelType w:val="hybridMultilevel"/>
    <w:tmpl w:val="0F4E9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1F8387E"/>
    <w:multiLevelType w:val="hybridMultilevel"/>
    <w:tmpl w:val="E064EB70"/>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D651A97"/>
    <w:multiLevelType w:val="hybridMultilevel"/>
    <w:tmpl w:val="AC9C6BB8"/>
    <w:lvl w:ilvl="0" w:tplc="182C905E">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7B4380"/>
    <w:multiLevelType w:val="multilevel"/>
    <w:tmpl w:val="7B9446D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50826273"/>
    <w:multiLevelType w:val="hybridMultilevel"/>
    <w:tmpl w:val="1CC2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9C22E6"/>
    <w:multiLevelType w:val="hybridMultilevel"/>
    <w:tmpl w:val="D5DE247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3317AB"/>
    <w:multiLevelType w:val="hybridMultilevel"/>
    <w:tmpl w:val="0516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1A106F"/>
    <w:multiLevelType w:val="hybridMultilevel"/>
    <w:tmpl w:val="25F2018C"/>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7A1707"/>
    <w:multiLevelType w:val="hybridMultilevel"/>
    <w:tmpl w:val="3BE8C0FA"/>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902F53"/>
    <w:multiLevelType w:val="hybridMultilevel"/>
    <w:tmpl w:val="79BEDB74"/>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291C1B"/>
    <w:multiLevelType w:val="hybridMultilevel"/>
    <w:tmpl w:val="4738B008"/>
    <w:lvl w:ilvl="0" w:tplc="981AC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F1E2861"/>
    <w:multiLevelType w:val="hybridMultilevel"/>
    <w:tmpl w:val="7DB2A002"/>
    <w:lvl w:ilvl="0" w:tplc="6F8476D6">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1141DA"/>
    <w:multiLevelType w:val="hybridMultilevel"/>
    <w:tmpl w:val="3F3C47A4"/>
    <w:lvl w:ilvl="0" w:tplc="72EE9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2225BCD"/>
    <w:multiLevelType w:val="multilevel"/>
    <w:tmpl w:val="58B22C9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76347246"/>
    <w:multiLevelType w:val="hybridMultilevel"/>
    <w:tmpl w:val="7C04474C"/>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15"/>
  </w:num>
  <w:num w:numId="4">
    <w:abstractNumId w:val="9"/>
  </w:num>
  <w:num w:numId="5">
    <w:abstractNumId w:val="0"/>
  </w:num>
  <w:num w:numId="6">
    <w:abstractNumId w:val="2"/>
  </w:num>
  <w:num w:numId="7">
    <w:abstractNumId w:val="7"/>
  </w:num>
  <w:num w:numId="8">
    <w:abstractNumId w:val="16"/>
  </w:num>
  <w:num w:numId="9">
    <w:abstractNumId w:val="13"/>
  </w:num>
  <w:num w:numId="10">
    <w:abstractNumId w:val="6"/>
  </w:num>
  <w:num w:numId="11">
    <w:abstractNumId w:val="1"/>
  </w:num>
  <w:num w:numId="12">
    <w:abstractNumId w:val="10"/>
  </w:num>
  <w:num w:numId="13">
    <w:abstractNumId w:val="8"/>
  </w:num>
  <w:num w:numId="14">
    <w:abstractNumId w:val="14"/>
  </w:num>
  <w:num w:numId="15">
    <w:abstractNumId w:val="18"/>
  </w:num>
  <w:num w:numId="16">
    <w:abstractNumId w:val="12"/>
  </w:num>
  <w:num w:numId="17">
    <w:abstractNumId w:val="17"/>
  </w:num>
  <w:num w:numId="18">
    <w:abstractNumId w:val="5"/>
  </w:num>
  <w:num w:numId="19">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9076E"/>
    <w:rsid w:val="00007A85"/>
    <w:rsid w:val="000150E8"/>
    <w:rsid w:val="00017A39"/>
    <w:rsid w:val="00021170"/>
    <w:rsid w:val="0002382B"/>
    <w:rsid w:val="000246E8"/>
    <w:rsid w:val="00032276"/>
    <w:rsid w:val="0005031B"/>
    <w:rsid w:val="00052850"/>
    <w:rsid w:val="00055C85"/>
    <w:rsid w:val="00064F30"/>
    <w:rsid w:val="000671CF"/>
    <w:rsid w:val="000771BA"/>
    <w:rsid w:val="000804AC"/>
    <w:rsid w:val="00084278"/>
    <w:rsid w:val="00087F81"/>
    <w:rsid w:val="000A19F4"/>
    <w:rsid w:val="000D32B7"/>
    <w:rsid w:val="000E1DCE"/>
    <w:rsid w:val="000F346B"/>
    <w:rsid w:val="00104BF8"/>
    <w:rsid w:val="001073A9"/>
    <w:rsid w:val="00112206"/>
    <w:rsid w:val="00114C76"/>
    <w:rsid w:val="001241D9"/>
    <w:rsid w:val="00127DAF"/>
    <w:rsid w:val="00133164"/>
    <w:rsid w:val="001346A1"/>
    <w:rsid w:val="00136EC4"/>
    <w:rsid w:val="00140697"/>
    <w:rsid w:val="00146F8A"/>
    <w:rsid w:val="0015080F"/>
    <w:rsid w:val="00153E07"/>
    <w:rsid w:val="0015632F"/>
    <w:rsid w:val="00157F5C"/>
    <w:rsid w:val="00182773"/>
    <w:rsid w:val="0018320F"/>
    <w:rsid w:val="00184B21"/>
    <w:rsid w:val="00191CF3"/>
    <w:rsid w:val="001A05CF"/>
    <w:rsid w:val="001B40D6"/>
    <w:rsid w:val="001B7D8A"/>
    <w:rsid w:val="001C1EB5"/>
    <w:rsid w:val="001C6E74"/>
    <w:rsid w:val="001D3C25"/>
    <w:rsid w:val="001D788E"/>
    <w:rsid w:val="001E1EF4"/>
    <w:rsid w:val="00206289"/>
    <w:rsid w:val="00212777"/>
    <w:rsid w:val="002231FD"/>
    <w:rsid w:val="00227D40"/>
    <w:rsid w:val="002320DD"/>
    <w:rsid w:val="002414F2"/>
    <w:rsid w:val="00243724"/>
    <w:rsid w:val="00254A53"/>
    <w:rsid w:val="002625F2"/>
    <w:rsid w:val="00271455"/>
    <w:rsid w:val="0028575F"/>
    <w:rsid w:val="00297636"/>
    <w:rsid w:val="002A33F1"/>
    <w:rsid w:val="002A61CE"/>
    <w:rsid w:val="002B04CB"/>
    <w:rsid w:val="002C2C4A"/>
    <w:rsid w:val="002C53D6"/>
    <w:rsid w:val="002D1B41"/>
    <w:rsid w:val="002D7431"/>
    <w:rsid w:val="002E0664"/>
    <w:rsid w:val="002E73FF"/>
    <w:rsid w:val="002F6162"/>
    <w:rsid w:val="00304079"/>
    <w:rsid w:val="00306DDD"/>
    <w:rsid w:val="0031634F"/>
    <w:rsid w:val="00321DFC"/>
    <w:rsid w:val="003250B8"/>
    <w:rsid w:val="003264D1"/>
    <w:rsid w:val="00333885"/>
    <w:rsid w:val="003421C8"/>
    <w:rsid w:val="00345860"/>
    <w:rsid w:val="00347C9C"/>
    <w:rsid w:val="003506F9"/>
    <w:rsid w:val="003529A9"/>
    <w:rsid w:val="00354B46"/>
    <w:rsid w:val="003551FB"/>
    <w:rsid w:val="00355F6A"/>
    <w:rsid w:val="0036337E"/>
    <w:rsid w:val="00363899"/>
    <w:rsid w:val="003665B3"/>
    <w:rsid w:val="003867F5"/>
    <w:rsid w:val="003A1EA9"/>
    <w:rsid w:val="003A4F1A"/>
    <w:rsid w:val="003C2685"/>
    <w:rsid w:val="003C4000"/>
    <w:rsid w:val="003D2157"/>
    <w:rsid w:val="003E0362"/>
    <w:rsid w:val="003E7B1C"/>
    <w:rsid w:val="003F03C3"/>
    <w:rsid w:val="0040703A"/>
    <w:rsid w:val="00411017"/>
    <w:rsid w:val="00420773"/>
    <w:rsid w:val="00424AF3"/>
    <w:rsid w:val="004277D3"/>
    <w:rsid w:val="00432B5D"/>
    <w:rsid w:val="00433854"/>
    <w:rsid w:val="00437674"/>
    <w:rsid w:val="00443EEA"/>
    <w:rsid w:val="0044735E"/>
    <w:rsid w:val="00460C45"/>
    <w:rsid w:val="00465C06"/>
    <w:rsid w:val="00472042"/>
    <w:rsid w:val="00480E5D"/>
    <w:rsid w:val="004878A9"/>
    <w:rsid w:val="004939A3"/>
    <w:rsid w:val="004A18B0"/>
    <w:rsid w:val="004A5294"/>
    <w:rsid w:val="004B1816"/>
    <w:rsid w:val="004C494F"/>
    <w:rsid w:val="004D4D31"/>
    <w:rsid w:val="004E2E6F"/>
    <w:rsid w:val="004E4188"/>
    <w:rsid w:val="004F0E83"/>
    <w:rsid w:val="004F3966"/>
    <w:rsid w:val="005006E0"/>
    <w:rsid w:val="00506A22"/>
    <w:rsid w:val="005145F6"/>
    <w:rsid w:val="005265AE"/>
    <w:rsid w:val="00530383"/>
    <w:rsid w:val="00535C86"/>
    <w:rsid w:val="005420A6"/>
    <w:rsid w:val="00543488"/>
    <w:rsid w:val="005535D9"/>
    <w:rsid w:val="00561116"/>
    <w:rsid w:val="00565573"/>
    <w:rsid w:val="00570AAF"/>
    <w:rsid w:val="00577BA6"/>
    <w:rsid w:val="00587831"/>
    <w:rsid w:val="00592655"/>
    <w:rsid w:val="00596AAE"/>
    <w:rsid w:val="00597C74"/>
    <w:rsid w:val="005A3CFC"/>
    <w:rsid w:val="005A7C26"/>
    <w:rsid w:val="005B2A0E"/>
    <w:rsid w:val="005B4D3B"/>
    <w:rsid w:val="005C5F95"/>
    <w:rsid w:val="005C6ADE"/>
    <w:rsid w:val="005D24C1"/>
    <w:rsid w:val="005E128E"/>
    <w:rsid w:val="005E327B"/>
    <w:rsid w:val="005F1909"/>
    <w:rsid w:val="005F1C73"/>
    <w:rsid w:val="005F6168"/>
    <w:rsid w:val="006034AD"/>
    <w:rsid w:val="006177F5"/>
    <w:rsid w:val="00633809"/>
    <w:rsid w:val="00661B3A"/>
    <w:rsid w:val="00662FA8"/>
    <w:rsid w:val="00664AF8"/>
    <w:rsid w:val="00681E8B"/>
    <w:rsid w:val="00691F69"/>
    <w:rsid w:val="00694978"/>
    <w:rsid w:val="006A2635"/>
    <w:rsid w:val="006A7FB3"/>
    <w:rsid w:val="006C019E"/>
    <w:rsid w:val="006C167F"/>
    <w:rsid w:val="006C1763"/>
    <w:rsid w:val="006D01B2"/>
    <w:rsid w:val="006D2568"/>
    <w:rsid w:val="006D396E"/>
    <w:rsid w:val="006D419D"/>
    <w:rsid w:val="006D54FD"/>
    <w:rsid w:val="006F3566"/>
    <w:rsid w:val="00700367"/>
    <w:rsid w:val="0070146D"/>
    <w:rsid w:val="00734ACB"/>
    <w:rsid w:val="00747DEB"/>
    <w:rsid w:val="007555CD"/>
    <w:rsid w:val="0075760E"/>
    <w:rsid w:val="00757EF4"/>
    <w:rsid w:val="0076061C"/>
    <w:rsid w:val="00771E0F"/>
    <w:rsid w:val="00775DDE"/>
    <w:rsid w:val="00777ED4"/>
    <w:rsid w:val="007817DA"/>
    <w:rsid w:val="0078290A"/>
    <w:rsid w:val="00796E85"/>
    <w:rsid w:val="007A0295"/>
    <w:rsid w:val="007A2396"/>
    <w:rsid w:val="007A2AEF"/>
    <w:rsid w:val="007B1EC9"/>
    <w:rsid w:val="007B74F1"/>
    <w:rsid w:val="007C2BC2"/>
    <w:rsid w:val="007C405B"/>
    <w:rsid w:val="007D60E3"/>
    <w:rsid w:val="007D7783"/>
    <w:rsid w:val="007E28AF"/>
    <w:rsid w:val="007E2C94"/>
    <w:rsid w:val="00810A0F"/>
    <w:rsid w:val="0081565B"/>
    <w:rsid w:val="00816D7C"/>
    <w:rsid w:val="00822721"/>
    <w:rsid w:val="00822D2E"/>
    <w:rsid w:val="0085110B"/>
    <w:rsid w:val="00854DB9"/>
    <w:rsid w:val="00854DBB"/>
    <w:rsid w:val="00870C51"/>
    <w:rsid w:val="0087662B"/>
    <w:rsid w:val="00883AB5"/>
    <w:rsid w:val="008842D0"/>
    <w:rsid w:val="00884844"/>
    <w:rsid w:val="00886F09"/>
    <w:rsid w:val="00893941"/>
    <w:rsid w:val="0089518E"/>
    <w:rsid w:val="008A5220"/>
    <w:rsid w:val="008B016E"/>
    <w:rsid w:val="008B24F0"/>
    <w:rsid w:val="008B3F40"/>
    <w:rsid w:val="008B4C8B"/>
    <w:rsid w:val="008C398D"/>
    <w:rsid w:val="008D10E2"/>
    <w:rsid w:val="008D1AC4"/>
    <w:rsid w:val="008E3709"/>
    <w:rsid w:val="00901EFE"/>
    <w:rsid w:val="009063EF"/>
    <w:rsid w:val="00906461"/>
    <w:rsid w:val="00923EC8"/>
    <w:rsid w:val="00926062"/>
    <w:rsid w:val="00944CBC"/>
    <w:rsid w:val="00965ADF"/>
    <w:rsid w:val="0097075C"/>
    <w:rsid w:val="00971D8A"/>
    <w:rsid w:val="009805AF"/>
    <w:rsid w:val="00980ED1"/>
    <w:rsid w:val="009A08B9"/>
    <w:rsid w:val="009B2A83"/>
    <w:rsid w:val="009B61FC"/>
    <w:rsid w:val="009D0B85"/>
    <w:rsid w:val="009D1BBE"/>
    <w:rsid w:val="009F0B4C"/>
    <w:rsid w:val="009F309A"/>
    <w:rsid w:val="00A0306F"/>
    <w:rsid w:val="00A11ECC"/>
    <w:rsid w:val="00A137E5"/>
    <w:rsid w:val="00A13D85"/>
    <w:rsid w:val="00A16FFB"/>
    <w:rsid w:val="00A22137"/>
    <w:rsid w:val="00A22942"/>
    <w:rsid w:val="00A32DD4"/>
    <w:rsid w:val="00A52DCD"/>
    <w:rsid w:val="00A53339"/>
    <w:rsid w:val="00A55453"/>
    <w:rsid w:val="00A55770"/>
    <w:rsid w:val="00A625FC"/>
    <w:rsid w:val="00A725FF"/>
    <w:rsid w:val="00A91B92"/>
    <w:rsid w:val="00A9437A"/>
    <w:rsid w:val="00A97E25"/>
    <w:rsid w:val="00AB49D4"/>
    <w:rsid w:val="00AC37BD"/>
    <w:rsid w:val="00AE04C1"/>
    <w:rsid w:val="00AE33C2"/>
    <w:rsid w:val="00AE52B1"/>
    <w:rsid w:val="00B11329"/>
    <w:rsid w:val="00B15EB8"/>
    <w:rsid w:val="00B320A3"/>
    <w:rsid w:val="00B41D81"/>
    <w:rsid w:val="00B42040"/>
    <w:rsid w:val="00B46799"/>
    <w:rsid w:val="00B51625"/>
    <w:rsid w:val="00B6122F"/>
    <w:rsid w:val="00B61AA6"/>
    <w:rsid w:val="00B64457"/>
    <w:rsid w:val="00B83E96"/>
    <w:rsid w:val="00B86768"/>
    <w:rsid w:val="00B9076E"/>
    <w:rsid w:val="00B93C1C"/>
    <w:rsid w:val="00B979AB"/>
    <w:rsid w:val="00BB5CBC"/>
    <w:rsid w:val="00BC5CC4"/>
    <w:rsid w:val="00BC6F1F"/>
    <w:rsid w:val="00BC765E"/>
    <w:rsid w:val="00BE1E96"/>
    <w:rsid w:val="00BE7256"/>
    <w:rsid w:val="00BE7C22"/>
    <w:rsid w:val="00BF1898"/>
    <w:rsid w:val="00BF5CCA"/>
    <w:rsid w:val="00BF6E5D"/>
    <w:rsid w:val="00C02B4A"/>
    <w:rsid w:val="00C0434E"/>
    <w:rsid w:val="00C05E12"/>
    <w:rsid w:val="00C20228"/>
    <w:rsid w:val="00C313FA"/>
    <w:rsid w:val="00C500AF"/>
    <w:rsid w:val="00C50A68"/>
    <w:rsid w:val="00C52641"/>
    <w:rsid w:val="00C75FBD"/>
    <w:rsid w:val="00C82567"/>
    <w:rsid w:val="00CA2E12"/>
    <w:rsid w:val="00CB02E5"/>
    <w:rsid w:val="00CB03DE"/>
    <w:rsid w:val="00CB7DA8"/>
    <w:rsid w:val="00CC74E1"/>
    <w:rsid w:val="00CD6D5D"/>
    <w:rsid w:val="00CF0551"/>
    <w:rsid w:val="00CF141C"/>
    <w:rsid w:val="00CF5485"/>
    <w:rsid w:val="00CF7FA4"/>
    <w:rsid w:val="00D0535F"/>
    <w:rsid w:val="00D13891"/>
    <w:rsid w:val="00D20407"/>
    <w:rsid w:val="00D23929"/>
    <w:rsid w:val="00D33C56"/>
    <w:rsid w:val="00D4787A"/>
    <w:rsid w:val="00D50542"/>
    <w:rsid w:val="00D50C6A"/>
    <w:rsid w:val="00D527CE"/>
    <w:rsid w:val="00D53C12"/>
    <w:rsid w:val="00D55D20"/>
    <w:rsid w:val="00D5668B"/>
    <w:rsid w:val="00D62734"/>
    <w:rsid w:val="00D75B8C"/>
    <w:rsid w:val="00D804FD"/>
    <w:rsid w:val="00D87773"/>
    <w:rsid w:val="00D922B3"/>
    <w:rsid w:val="00DA02AF"/>
    <w:rsid w:val="00DA30C7"/>
    <w:rsid w:val="00DA5B3C"/>
    <w:rsid w:val="00DC026A"/>
    <w:rsid w:val="00DC3F0E"/>
    <w:rsid w:val="00DD3EEB"/>
    <w:rsid w:val="00DE2D0E"/>
    <w:rsid w:val="00DE336E"/>
    <w:rsid w:val="00DF632F"/>
    <w:rsid w:val="00E15ED6"/>
    <w:rsid w:val="00E162FB"/>
    <w:rsid w:val="00E21B77"/>
    <w:rsid w:val="00E228B1"/>
    <w:rsid w:val="00E3313E"/>
    <w:rsid w:val="00E36F81"/>
    <w:rsid w:val="00E44382"/>
    <w:rsid w:val="00E444CA"/>
    <w:rsid w:val="00E4777D"/>
    <w:rsid w:val="00E50F2F"/>
    <w:rsid w:val="00E52A85"/>
    <w:rsid w:val="00E65761"/>
    <w:rsid w:val="00E73204"/>
    <w:rsid w:val="00E80A8E"/>
    <w:rsid w:val="00E8744B"/>
    <w:rsid w:val="00E92390"/>
    <w:rsid w:val="00E97C6A"/>
    <w:rsid w:val="00EA069D"/>
    <w:rsid w:val="00EB1AE0"/>
    <w:rsid w:val="00EB27DC"/>
    <w:rsid w:val="00EB5017"/>
    <w:rsid w:val="00EB7E2B"/>
    <w:rsid w:val="00EC6A3C"/>
    <w:rsid w:val="00ED2561"/>
    <w:rsid w:val="00ED5023"/>
    <w:rsid w:val="00ED6628"/>
    <w:rsid w:val="00EE2147"/>
    <w:rsid w:val="00EE309F"/>
    <w:rsid w:val="00EE5A09"/>
    <w:rsid w:val="00EE5B9E"/>
    <w:rsid w:val="00EF60E5"/>
    <w:rsid w:val="00EF6379"/>
    <w:rsid w:val="00F00E9D"/>
    <w:rsid w:val="00F07E68"/>
    <w:rsid w:val="00F104BE"/>
    <w:rsid w:val="00F11E5C"/>
    <w:rsid w:val="00F16F8A"/>
    <w:rsid w:val="00F249FA"/>
    <w:rsid w:val="00F25E88"/>
    <w:rsid w:val="00F3151B"/>
    <w:rsid w:val="00F405EC"/>
    <w:rsid w:val="00F441E1"/>
    <w:rsid w:val="00F553E8"/>
    <w:rsid w:val="00F726A9"/>
    <w:rsid w:val="00F72EA5"/>
    <w:rsid w:val="00F772FD"/>
    <w:rsid w:val="00F805FA"/>
    <w:rsid w:val="00F96DD5"/>
    <w:rsid w:val="00FA4B0C"/>
    <w:rsid w:val="00FC1706"/>
    <w:rsid w:val="00FC19C0"/>
    <w:rsid w:val="00FD0291"/>
    <w:rsid w:val="00FD4F43"/>
    <w:rsid w:val="00FF0C59"/>
    <w:rsid w:val="00FF38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FFB"/>
  </w:style>
  <w:style w:type="paragraph" w:styleId="1">
    <w:name w:val="heading 1"/>
    <w:basedOn w:val="a"/>
    <w:next w:val="a"/>
    <w:link w:val="10"/>
    <w:autoRedefine/>
    <w:uiPriority w:val="9"/>
    <w:qFormat/>
    <w:rsid w:val="00064F30"/>
    <w:pPr>
      <w:keepNext/>
      <w:keepLines/>
      <w:tabs>
        <w:tab w:val="left" w:pos="284"/>
      </w:tabs>
      <w:spacing w:after="0" w:line="360" w:lineRule="auto"/>
      <w:jc w:val="both"/>
      <w:outlineLvl w:val="0"/>
    </w:pPr>
    <w:rPr>
      <w:rFonts w:ascii="Times New Roman" w:eastAsiaTheme="majorEastAsia" w:hAnsi="Times New Roman" w:cs="Times New Roman"/>
      <w:b/>
      <w:bCs/>
      <w:sz w:val="28"/>
      <w:szCs w:val="28"/>
    </w:rPr>
  </w:style>
  <w:style w:type="paragraph" w:styleId="2">
    <w:name w:val="heading 2"/>
    <w:basedOn w:val="a"/>
    <w:next w:val="a"/>
    <w:link w:val="20"/>
    <w:uiPriority w:val="9"/>
    <w:unhideWhenUsed/>
    <w:qFormat/>
    <w:rsid w:val="00064F30"/>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F30"/>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064F30"/>
    <w:rPr>
      <w:rFonts w:asciiTheme="majorHAnsi" w:eastAsiaTheme="majorEastAsia" w:hAnsiTheme="majorHAnsi" w:cstheme="majorBidi"/>
      <w:b/>
      <w:bCs/>
      <w:color w:val="4F81BD" w:themeColor="accent1"/>
      <w:sz w:val="26"/>
      <w:szCs w:val="26"/>
      <w:lang w:eastAsia="en-US"/>
    </w:rPr>
  </w:style>
  <w:style w:type="paragraph" w:styleId="a3">
    <w:name w:val="header"/>
    <w:basedOn w:val="a"/>
    <w:link w:val="a4"/>
    <w:uiPriority w:val="99"/>
    <w:unhideWhenUsed/>
    <w:rsid w:val="00B907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076E"/>
  </w:style>
  <w:style w:type="paragraph" w:styleId="a5">
    <w:name w:val="footer"/>
    <w:basedOn w:val="a"/>
    <w:link w:val="a6"/>
    <w:uiPriority w:val="99"/>
    <w:unhideWhenUsed/>
    <w:rsid w:val="00B907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076E"/>
  </w:style>
  <w:style w:type="table" w:styleId="a7">
    <w:name w:val="Table Grid"/>
    <w:basedOn w:val="a1"/>
    <w:uiPriority w:val="39"/>
    <w:rsid w:val="00886F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link w:val="a9"/>
    <w:uiPriority w:val="99"/>
    <w:unhideWhenUsed/>
    <w:rsid w:val="00886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basedOn w:val="a0"/>
    <w:link w:val="a8"/>
    <w:uiPriority w:val="99"/>
    <w:locked/>
    <w:rsid w:val="00886F09"/>
    <w:rPr>
      <w:rFonts w:ascii="Times New Roman" w:eastAsia="Times New Roman" w:hAnsi="Times New Roman" w:cs="Times New Roman"/>
      <w:sz w:val="24"/>
      <w:szCs w:val="24"/>
    </w:rPr>
  </w:style>
  <w:style w:type="paragraph" w:styleId="aa">
    <w:name w:val="Body Text"/>
    <w:basedOn w:val="a"/>
    <w:link w:val="ab"/>
    <w:unhideWhenUsed/>
    <w:rsid w:val="00886F09"/>
    <w:pPr>
      <w:spacing w:after="120"/>
    </w:pPr>
  </w:style>
  <w:style w:type="character" w:customStyle="1" w:styleId="ab">
    <w:name w:val="Основной текст Знак"/>
    <w:basedOn w:val="a0"/>
    <w:link w:val="aa"/>
    <w:rsid w:val="00886F09"/>
  </w:style>
  <w:style w:type="paragraph" w:styleId="ac">
    <w:name w:val="Body Text First Indent"/>
    <w:basedOn w:val="aa"/>
    <w:link w:val="ad"/>
    <w:uiPriority w:val="99"/>
    <w:unhideWhenUsed/>
    <w:rsid w:val="00886F09"/>
    <w:pPr>
      <w:spacing w:after="200"/>
      <w:ind w:firstLine="360"/>
    </w:pPr>
  </w:style>
  <w:style w:type="character" w:customStyle="1" w:styleId="ad">
    <w:name w:val="Красная строка Знак"/>
    <w:basedOn w:val="ab"/>
    <w:link w:val="ac"/>
    <w:uiPriority w:val="99"/>
    <w:rsid w:val="00886F09"/>
  </w:style>
  <w:style w:type="paragraph" w:customStyle="1" w:styleId="ae">
    <w:name w:val="Исполнитель"/>
    <w:basedOn w:val="aa"/>
    <w:rsid w:val="00886F09"/>
    <w:pPr>
      <w:suppressAutoHyphens/>
      <w:spacing w:line="240" w:lineRule="exact"/>
    </w:pPr>
    <w:rPr>
      <w:rFonts w:ascii="Times New Roman" w:eastAsia="Times New Roman" w:hAnsi="Times New Roman" w:cs="Times New Roman"/>
      <w:sz w:val="24"/>
      <w:szCs w:val="20"/>
    </w:rPr>
  </w:style>
  <w:style w:type="paragraph" w:customStyle="1" w:styleId="ConsPlusCell">
    <w:name w:val="ConsPlusCell"/>
    <w:rsid w:val="00886F09"/>
    <w:pPr>
      <w:widowControl w:val="0"/>
      <w:autoSpaceDE w:val="0"/>
      <w:autoSpaceDN w:val="0"/>
      <w:adjustRightInd w:val="0"/>
      <w:spacing w:after="0" w:line="240" w:lineRule="auto"/>
    </w:pPr>
    <w:rPr>
      <w:rFonts w:ascii="Arial" w:eastAsia="Times New Roman" w:hAnsi="Arial" w:cs="Arial"/>
      <w:sz w:val="20"/>
      <w:szCs w:val="20"/>
    </w:rPr>
  </w:style>
  <w:style w:type="paragraph" w:styleId="af">
    <w:name w:val="No Spacing"/>
    <w:link w:val="af0"/>
    <w:uiPriority w:val="1"/>
    <w:qFormat/>
    <w:rsid w:val="00886F09"/>
    <w:pPr>
      <w:spacing w:after="0" w:line="240" w:lineRule="auto"/>
    </w:pPr>
  </w:style>
  <w:style w:type="character" w:customStyle="1" w:styleId="af0">
    <w:name w:val="Без интервала Знак"/>
    <w:basedOn w:val="a0"/>
    <w:link w:val="af"/>
    <w:uiPriority w:val="1"/>
    <w:locked/>
    <w:rsid w:val="00886F09"/>
  </w:style>
  <w:style w:type="paragraph" w:styleId="af1">
    <w:name w:val="List Paragraph"/>
    <w:basedOn w:val="a"/>
    <w:link w:val="af2"/>
    <w:uiPriority w:val="34"/>
    <w:qFormat/>
    <w:rsid w:val="00886F09"/>
    <w:pPr>
      <w:ind w:left="720"/>
      <w:contextualSpacing/>
    </w:pPr>
  </w:style>
  <w:style w:type="character" w:customStyle="1" w:styleId="af2">
    <w:name w:val="Абзац списка Знак"/>
    <w:link w:val="af1"/>
    <w:uiPriority w:val="34"/>
    <w:locked/>
    <w:rsid w:val="00064F30"/>
  </w:style>
  <w:style w:type="paragraph" w:styleId="af3">
    <w:name w:val="Balloon Text"/>
    <w:basedOn w:val="a"/>
    <w:link w:val="af4"/>
    <w:uiPriority w:val="99"/>
    <w:semiHidden/>
    <w:unhideWhenUsed/>
    <w:rsid w:val="00886F0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86F09"/>
    <w:rPr>
      <w:rFonts w:ascii="Tahoma" w:hAnsi="Tahoma" w:cs="Tahoma"/>
      <w:sz w:val="16"/>
      <w:szCs w:val="16"/>
    </w:rPr>
  </w:style>
  <w:style w:type="paragraph" w:styleId="3">
    <w:name w:val="Body Text 3"/>
    <w:basedOn w:val="a"/>
    <w:link w:val="30"/>
    <w:uiPriority w:val="99"/>
    <w:rsid w:val="00886F09"/>
    <w:pPr>
      <w:spacing w:after="0" w:line="240" w:lineRule="auto"/>
      <w:jc w:val="center"/>
    </w:pPr>
    <w:rPr>
      <w:rFonts w:ascii="Times New Roman" w:eastAsia="Times New Roman" w:hAnsi="Times New Roman" w:cs="Times New Roman"/>
      <w:b/>
      <w:sz w:val="28"/>
      <w:szCs w:val="20"/>
    </w:rPr>
  </w:style>
  <w:style w:type="character" w:customStyle="1" w:styleId="30">
    <w:name w:val="Основной текст 3 Знак"/>
    <w:basedOn w:val="a0"/>
    <w:link w:val="3"/>
    <w:uiPriority w:val="99"/>
    <w:rsid w:val="00886F09"/>
    <w:rPr>
      <w:rFonts w:ascii="Times New Roman" w:eastAsia="Times New Roman" w:hAnsi="Times New Roman" w:cs="Times New Roman"/>
      <w:b/>
      <w:sz w:val="28"/>
      <w:szCs w:val="20"/>
    </w:rPr>
  </w:style>
  <w:style w:type="paragraph" w:customStyle="1" w:styleId="ConsPlusNormal">
    <w:name w:val="ConsPlusNormal"/>
    <w:rsid w:val="00886F0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5">
    <w:name w:val="программа"/>
    <w:basedOn w:val="a"/>
    <w:link w:val="af6"/>
    <w:rsid w:val="00886F09"/>
    <w:pPr>
      <w:tabs>
        <w:tab w:val="left" w:pos="567"/>
      </w:tabs>
      <w:spacing w:before="60" w:after="0" w:line="240" w:lineRule="auto"/>
      <w:ind w:firstLine="709"/>
      <w:jc w:val="both"/>
    </w:pPr>
    <w:rPr>
      <w:rFonts w:ascii="Times New Roman" w:eastAsia="Times New Roman" w:hAnsi="Times New Roman" w:cs="Times New Roman"/>
      <w:sz w:val="28"/>
      <w:szCs w:val="28"/>
    </w:rPr>
  </w:style>
  <w:style w:type="character" w:customStyle="1" w:styleId="af6">
    <w:name w:val="программа Знак"/>
    <w:basedOn w:val="a0"/>
    <w:link w:val="af5"/>
    <w:locked/>
    <w:rsid w:val="00886F09"/>
    <w:rPr>
      <w:rFonts w:ascii="Times New Roman" w:eastAsia="Times New Roman" w:hAnsi="Times New Roman" w:cs="Times New Roman"/>
      <w:sz w:val="28"/>
      <w:szCs w:val="28"/>
    </w:rPr>
  </w:style>
  <w:style w:type="character" w:styleId="af7">
    <w:name w:val="Hyperlink"/>
    <w:basedOn w:val="a0"/>
    <w:uiPriority w:val="99"/>
    <w:rsid w:val="00886F09"/>
    <w:rPr>
      <w:rFonts w:cs="Times New Roman"/>
      <w:color w:val="0000FF"/>
      <w:u w:val="single"/>
    </w:rPr>
  </w:style>
  <w:style w:type="paragraph" w:customStyle="1" w:styleId="af8">
    <w:name w:val="Знак"/>
    <w:basedOn w:val="a"/>
    <w:rsid w:val="00886F09"/>
    <w:pPr>
      <w:widowControl w:val="0"/>
      <w:adjustRightInd w:val="0"/>
      <w:spacing w:after="0" w:line="360" w:lineRule="atLeast"/>
      <w:jc w:val="both"/>
    </w:pPr>
    <w:rPr>
      <w:rFonts w:ascii="Verdana" w:eastAsia="Times New Roman" w:hAnsi="Verdana" w:cs="Verdana"/>
      <w:sz w:val="20"/>
      <w:szCs w:val="20"/>
      <w:lang w:val="en-US" w:eastAsia="en-US"/>
    </w:rPr>
  </w:style>
  <w:style w:type="character" w:customStyle="1" w:styleId="21">
    <w:name w:val="Основной текст (2)"/>
    <w:basedOn w:val="a0"/>
    <w:link w:val="210"/>
    <w:locked/>
    <w:rsid w:val="00886F09"/>
    <w:rPr>
      <w:rFonts w:ascii="Times New Roman" w:hAnsi="Times New Roman" w:cs="Times New Roman"/>
      <w:sz w:val="15"/>
      <w:szCs w:val="15"/>
      <w:shd w:val="clear" w:color="auto" w:fill="FFFFFF"/>
    </w:rPr>
  </w:style>
  <w:style w:type="paragraph" w:customStyle="1" w:styleId="210">
    <w:name w:val="Основной текст (2)1"/>
    <w:basedOn w:val="a"/>
    <w:link w:val="21"/>
    <w:uiPriority w:val="99"/>
    <w:rsid w:val="00886F09"/>
    <w:pPr>
      <w:shd w:val="clear" w:color="auto" w:fill="FFFFFF"/>
      <w:spacing w:after="0" w:line="240" w:lineRule="atLeast"/>
    </w:pPr>
    <w:rPr>
      <w:rFonts w:ascii="Times New Roman" w:hAnsi="Times New Roman" w:cs="Times New Roman"/>
      <w:sz w:val="15"/>
      <w:szCs w:val="15"/>
    </w:rPr>
  </w:style>
  <w:style w:type="paragraph" w:customStyle="1" w:styleId="211">
    <w:name w:val="Основной текст 21"/>
    <w:basedOn w:val="a"/>
    <w:rsid w:val="00886F09"/>
    <w:pPr>
      <w:spacing w:after="0" w:line="240" w:lineRule="auto"/>
    </w:pPr>
    <w:rPr>
      <w:rFonts w:ascii="Times New Roman" w:eastAsia="Times New Roman" w:hAnsi="Times New Roman" w:cs="Times New Roman"/>
      <w:sz w:val="28"/>
      <w:szCs w:val="20"/>
    </w:rPr>
  </w:style>
  <w:style w:type="paragraph" w:customStyle="1" w:styleId="ConsNormal">
    <w:name w:val="ConsNormal"/>
    <w:rsid w:val="00886F09"/>
    <w:pPr>
      <w:widowControl w:val="0"/>
      <w:spacing w:after="0" w:line="240" w:lineRule="auto"/>
      <w:ind w:firstLine="720"/>
    </w:pPr>
    <w:rPr>
      <w:rFonts w:ascii="Arial" w:eastAsia="Times New Roman" w:hAnsi="Arial" w:cs="Times New Roman"/>
      <w:snapToGrid w:val="0"/>
      <w:sz w:val="20"/>
      <w:szCs w:val="20"/>
    </w:rPr>
  </w:style>
  <w:style w:type="paragraph" w:customStyle="1" w:styleId="ConsPlusNonformat">
    <w:name w:val="ConsPlusNonformat"/>
    <w:uiPriority w:val="99"/>
    <w:rsid w:val="00886F09"/>
    <w:pPr>
      <w:autoSpaceDE w:val="0"/>
      <w:autoSpaceDN w:val="0"/>
      <w:adjustRightInd w:val="0"/>
      <w:spacing w:after="0" w:line="240" w:lineRule="auto"/>
    </w:pPr>
    <w:rPr>
      <w:rFonts w:ascii="Courier New" w:eastAsia="Times New Roman" w:hAnsi="Courier New" w:cs="Courier New"/>
      <w:sz w:val="20"/>
      <w:szCs w:val="20"/>
    </w:rPr>
  </w:style>
  <w:style w:type="paragraph" w:styleId="af9">
    <w:name w:val="Title"/>
    <w:basedOn w:val="a"/>
    <w:link w:val="afa"/>
    <w:uiPriority w:val="10"/>
    <w:qFormat/>
    <w:rsid w:val="00886F09"/>
    <w:pPr>
      <w:spacing w:after="0" w:line="240" w:lineRule="auto"/>
      <w:jc w:val="center"/>
    </w:pPr>
    <w:rPr>
      <w:rFonts w:ascii="Times New Roman" w:eastAsia="Times New Roman" w:hAnsi="Times New Roman" w:cs="Times New Roman"/>
      <w:sz w:val="28"/>
      <w:szCs w:val="24"/>
    </w:rPr>
  </w:style>
  <w:style w:type="character" w:customStyle="1" w:styleId="afa">
    <w:name w:val="Название Знак"/>
    <w:basedOn w:val="a0"/>
    <w:link w:val="af9"/>
    <w:uiPriority w:val="10"/>
    <w:rsid w:val="00886F09"/>
    <w:rPr>
      <w:rFonts w:ascii="Times New Roman" w:eastAsia="Times New Roman" w:hAnsi="Times New Roman" w:cs="Times New Roman"/>
      <w:sz w:val="28"/>
      <w:szCs w:val="24"/>
    </w:rPr>
  </w:style>
  <w:style w:type="character" w:customStyle="1" w:styleId="afb">
    <w:name w:val="Гипертекстовая ссылка"/>
    <w:basedOn w:val="a0"/>
    <w:uiPriority w:val="99"/>
    <w:rsid w:val="00886F09"/>
    <w:rPr>
      <w:rFonts w:cs="Times New Roman"/>
      <w:color w:val="106BBE"/>
    </w:rPr>
  </w:style>
  <w:style w:type="paragraph" w:customStyle="1" w:styleId="Iauiue">
    <w:name w:val="Iau?iue"/>
    <w:rsid w:val="00886F09"/>
    <w:pPr>
      <w:overflowPunct w:val="0"/>
      <w:autoSpaceDE w:val="0"/>
      <w:autoSpaceDN w:val="0"/>
      <w:adjustRightInd w:val="0"/>
      <w:spacing w:after="0" w:line="240" w:lineRule="auto"/>
    </w:pPr>
    <w:rPr>
      <w:rFonts w:ascii="Times New Roman" w:eastAsia="Times New Roman" w:hAnsi="Times New Roman" w:cs="Times New Roman"/>
      <w:color w:val="000000"/>
      <w:spacing w:val="-4"/>
      <w:sz w:val="28"/>
      <w:szCs w:val="20"/>
    </w:rPr>
  </w:style>
  <w:style w:type="paragraph" w:styleId="afc">
    <w:name w:val="Plain Text"/>
    <w:basedOn w:val="a"/>
    <w:link w:val="afd"/>
    <w:rsid w:val="00886F09"/>
    <w:pPr>
      <w:spacing w:after="0" w:line="240" w:lineRule="auto"/>
    </w:pPr>
    <w:rPr>
      <w:rFonts w:ascii="Courier New" w:eastAsia="Times New Roman" w:hAnsi="Courier New" w:cs="Times New Roman"/>
      <w:sz w:val="20"/>
      <w:szCs w:val="20"/>
    </w:rPr>
  </w:style>
  <w:style w:type="character" w:customStyle="1" w:styleId="afd">
    <w:name w:val="Текст Знак"/>
    <w:basedOn w:val="a0"/>
    <w:link w:val="afc"/>
    <w:rsid w:val="00886F09"/>
    <w:rPr>
      <w:rFonts w:ascii="Courier New" w:eastAsia="Times New Roman" w:hAnsi="Courier New" w:cs="Times New Roman"/>
      <w:sz w:val="20"/>
      <w:szCs w:val="20"/>
    </w:rPr>
  </w:style>
  <w:style w:type="character" w:customStyle="1" w:styleId="apple-converted-space">
    <w:name w:val="apple-converted-space"/>
    <w:basedOn w:val="a0"/>
    <w:rsid w:val="00D13891"/>
  </w:style>
  <w:style w:type="paragraph" w:styleId="afe">
    <w:name w:val="TOC Heading"/>
    <w:basedOn w:val="1"/>
    <w:next w:val="a"/>
    <w:uiPriority w:val="39"/>
    <w:unhideWhenUsed/>
    <w:qFormat/>
    <w:rsid w:val="00064F30"/>
    <w:pPr>
      <w:tabs>
        <w:tab w:val="clear" w:pos="284"/>
      </w:tabs>
      <w:spacing w:after="200"/>
      <w:outlineLvl w:val="9"/>
    </w:pPr>
  </w:style>
  <w:style w:type="paragraph" w:styleId="11">
    <w:name w:val="toc 1"/>
    <w:basedOn w:val="a"/>
    <w:next w:val="a"/>
    <w:autoRedefine/>
    <w:uiPriority w:val="39"/>
    <w:unhideWhenUsed/>
    <w:qFormat/>
    <w:rsid w:val="00064F30"/>
    <w:pPr>
      <w:tabs>
        <w:tab w:val="left" w:pos="7371"/>
        <w:tab w:val="left" w:pos="7513"/>
      </w:tabs>
      <w:spacing w:before="120" w:line="240" w:lineRule="auto"/>
      <w:ind w:right="2266" w:firstLine="709"/>
      <w:jc w:val="both"/>
    </w:pPr>
    <w:rPr>
      <w:rFonts w:ascii="Times New Roman" w:hAnsi="Times New Roman"/>
      <w:bCs/>
      <w:iCs/>
      <w:sz w:val="24"/>
    </w:rPr>
  </w:style>
  <w:style w:type="paragraph" w:customStyle="1" w:styleId="aff">
    <w:name w:val="Таблицы (моноширинный)"/>
    <w:basedOn w:val="a"/>
    <w:next w:val="a"/>
    <w:uiPriority w:val="99"/>
    <w:rsid w:val="00064F3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22">
    <w:name w:val="toc 2"/>
    <w:basedOn w:val="a"/>
    <w:next w:val="a"/>
    <w:autoRedefine/>
    <w:uiPriority w:val="39"/>
    <w:unhideWhenUsed/>
    <w:rsid w:val="00064F30"/>
    <w:pPr>
      <w:spacing w:after="100" w:line="360" w:lineRule="auto"/>
      <w:ind w:left="220"/>
      <w:jc w:val="both"/>
    </w:pPr>
    <w:rPr>
      <w:rFonts w:ascii="Times New Roman" w:hAnsi="Times New Roman"/>
      <w:sz w:val="24"/>
    </w:rPr>
  </w:style>
  <w:style w:type="paragraph" w:customStyle="1" w:styleId="p">
    <w:name w:val="p"/>
    <w:basedOn w:val="a"/>
    <w:uiPriority w:val="99"/>
    <w:rsid w:val="00064F30"/>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ff0">
    <w:name w:val="footnote text"/>
    <w:basedOn w:val="a"/>
    <w:link w:val="aff1"/>
    <w:uiPriority w:val="99"/>
    <w:semiHidden/>
    <w:unhideWhenUsed/>
    <w:rsid w:val="00064F30"/>
    <w:pPr>
      <w:spacing w:after="0" w:line="240" w:lineRule="auto"/>
    </w:pPr>
    <w:rPr>
      <w:rFonts w:eastAsiaTheme="minorHAnsi"/>
      <w:sz w:val="20"/>
      <w:szCs w:val="20"/>
      <w:lang w:eastAsia="en-US"/>
    </w:rPr>
  </w:style>
  <w:style w:type="character" w:customStyle="1" w:styleId="aff1">
    <w:name w:val="Текст сноски Знак"/>
    <w:basedOn w:val="a0"/>
    <w:link w:val="aff0"/>
    <w:uiPriority w:val="99"/>
    <w:semiHidden/>
    <w:rsid w:val="00064F30"/>
    <w:rPr>
      <w:rFonts w:eastAsiaTheme="minorHAnsi"/>
      <w:sz w:val="20"/>
      <w:szCs w:val="20"/>
      <w:lang w:eastAsia="en-US"/>
    </w:rPr>
  </w:style>
  <w:style w:type="character" w:styleId="aff2">
    <w:name w:val="footnote reference"/>
    <w:basedOn w:val="a0"/>
    <w:uiPriority w:val="99"/>
    <w:semiHidden/>
    <w:unhideWhenUsed/>
    <w:rsid w:val="00064F30"/>
    <w:rPr>
      <w:vertAlign w:val="superscript"/>
    </w:rPr>
  </w:style>
  <w:style w:type="paragraph" w:customStyle="1" w:styleId="headertext">
    <w:name w:val="headertext"/>
    <w:basedOn w:val="a"/>
    <w:rsid w:val="00064F30"/>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4"/>
    <w:rsid w:val="00064F3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3"/>
    <w:rsid w:val="00064F30"/>
    <w:rPr>
      <w:rFonts w:ascii="Times New Roman" w:eastAsia="Times New Roman" w:hAnsi="Times New Roman" w:cs="Times New Roman"/>
      <w:sz w:val="24"/>
      <w:szCs w:val="24"/>
    </w:rPr>
  </w:style>
  <w:style w:type="character" w:customStyle="1" w:styleId="25">
    <w:name w:val="Основной текст (2) + Полужирный"/>
    <w:basedOn w:val="a0"/>
    <w:rsid w:val="00064F3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Курсив"/>
    <w:basedOn w:val="a0"/>
    <w:rsid w:val="00064F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1">
    <w:name w:val="Основной текст (3)"/>
    <w:basedOn w:val="a0"/>
    <w:link w:val="310"/>
    <w:rsid w:val="00064F30"/>
    <w:rPr>
      <w:rFonts w:ascii="Times New Roman" w:eastAsia="Times New Roman" w:hAnsi="Times New Roman" w:cs="Times New Roman"/>
      <w:b/>
      <w:bCs/>
      <w:color w:val="000000"/>
      <w:sz w:val="24"/>
      <w:szCs w:val="24"/>
      <w:shd w:val="clear" w:color="auto" w:fill="FFFFFF"/>
      <w:lang w:bidi="ru-RU"/>
    </w:rPr>
  </w:style>
  <w:style w:type="paragraph" w:customStyle="1" w:styleId="310">
    <w:name w:val="Основной текст (3)1"/>
    <w:basedOn w:val="a"/>
    <w:link w:val="31"/>
    <w:rsid w:val="00064F30"/>
    <w:pPr>
      <w:shd w:val="clear" w:color="auto" w:fill="FFFFFF"/>
      <w:spacing w:before="360" w:after="1260" w:line="365" w:lineRule="exact"/>
      <w:ind w:hanging="660"/>
    </w:pPr>
    <w:rPr>
      <w:rFonts w:ascii="Times New Roman" w:eastAsia="Times New Roman" w:hAnsi="Times New Roman" w:cs="Times New Roman"/>
      <w:b/>
      <w:bCs/>
      <w:color w:val="000000"/>
      <w:sz w:val="24"/>
      <w:szCs w:val="24"/>
      <w:lang w:bidi="ru-RU"/>
    </w:rPr>
  </w:style>
  <w:style w:type="character" w:customStyle="1" w:styleId="212pt">
    <w:name w:val="Основной текст (2) + 12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
    <w:basedOn w:val="a0"/>
    <w:link w:val="91"/>
    <w:uiPriority w:val="99"/>
    <w:locked/>
    <w:rsid w:val="00064F30"/>
    <w:rPr>
      <w:sz w:val="28"/>
      <w:szCs w:val="28"/>
      <w:shd w:val="clear" w:color="auto" w:fill="FFFFFF"/>
    </w:rPr>
  </w:style>
  <w:style w:type="paragraph" w:customStyle="1" w:styleId="91">
    <w:name w:val="Основной текст (9)1"/>
    <w:basedOn w:val="a"/>
    <w:link w:val="9"/>
    <w:uiPriority w:val="99"/>
    <w:rsid w:val="00064F30"/>
    <w:pPr>
      <w:shd w:val="clear" w:color="auto" w:fill="FFFFFF"/>
      <w:spacing w:after="0" w:line="240" w:lineRule="atLeast"/>
    </w:pPr>
    <w:rPr>
      <w:sz w:val="28"/>
      <w:szCs w:val="28"/>
    </w:rPr>
  </w:style>
  <w:style w:type="character" w:customStyle="1" w:styleId="110">
    <w:name w:val="Основной текст (11)"/>
    <w:basedOn w:val="a0"/>
    <w:link w:val="111"/>
    <w:locked/>
    <w:rsid w:val="00064F30"/>
    <w:rPr>
      <w:sz w:val="28"/>
      <w:szCs w:val="28"/>
      <w:shd w:val="clear" w:color="auto" w:fill="FFFFFF"/>
    </w:rPr>
  </w:style>
  <w:style w:type="paragraph" w:customStyle="1" w:styleId="111">
    <w:name w:val="Основной текст (11)1"/>
    <w:basedOn w:val="a"/>
    <w:link w:val="110"/>
    <w:rsid w:val="00064F30"/>
    <w:pPr>
      <w:shd w:val="clear" w:color="auto" w:fill="FFFFFF"/>
      <w:spacing w:after="0" w:line="312" w:lineRule="exact"/>
      <w:jc w:val="both"/>
    </w:pPr>
    <w:rPr>
      <w:sz w:val="28"/>
      <w:szCs w:val="28"/>
    </w:rPr>
  </w:style>
  <w:style w:type="character" w:customStyle="1" w:styleId="2105pt">
    <w:name w:val="Основной текст (2) + 10;5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3">
    <w:name w:val="Основной текст с отступом Знак"/>
    <w:basedOn w:val="a0"/>
    <w:link w:val="aff4"/>
    <w:uiPriority w:val="99"/>
    <w:semiHidden/>
    <w:rsid w:val="00064F30"/>
    <w:rPr>
      <w:rFonts w:ascii="Times New Roman" w:hAnsi="Times New Roman"/>
      <w:sz w:val="24"/>
    </w:rPr>
  </w:style>
  <w:style w:type="paragraph" w:styleId="aff4">
    <w:name w:val="Body Text Indent"/>
    <w:basedOn w:val="a"/>
    <w:link w:val="aff3"/>
    <w:uiPriority w:val="99"/>
    <w:semiHidden/>
    <w:unhideWhenUsed/>
    <w:rsid w:val="00064F30"/>
    <w:pPr>
      <w:spacing w:after="120" w:line="360" w:lineRule="auto"/>
      <w:ind w:left="283"/>
      <w:jc w:val="both"/>
    </w:pPr>
    <w:rPr>
      <w:rFonts w:ascii="Times New Roman" w:hAnsi="Times New Roman"/>
      <w:sz w:val="24"/>
    </w:rPr>
  </w:style>
  <w:style w:type="paragraph" w:customStyle="1" w:styleId="12">
    <w:name w:val="1"/>
    <w:basedOn w:val="a"/>
    <w:next w:val="af9"/>
    <w:qFormat/>
    <w:rsid w:val="005E327B"/>
    <w:pPr>
      <w:spacing w:before="120" w:after="60" w:line="240" w:lineRule="auto"/>
      <w:ind w:firstLine="567"/>
      <w:jc w:val="center"/>
    </w:pPr>
    <w:rPr>
      <w:rFonts w:ascii="Times New Roman" w:eastAsia="Times New Roman" w:hAnsi="Times New Roman" w:cs="Times New Roman"/>
      <w:b/>
      <w:sz w:val="24"/>
      <w:szCs w:val="24"/>
    </w:rPr>
  </w:style>
  <w:style w:type="paragraph" w:customStyle="1" w:styleId="Normal">
    <w:name w:val="Normal Знак"/>
    <w:semiHidden/>
    <w:rsid w:val="00153E07"/>
    <w:pPr>
      <w:spacing w:after="0" w:line="240" w:lineRule="auto"/>
    </w:pPr>
    <w:rPr>
      <w:rFonts w:ascii="Times New Roman" w:eastAsia="Times New Roman" w:hAnsi="Times New Roman" w:cs="Times New Roman"/>
      <w:szCs w:val="24"/>
    </w:rPr>
  </w:style>
  <w:style w:type="paragraph" w:customStyle="1" w:styleId="font5">
    <w:name w:val="font5"/>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a"/>
    <w:rsid w:val="00153E07"/>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font7">
    <w:name w:val="font7"/>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9">
    <w:name w:val="font9"/>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10">
    <w:name w:val="font10"/>
    <w:basedOn w:val="a"/>
    <w:rsid w:val="00153E07"/>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11">
    <w:name w:val="font11"/>
    <w:basedOn w:val="a"/>
    <w:rsid w:val="00153E07"/>
    <w:pPr>
      <w:spacing w:before="100" w:beforeAutospacing="1" w:after="100" w:afterAutospacing="1" w:line="240" w:lineRule="auto"/>
    </w:pPr>
    <w:rPr>
      <w:rFonts w:ascii="Times New Roman" w:eastAsia="Times New Roman" w:hAnsi="Times New Roman" w:cs="Times New Roman"/>
      <w:color w:val="002060"/>
      <w:sz w:val="24"/>
      <w:szCs w:val="24"/>
    </w:rPr>
  </w:style>
  <w:style w:type="paragraph" w:customStyle="1" w:styleId="xl63">
    <w:name w:val="xl63"/>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rsid w:val="00153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153E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153E0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153E0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
    <w:rsid w:val="00153E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a"/>
    <w:rsid w:val="00153E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a"/>
    <w:rsid w:val="00153E0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nsPlusTitle">
    <w:name w:val="ConsPlusTitle"/>
    <w:uiPriority w:val="99"/>
    <w:rsid w:val="00153E07"/>
    <w:pPr>
      <w:widowControl w:val="0"/>
      <w:autoSpaceDE w:val="0"/>
      <w:autoSpaceDN w:val="0"/>
      <w:adjustRightInd w:val="0"/>
      <w:spacing w:after="0" w:line="240" w:lineRule="auto"/>
    </w:pPr>
    <w:rPr>
      <w:rFonts w:ascii="Arial" w:hAnsi="Arial" w:cs="Arial"/>
      <w:b/>
      <w:bCs/>
      <w:sz w:val="16"/>
      <w:szCs w:val="16"/>
    </w:rPr>
  </w:style>
  <w:style w:type="paragraph" w:customStyle="1" w:styleId="Default">
    <w:name w:val="Default"/>
    <w:rsid w:val="00354B4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Îáû÷íûé"/>
    <w:uiPriority w:val="99"/>
    <w:rsid w:val="00354B46"/>
    <w:pPr>
      <w:overflowPunct w:val="0"/>
      <w:autoSpaceDE w:val="0"/>
      <w:autoSpaceDN w:val="0"/>
      <w:adjustRightInd w:val="0"/>
      <w:spacing w:after="0" w:line="240" w:lineRule="auto"/>
    </w:pPr>
    <w:rPr>
      <w:rFonts w:ascii="Times New Roman" w:eastAsia="Times New Roman" w:hAnsi="Times New Roman" w:cs="Times New Roman"/>
      <w:color w:val="000000"/>
      <w:spacing w:val="-4"/>
      <w:sz w:val="28"/>
      <w:szCs w:val="20"/>
    </w:rPr>
  </w:style>
  <w:style w:type="paragraph" w:customStyle="1" w:styleId="msonormalbullet2gifbullet1gif">
    <w:name w:val="msonormalbullet2gifbullet1.gif"/>
    <w:basedOn w:val="a"/>
    <w:uiPriority w:val="99"/>
    <w:rsid w:val="00354B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2475366">
      <w:bodyDiv w:val="1"/>
      <w:marLeft w:val="0"/>
      <w:marRight w:val="0"/>
      <w:marTop w:val="0"/>
      <w:marBottom w:val="0"/>
      <w:divBdr>
        <w:top w:val="none" w:sz="0" w:space="0" w:color="auto"/>
        <w:left w:val="none" w:sz="0" w:space="0" w:color="auto"/>
        <w:bottom w:val="none" w:sz="0" w:space="0" w:color="auto"/>
        <w:right w:val="none" w:sz="0" w:space="0" w:color="auto"/>
      </w:divBdr>
    </w:div>
    <w:div w:id="529800029">
      <w:bodyDiv w:val="1"/>
      <w:marLeft w:val="0"/>
      <w:marRight w:val="0"/>
      <w:marTop w:val="0"/>
      <w:marBottom w:val="0"/>
      <w:divBdr>
        <w:top w:val="none" w:sz="0" w:space="0" w:color="auto"/>
        <w:left w:val="none" w:sz="0" w:space="0" w:color="auto"/>
        <w:bottom w:val="none" w:sz="0" w:space="0" w:color="auto"/>
        <w:right w:val="none" w:sz="0" w:space="0" w:color="auto"/>
      </w:divBdr>
    </w:div>
    <w:div w:id="1345326197">
      <w:bodyDiv w:val="1"/>
      <w:marLeft w:val="0"/>
      <w:marRight w:val="0"/>
      <w:marTop w:val="0"/>
      <w:marBottom w:val="0"/>
      <w:divBdr>
        <w:top w:val="none" w:sz="0" w:space="0" w:color="auto"/>
        <w:left w:val="none" w:sz="0" w:space="0" w:color="auto"/>
        <w:bottom w:val="none" w:sz="0" w:space="0" w:color="auto"/>
        <w:right w:val="none" w:sz="0" w:space="0" w:color="auto"/>
      </w:divBdr>
    </w:div>
    <w:div w:id="1401638943">
      <w:bodyDiv w:val="1"/>
      <w:marLeft w:val="0"/>
      <w:marRight w:val="0"/>
      <w:marTop w:val="0"/>
      <w:marBottom w:val="0"/>
      <w:divBdr>
        <w:top w:val="none" w:sz="0" w:space="0" w:color="auto"/>
        <w:left w:val="none" w:sz="0" w:space="0" w:color="auto"/>
        <w:bottom w:val="none" w:sz="0" w:space="0" w:color="auto"/>
        <w:right w:val="none" w:sz="0" w:space="0" w:color="auto"/>
      </w:divBdr>
    </w:div>
    <w:div w:id="1419015254">
      <w:bodyDiv w:val="1"/>
      <w:marLeft w:val="0"/>
      <w:marRight w:val="0"/>
      <w:marTop w:val="0"/>
      <w:marBottom w:val="0"/>
      <w:divBdr>
        <w:top w:val="none" w:sz="0" w:space="0" w:color="auto"/>
        <w:left w:val="none" w:sz="0" w:space="0" w:color="auto"/>
        <w:bottom w:val="none" w:sz="0" w:space="0" w:color="auto"/>
        <w:right w:val="none" w:sz="0" w:space="0" w:color="auto"/>
      </w:divBdr>
    </w:div>
    <w:div w:id="1592008564">
      <w:bodyDiv w:val="1"/>
      <w:marLeft w:val="0"/>
      <w:marRight w:val="0"/>
      <w:marTop w:val="0"/>
      <w:marBottom w:val="0"/>
      <w:divBdr>
        <w:top w:val="none" w:sz="0" w:space="0" w:color="auto"/>
        <w:left w:val="none" w:sz="0" w:space="0" w:color="auto"/>
        <w:bottom w:val="none" w:sz="0" w:space="0" w:color="auto"/>
        <w:right w:val="none" w:sz="0" w:space="0" w:color="auto"/>
      </w:divBdr>
    </w:div>
    <w:div w:id="1672098652">
      <w:bodyDiv w:val="1"/>
      <w:marLeft w:val="0"/>
      <w:marRight w:val="0"/>
      <w:marTop w:val="0"/>
      <w:marBottom w:val="0"/>
      <w:divBdr>
        <w:top w:val="none" w:sz="0" w:space="0" w:color="auto"/>
        <w:left w:val="none" w:sz="0" w:space="0" w:color="auto"/>
        <w:bottom w:val="none" w:sz="0" w:space="0" w:color="auto"/>
        <w:right w:val="none" w:sz="0" w:space="0" w:color="auto"/>
      </w:divBdr>
    </w:div>
    <w:div w:id="1692536449">
      <w:bodyDiv w:val="1"/>
      <w:marLeft w:val="0"/>
      <w:marRight w:val="0"/>
      <w:marTop w:val="0"/>
      <w:marBottom w:val="0"/>
      <w:divBdr>
        <w:top w:val="none" w:sz="0" w:space="0" w:color="auto"/>
        <w:left w:val="none" w:sz="0" w:space="0" w:color="auto"/>
        <w:bottom w:val="none" w:sz="0" w:space="0" w:color="auto"/>
        <w:right w:val="none" w:sz="0" w:space="0" w:color="auto"/>
      </w:divBdr>
    </w:div>
    <w:div w:id="1695763994">
      <w:bodyDiv w:val="1"/>
      <w:marLeft w:val="0"/>
      <w:marRight w:val="0"/>
      <w:marTop w:val="0"/>
      <w:marBottom w:val="0"/>
      <w:divBdr>
        <w:top w:val="none" w:sz="0" w:space="0" w:color="auto"/>
        <w:left w:val="none" w:sz="0" w:space="0" w:color="auto"/>
        <w:bottom w:val="none" w:sz="0" w:space="0" w:color="auto"/>
        <w:right w:val="none" w:sz="0" w:space="0" w:color="auto"/>
      </w:divBdr>
    </w:div>
    <w:div w:id="1878463384">
      <w:bodyDiv w:val="1"/>
      <w:marLeft w:val="0"/>
      <w:marRight w:val="0"/>
      <w:marTop w:val="0"/>
      <w:marBottom w:val="0"/>
      <w:divBdr>
        <w:top w:val="none" w:sz="0" w:space="0" w:color="auto"/>
        <w:left w:val="none" w:sz="0" w:space="0" w:color="auto"/>
        <w:bottom w:val="none" w:sz="0" w:space="0" w:color="auto"/>
        <w:right w:val="none" w:sz="0" w:space="0" w:color="auto"/>
      </w:divBdr>
    </w:div>
    <w:div w:id="2071339641">
      <w:bodyDiv w:val="1"/>
      <w:marLeft w:val="0"/>
      <w:marRight w:val="0"/>
      <w:marTop w:val="0"/>
      <w:marBottom w:val="0"/>
      <w:divBdr>
        <w:top w:val="none" w:sz="0" w:space="0" w:color="auto"/>
        <w:left w:val="none" w:sz="0" w:space="0" w:color="auto"/>
        <w:bottom w:val="none" w:sz="0" w:space="0" w:color="auto"/>
        <w:right w:val="none" w:sz="0" w:space="0" w:color="auto"/>
      </w:divBdr>
    </w:div>
    <w:div w:id="210626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chart" Target="charts/chart8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package" Target="embeddings/_____Microsoft_Office_Excel2.xlsx"/><Relationship Id="rId68" Type="http://schemas.openxmlformats.org/officeDocument/2006/relationships/chart" Target="charts/chart56.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oleObject" Target="embeddings/oleObject4.bin"/><Relationship Id="rId133" Type="http://schemas.openxmlformats.org/officeDocument/2006/relationships/chart" Target="charts/chart102.xml"/><Relationship Id="rId138" Type="http://schemas.microsoft.com/office/2007/relationships/diagramDrawing" Target="diagrams/drawing1.xml"/><Relationship Id="rId16" Type="http://schemas.openxmlformats.org/officeDocument/2006/relationships/chart" Target="charts/chart6.xml"/><Relationship Id="rId107" Type="http://schemas.openxmlformats.org/officeDocument/2006/relationships/image" Target="media/image5.wmf"/><Relationship Id="rId11" Type="http://schemas.openxmlformats.org/officeDocument/2006/relationships/chart" Target="charts/chart3.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chart" Target="charts/chart82.xml"/><Relationship Id="rId123" Type="http://schemas.openxmlformats.org/officeDocument/2006/relationships/chart" Target="charts/chart92.xml"/><Relationship Id="rId128" Type="http://schemas.openxmlformats.org/officeDocument/2006/relationships/chart" Target="charts/chart97.xml"/><Relationship Id="rId5" Type="http://schemas.openxmlformats.org/officeDocument/2006/relationships/webSettings" Target="webSettings.xml"/><Relationship Id="rId90" Type="http://schemas.openxmlformats.org/officeDocument/2006/relationships/chart" Target="charts/chart76.xml"/><Relationship Id="rId95" Type="http://schemas.openxmlformats.org/officeDocument/2006/relationships/footer" Target="footer4.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4.xml"/><Relationship Id="rId100" Type="http://schemas.openxmlformats.org/officeDocument/2006/relationships/chart" Target="charts/chart80.xml"/><Relationship Id="rId105" Type="http://schemas.openxmlformats.org/officeDocument/2006/relationships/image" Target="media/image4.wmf"/><Relationship Id="rId113" Type="http://schemas.openxmlformats.org/officeDocument/2006/relationships/hyperlink" Target="file:///C:\Users\Ilsiar1\Desktop\17%20&#1072;&#1074;&#1075;&#1091;&#1089;&#1090;&#1072;%202016\&#1079;&#1072;&#1082;&#1091;&#1087;&#1082;&#1080;\2017\&#1079;&#1072;&#1082;&#1091;&#1087;&#1082;&#1080;\4%20&#1053;&#1048;&#1056;%20&#1057;&#1090;&#1088;&#1072;&#1090;&#1077;&#1075;&#1080;&#1103;\&#1086;&#1084;&#1079;\4%20&#1090;&#1079;.docx" TargetMode="External"/><Relationship Id="rId118" Type="http://schemas.openxmlformats.org/officeDocument/2006/relationships/chart" Target="charts/chart87.xml"/><Relationship Id="rId126" Type="http://schemas.openxmlformats.org/officeDocument/2006/relationships/chart" Target="charts/chart95.xml"/><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41.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chart" Target="charts/chart71.xml"/><Relationship Id="rId93" Type="http://schemas.openxmlformats.org/officeDocument/2006/relationships/chart" Target="charts/chart79.xml"/><Relationship Id="rId98" Type="http://schemas.openxmlformats.org/officeDocument/2006/relationships/diagramQuickStyle" Target="diagrams/quickStyle1.xml"/><Relationship Id="rId121" Type="http://schemas.openxmlformats.org/officeDocument/2006/relationships/chart" Target="charts/chart90.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5.xml"/><Relationship Id="rId103" Type="http://schemas.openxmlformats.org/officeDocument/2006/relationships/chart" Target="charts/chart83.xml"/><Relationship Id="rId108" Type="http://schemas.openxmlformats.org/officeDocument/2006/relationships/oleObject" Target="embeddings/oleObject2.bin"/><Relationship Id="rId116" Type="http://schemas.openxmlformats.org/officeDocument/2006/relationships/chart" Target="charts/chart85.xml"/><Relationship Id="rId124" Type="http://schemas.openxmlformats.org/officeDocument/2006/relationships/chart" Target="charts/chart93.xml"/><Relationship Id="rId129" Type="http://schemas.openxmlformats.org/officeDocument/2006/relationships/chart" Target="charts/chart98.xml"/><Relationship Id="rId137"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image" Target="media/image3.emf"/><Relationship Id="rId70" Type="http://schemas.openxmlformats.org/officeDocument/2006/relationships/footer" Target="footer1.xml"/><Relationship Id="rId75" Type="http://schemas.openxmlformats.org/officeDocument/2006/relationships/chart" Target="charts/chart62.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diagramData" Target="diagrams/data1.xml"/><Relationship Id="rId111" Type="http://schemas.openxmlformats.org/officeDocument/2006/relationships/image" Target="media/image7.wmf"/><Relationship Id="rId132" Type="http://schemas.openxmlformats.org/officeDocument/2006/relationships/chart" Target="charts/chart10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oleObject" Target="embeddings/oleObject1.bin"/><Relationship Id="rId114" Type="http://schemas.openxmlformats.org/officeDocument/2006/relationships/hyperlink" Target="file:///C:\Users\Ilsiar1\Desktop\17%20&#1072;&#1074;&#1075;&#1091;&#1089;&#1090;&#1072;%202016\&#1079;&#1072;&#1082;&#1091;&#1087;&#1082;&#1080;\2017\&#1079;&#1072;&#1082;&#1091;&#1087;&#1082;&#1080;\4%20&#1053;&#1048;&#1056;%20&#1057;&#1090;&#1088;&#1072;&#1090;&#1077;&#1075;&#1080;&#1103;\&#1086;&#1084;&#1079;\4%20&#1090;&#1079;.docx" TargetMode="External"/><Relationship Id="rId119" Type="http://schemas.openxmlformats.org/officeDocument/2006/relationships/chart" Target="charts/chart88.xml"/><Relationship Id="rId127" Type="http://schemas.openxmlformats.org/officeDocument/2006/relationships/chart" Target="charts/chart96.xml"/><Relationship Id="rId10" Type="http://schemas.openxmlformats.org/officeDocument/2006/relationships/chart" Target="charts/chart2.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3.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2.xml"/><Relationship Id="rId94" Type="http://schemas.openxmlformats.org/officeDocument/2006/relationships/footer" Target="footer3.xml"/><Relationship Id="rId99" Type="http://schemas.openxmlformats.org/officeDocument/2006/relationships/diagramColors" Target="diagrams/colors1.xml"/><Relationship Id="rId101" Type="http://schemas.openxmlformats.org/officeDocument/2006/relationships/chart" Target="charts/chart81.xml"/><Relationship Id="rId122" Type="http://schemas.openxmlformats.org/officeDocument/2006/relationships/chart" Target="charts/chart91.xml"/><Relationship Id="rId130" Type="http://schemas.openxmlformats.org/officeDocument/2006/relationships/chart" Target="charts/chart99.xml"/><Relationship Id="rId13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package" Target="embeddings/_____Microsoft_Office_Excel1.xlsx"/><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image" Target="media/image6.wmf"/><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3.xml"/><Relationship Id="rId97" Type="http://schemas.openxmlformats.org/officeDocument/2006/relationships/diagramLayout" Target="diagrams/layout1.xml"/><Relationship Id="rId104" Type="http://schemas.openxmlformats.org/officeDocument/2006/relationships/hyperlink" Target="file:///C:\Documents%20and%20Settings\user\&#1056;&#1072;&#1073;&#1086;&#1095;&#1080;&#1081;%20&#1089;&#1090;&#1086;&#1083;\1_&#1082;%20&#1057;&#1069;&#1056;.docx" TargetMode="External"/><Relationship Id="rId120" Type="http://schemas.openxmlformats.org/officeDocument/2006/relationships/chart" Target="charts/chart89.xml"/><Relationship Id="rId125" Type="http://schemas.openxmlformats.org/officeDocument/2006/relationships/chart" Target="charts/chart94.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8.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4.xml"/><Relationship Id="rId87" Type="http://schemas.openxmlformats.org/officeDocument/2006/relationships/chart" Target="charts/chart73.xml"/><Relationship Id="rId110" Type="http://schemas.openxmlformats.org/officeDocument/2006/relationships/oleObject" Target="embeddings/oleObject3.bin"/><Relationship Id="rId115" Type="http://schemas.openxmlformats.org/officeDocument/2006/relationships/chart" Target="charts/chart84.xml"/><Relationship Id="rId131" Type="http://schemas.openxmlformats.org/officeDocument/2006/relationships/chart" Target="charts/chart100.xml"/><Relationship Id="rId136" Type="http://schemas.openxmlformats.org/officeDocument/2006/relationships/fontTable" Target="fontTable.xml"/><Relationship Id="rId61" Type="http://schemas.openxmlformats.org/officeDocument/2006/relationships/chart" Target="charts/chart51.xml"/><Relationship Id="rId82" Type="http://schemas.openxmlformats.org/officeDocument/2006/relationships/footer" Target="footer2.xml"/><Relationship Id="rId19"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00.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01.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02.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79;&#1072;&#1073;&#1086;&#1083;&#1077;&#1074;&#1072;&#1085;&#1080;&#1103;%20&#1085;&#1072;&#1089;&#1077;&#1083;&#1077;&#1085;&#1080;&#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055;&#1077;&#1088;&#1084;&#1100;,%20&#1041;&#1072;&#1088;&#1076;&#1099;\&#1055;&#1088;&#1086;&#1075;&#1085;&#1086;&#1079;%20&#1088;&#1072;&#1079;&#1074;&#1080;&#1090;&#1080;&#1103;%20&#1041;&#1072;&#1088;&#1076;&#1099;%2021.0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K:\&#1055;&#1077;&#1088;&#1084;&#1100;,%20&#1041;&#1072;&#1088;&#1076;&#1099;\&#1057;&#1086;&#1094;-&#1101;&#1082;&#1086;&#1085;.%20&#1087;&#1086;&#1082;&#1072;&#1079;&#1072;&#1090;&#1077;&#1083;&#1080;%2015.09.201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1041;&#1072;&#1088;&#1076;&#1099;%20&#1076;&#1077;&#1084;&#1086;&#1075;&#1088;&#1072;&#1092;&#1080;&#110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K:\&#1055;&#1077;&#1088;&#1084;&#1100;,%20&#1041;&#1072;&#1088;&#1076;&#1099;\&#1057;&#1086;&#1094;-&#1101;&#1082;&#1086;&#1085;.%20&#1087;&#1086;&#1082;&#1072;&#1079;&#1072;&#1090;&#1077;&#1083;&#1080;%2015.09.2017.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G:\&#1055;&#1077;&#1088;&#1084;&#1100;,%20&#1041;&#1072;&#1088;&#1076;&#1099;\&#1076;&#1086;&#1093;&#1086;&#1076;&#1099;%20&#1050;&#1041;%202006-2017.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G:\&#1055;&#1077;&#1088;&#1084;&#1100;,%20&#1041;&#1072;&#1088;&#1076;&#1099;\&#1076;&#1086;&#1093;&#1086;&#1076;&#1099;%20&#1050;&#1041;%202006-2017.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H:\&#1055;&#1077;&#1088;&#1084;&#1100;,%20&#1041;&#1072;&#1088;&#1076;&#1099;\&#1042;&#1072;&#1088;&#1080;&#1072;&#1085;&#1090;&#1099;%20&#1088;&#1072;&#1073;&#1086;&#1090;&#1099;\&#1041;&#1102;&#1076;&#1078;&#1077;&#1090;&#1041;&#1072;&#1088;&#1076;&#1072;.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K:\&#1055;&#1077;&#1088;&#1084;&#1100;,%20&#1041;&#1072;&#1088;&#1076;&#1099;\&#1042;&#1072;&#1088;&#1080;&#1072;&#1085;&#1090;&#1099;%20&#1088;&#1072;&#1073;&#1086;&#1090;&#1099;\&#1041;&#1102;&#1076;&#1078;&#1077;&#1090;&#1041;&#1072;&#1088;&#1076;&#107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K:\&#1055;&#1077;&#1088;&#1084;&#1100;,%20&#1041;&#1072;&#1088;&#1076;&#1099;\&#1042;&#1072;&#1088;&#1080;&#1072;&#1085;&#1090;&#1099;%20&#1088;&#1072;&#1073;&#1086;&#1090;&#1099;\&#1041;&#1102;&#1076;&#1078;&#1077;&#1090;&#1041;&#1072;&#1088;&#1076;&#1072;.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Report%20(34)%20(&#1042;&#1086;&#1089;&#1089;&#1090;&#1072;&#1085;&#1086;&#1074;&#1083;&#1077;&#1085;&#1085;&#1099;&#1081;).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Report%20(34)%20(&#1042;&#1086;&#1089;&#1089;&#1090;&#1072;&#1085;&#1086;&#1074;&#1083;&#1077;&#1085;&#1085;&#1099;&#1081;).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91.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2.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3.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4.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5.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6.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7.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8.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9.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rotY val="37"/>
      <c:perspective val="30"/>
    </c:view3D>
    <c:plotArea>
      <c:layout/>
      <c:pie3DChart>
        <c:varyColors val="1"/>
        <c:ser>
          <c:idx val="0"/>
          <c:order val="0"/>
          <c:dLbls>
            <c:dLbl>
              <c:idx val="3"/>
              <c:layout>
                <c:manualLayout>
                  <c:x val="1.4667389492536848E-3"/>
                  <c:y val="0.1493523643926979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F3-4E1F-9134-5319D9EE60EF}"/>
                </c:ext>
              </c:extLst>
            </c:dLbl>
            <c:spPr>
              <a:noFill/>
              <a:ln>
                <a:noFill/>
              </a:ln>
              <a:effectLst/>
            </c:spPr>
            <c:txPr>
              <a:bodyPr/>
              <a:lstStyle/>
              <a:p>
                <a:pPr>
                  <a:defRPr sz="900" baseline="0">
                    <a:latin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'Плотность населения'!$A$5:$A$16</c:f>
              <c:strCache>
                <c:ptCount val="12"/>
                <c:pt idx="0">
                  <c:v>Бардымское сельское поселение</c:v>
                </c:pt>
                <c:pt idx="1">
                  <c:v>Красноярское сельское поселение</c:v>
                </c:pt>
                <c:pt idx="2">
                  <c:v>Елпачихинское сельское поселение</c:v>
                </c:pt>
                <c:pt idx="3">
                  <c:v>Сарашевское сельское поселение</c:v>
                </c:pt>
                <c:pt idx="4">
                  <c:v>Березниковское сельское поселение</c:v>
                </c:pt>
                <c:pt idx="5">
                  <c:v>Бичуринское сельское поселение</c:v>
                </c:pt>
                <c:pt idx="6">
                  <c:v>Брюзлинское сельское поселение</c:v>
                </c:pt>
                <c:pt idx="7">
                  <c:v>Тюндюковское сельское поселение</c:v>
                </c:pt>
                <c:pt idx="8">
                  <c:v>Печменское сельское поселение</c:v>
                </c:pt>
                <c:pt idx="9">
                  <c:v>Федорковское сельское поселение</c:v>
                </c:pt>
                <c:pt idx="10">
                  <c:v>Новоашапское сельское поселение</c:v>
                </c:pt>
                <c:pt idx="11">
                  <c:v>Шермейское сельское поселение</c:v>
                </c:pt>
              </c:strCache>
            </c:strRef>
          </c:cat>
          <c:val>
            <c:numRef>
              <c:f>'Плотность населения'!$E$5:$E$16</c:f>
              <c:numCache>
                <c:formatCode>0.0%</c:formatCode>
                <c:ptCount val="12"/>
                <c:pt idx="0">
                  <c:v>0.38855719425883267</c:v>
                </c:pt>
                <c:pt idx="1">
                  <c:v>8.8924914001028268E-2</c:v>
                </c:pt>
                <c:pt idx="2">
                  <c:v>7.5758174844808138E-2</c:v>
                </c:pt>
                <c:pt idx="3">
                  <c:v>9.8335376220791915E-2</c:v>
                </c:pt>
                <c:pt idx="4">
                  <c:v>5.3932228856116628E-2</c:v>
                </c:pt>
                <c:pt idx="5">
                  <c:v>6.5319678937172693E-2</c:v>
                </c:pt>
                <c:pt idx="6">
                  <c:v>3.1315487722905412E-2</c:v>
                </c:pt>
                <c:pt idx="7">
                  <c:v>5.1876161480368506E-2</c:v>
                </c:pt>
                <c:pt idx="8">
                  <c:v>6.3540389862006302E-2</c:v>
                </c:pt>
                <c:pt idx="9">
                  <c:v>4.6815072555454466E-2</c:v>
                </c:pt>
                <c:pt idx="10">
                  <c:v>1.6685777549326243E-2</c:v>
                </c:pt>
                <c:pt idx="11">
                  <c:v>1.8939543711201625E-2</c:v>
                </c:pt>
              </c:numCache>
            </c:numRef>
          </c:val>
          <c:extLst xmlns:c16r2="http://schemas.microsoft.com/office/drawing/2015/06/chart">
            <c:ext xmlns:c16="http://schemas.microsoft.com/office/drawing/2014/chart" uri="{C3380CC4-5D6E-409C-BE32-E72D297353CC}">
              <c16:uniqueId val="{00000001-42F3-4E1F-9134-5319D9EE60EF}"/>
            </c:ext>
          </c:extLst>
        </c:ser>
      </c:pie3DChart>
    </c:plotArea>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'Соц. образование'!$C$12</c:f>
              <c:strCache>
                <c:ptCount val="1"/>
                <c:pt idx="0">
                  <c:v> обучающиеся во 2-3 смену, человек</c:v>
                </c:pt>
              </c:strCache>
            </c:strRef>
          </c:tx>
          <c:dLbls>
            <c:spPr>
              <a:noFill/>
              <a:ln>
                <a:noFill/>
              </a:ln>
              <a:effectLst/>
            </c:spPr>
            <c:txPr>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'Соц. образование'!$B$13:$B$19</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образование'!$C$13:$C$19</c:f>
              <c:numCache>
                <c:formatCode>General</c:formatCode>
                <c:ptCount val="7"/>
                <c:pt idx="0">
                  <c:v>26</c:v>
                </c:pt>
                <c:pt idx="1">
                  <c:v>443</c:v>
                </c:pt>
                <c:pt idx="2">
                  <c:v>457</c:v>
                </c:pt>
                <c:pt idx="3">
                  <c:v>398</c:v>
                </c:pt>
                <c:pt idx="4">
                  <c:v>355</c:v>
                </c:pt>
                <c:pt idx="5">
                  <c:v>449</c:v>
                </c:pt>
                <c:pt idx="6">
                  <c:v>381</c:v>
                </c:pt>
              </c:numCache>
            </c:numRef>
          </c:val>
          <c:extLst xmlns:c16r2="http://schemas.microsoft.com/office/drawing/2015/06/chart">
            <c:ext xmlns:c16="http://schemas.microsoft.com/office/drawing/2014/chart" uri="{C3380CC4-5D6E-409C-BE32-E72D297353CC}">
              <c16:uniqueId val="{00000000-0115-44D3-8322-DBD51426005D}"/>
            </c:ext>
          </c:extLst>
        </c:ser>
        <c:axId val="90649728"/>
        <c:axId val="90651264"/>
      </c:barChart>
      <c:catAx>
        <c:axId val="90649728"/>
        <c:scaling>
          <c:orientation val="minMax"/>
        </c:scaling>
        <c:axPos val="b"/>
        <c:numFmt formatCode="General" sourceLinked="0"/>
        <c:tickLblPos val="nextTo"/>
        <c:crossAx val="90651264"/>
        <c:crosses val="autoZero"/>
        <c:auto val="1"/>
        <c:lblAlgn val="ctr"/>
        <c:lblOffset val="100"/>
      </c:catAx>
      <c:valAx>
        <c:axId val="90651264"/>
        <c:scaling>
          <c:orientation val="minMax"/>
        </c:scaling>
        <c:axPos val="l"/>
        <c:majorGridlines/>
        <c:numFmt formatCode="General" sourceLinked="1"/>
        <c:tickLblPos val="nextTo"/>
        <c:crossAx val="90649728"/>
        <c:crosses val="autoZero"/>
        <c:crossBetween val="between"/>
      </c:valAx>
    </c:plotArea>
    <c:plotVisOnly val="1"/>
    <c:dispBlanksAs val="gap"/>
  </c:chart>
  <c:spPr>
    <a:ln>
      <a:noFill/>
    </a:ln>
  </c:sp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Лист9!$C$74</c:f>
              <c:strCache>
                <c:ptCount val="1"/>
                <c:pt idx="0">
                  <c:v>доходы</c:v>
                </c:pt>
              </c:strCache>
            </c:strRef>
          </c:tx>
          <c:spPr>
            <a:noFill/>
          </c:spPr>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Лист9!$C$75:$C$81</c:f>
              <c:numCache>
                <c:formatCode>General</c:formatCode>
                <c:ptCount val="7"/>
                <c:pt idx="0">
                  <c:v>5508</c:v>
                </c:pt>
                <c:pt idx="1">
                  <c:v>5753.5</c:v>
                </c:pt>
                <c:pt idx="2">
                  <c:v>6359.6</c:v>
                </c:pt>
                <c:pt idx="3">
                  <c:v>7200</c:v>
                </c:pt>
                <c:pt idx="4">
                  <c:v>7060.4000000000005</c:v>
                </c:pt>
                <c:pt idx="5">
                  <c:v>8161.2999999999993</c:v>
                </c:pt>
                <c:pt idx="6">
                  <c:v>9126.7000000000007</c:v>
                </c:pt>
              </c:numCache>
            </c:numRef>
          </c:val>
          <c:extLst xmlns:c16r2="http://schemas.microsoft.com/office/drawing/2015/06/chart">
            <c:ext xmlns:c16="http://schemas.microsoft.com/office/drawing/2014/chart" uri="{C3380CC4-5D6E-409C-BE32-E72D297353CC}">
              <c16:uniqueId val="{00000000-8A00-4714-ABA0-07C1196DAB2E}"/>
            </c:ext>
          </c:extLst>
        </c:ser>
        <c:ser>
          <c:idx val="1"/>
          <c:order val="1"/>
          <c:tx>
            <c:strRef>
              <c:f>Лист9!$E$74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Лист9!$E$75:$E$81</c:f>
              <c:numCache>
                <c:formatCode>General</c:formatCode>
                <c:ptCount val="7"/>
                <c:pt idx="0">
                  <c:v>-93.899999999999636</c:v>
                </c:pt>
                <c:pt idx="1">
                  <c:v>-544.5</c:v>
                </c:pt>
                <c:pt idx="2">
                  <c:v>-12.200000000000728</c:v>
                </c:pt>
                <c:pt idx="3">
                  <c:v>-100.60000000000035</c:v>
                </c:pt>
                <c:pt idx="4">
                  <c:v>119.19999999999982</c:v>
                </c:pt>
                <c:pt idx="5">
                  <c:v>41</c:v>
                </c:pt>
                <c:pt idx="6">
                  <c:v>-111.10000000000035</c:v>
                </c:pt>
              </c:numCache>
            </c:numRef>
          </c:val>
          <c:extLst xmlns:c16r2="http://schemas.microsoft.com/office/drawing/2015/06/chart">
            <c:ext xmlns:c16="http://schemas.microsoft.com/office/drawing/2014/chart" uri="{C3380CC4-5D6E-409C-BE32-E72D297353CC}">
              <c16:uniqueId val="{00000001-8A00-4714-ABA0-07C1196DAB2E}"/>
            </c:ext>
          </c:extLst>
        </c:ser>
        <c:axId val="193005440"/>
        <c:axId val="193006976"/>
      </c:areaChart>
      <c:lineChart>
        <c:grouping val="standard"/>
        <c:ser>
          <c:idx val="2"/>
          <c:order val="2"/>
          <c:tx>
            <c:strRef>
              <c:f>Лист9!$C$74</c:f>
              <c:strCache>
                <c:ptCount val="1"/>
                <c:pt idx="0">
                  <c:v>доходы</c:v>
                </c:pt>
              </c:strCache>
            </c:strRef>
          </c:tx>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Лист9!$C$75:$C$81</c:f>
              <c:numCache>
                <c:formatCode>General</c:formatCode>
                <c:ptCount val="7"/>
                <c:pt idx="0">
                  <c:v>5508</c:v>
                </c:pt>
                <c:pt idx="1">
                  <c:v>5753.5</c:v>
                </c:pt>
                <c:pt idx="2">
                  <c:v>6359.6</c:v>
                </c:pt>
                <c:pt idx="3">
                  <c:v>7200</c:v>
                </c:pt>
                <c:pt idx="4">
                  <c:v>7060.4000000000005</c:v>
                </c:pt>
                <c:pt idx="5">
                  <c:v>8161.2999999999993</c:v>
                </c:pt>
                <c:pt idx="6">
                  <c:v>9126.7000000000007</c:v>
                </c:pt>
              </c:numCache>
            </c:numRef>
          </c:val>
          <c:extLst xmlns:c16r2="http://schemas.microsoft.com/office/drawing/2015/06/chart">
            <c:ext xmlns:c16="http://schemas.microsoft.com/office/drawing/2014/chart" uri="{C3380CC4-5D6E-409C-BE32-E72D297353CC}">
              <c16:uniqueId val="{00000002-8A00-4714-ABA0-07C1196DAB2E}"/>
            </c:ext>
          </c:extLst>
        </c:ser>
        <c:ser>
          <c:idx val="3"/>
          <c:order val="3"/>
          <c:tx>
            <c:strRef>
              <c:f>Лист9!$D$74</c:f>
              <c:strCache>
                <c:ptCount val="1"/>
                <c:pt idx="0">
                  <c:v>расходы</c:v>
                </c:pt>
              </c:strCache>
            </c:strRef>
          </c:tx>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Лист9!$D$75:$D$81</c:f>
              <c:numCache>
                <c:formatCode>General</c:formatCode>
                <c:ptCount val="7"/>
                <c:pt idx="0">
                  <c:v>5414.1</c:v>
                </c:pt>
                <c:pt idx="1">
                  <c:v>5209</c:v>
                </c:pt>
                <c:pt idx="2">
                  <c:v>6347.4</c:v>
                </c:pt>
                <c:pt idx="3">
                  <c:v>7099.4</c:v>
                </c:pt>
                <c:pt idx="4">
                  <c:v>7179.6</c:v>
                </c:pt>
                <c:pt idx="5">
                  <c:v>8202.2999999999811</c:v>
                </c:pt>
                <c:pt idx="6">
                  <c:v>9015.6</c:v>
                </c:pt>
              </c:numCache>
            </c:numRef>
          </c:val>
          <c:extLst xmlns:c16r2="http://schemas.microsoft.com/office/drawing/2015/06/chart">
            <c:ext xmlns:c16="http://schemas.microsoft.com/office/drawing/2014/chart" uri="{C3380CC4-5D6E-409C-BE32-E72D297353CC}">
              <c16:uniqueId val="{00000003-8A00-4714-ABA0-07C1196DAB2E}"/>
            </c:ext>
          </c:extLst>
        </c:ser>
        <c:marker val="1"/>
        <c:axId val="193005440"/>
        <c:axId val="193006976"/>
      </c:lineChart>
      <c:catAx>
        <c:axId val="193005440"/>
        <c:scaling>
          <c:orientation val="minMax"/>
        </c:scaling>
        <c:axPos val="b"/>
        <c:numFmt formatCode="General" sourceLinked="0"/>
        <c:tickLblPos val="nextTo"/>
        <c:crossAx val="193006976"/>
        <c:crosses val="autoZero"/>
        <c:auto val="1"/>
        <c:lblAlgn val="ctr"/>
        <c:lblOffset val="100"/>
      </c:catAx>
      <c:valAx>
        <c:axId val="193006976"/>
        <c:scaling>
          <c:orientation val="minMax"/>
        </c:scaling>
        <c:axPos val="l"/>
        <c:majorGridlines/>
        <c:numFmt formatCode="General" sourceLinked="1"/>
        <c:tickLblPos val="nextTo"/>
        <c:crossAx val="193005440"/>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Лист9!$C$82</c:f>
              <c:strCache>
                <c:ptCount val="1"/>
                <c:pt idx="0">
                  <c:v>доходы</c:v>
                </c:pt>
              </c:strCache>
            </c:strRef>
          </c:tx>
          <c:spPr>
            <a:noFill/>
          </c:spPr>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Лист9!$C$83:$C$89</c:f>
              <c:numCache>
                <c:formatCode>General</c:formatCode>
                <c:ptCount val="7"/>
                <c:pt idx="0">
                  <c:v>4311</c:v>
                </c:pt>
                <c:pt idx="1">
                  <c:v>4781.7</c:v>
                </c:pt>
                <c:pt idx="2">
                  <c:v>5723.9</c:v>
                </c:pt>
                <c:pt idx="3">
                  <c:v>5840.2999999999993</c:v>
                </c:pt>
                <c:pt idx="4">
                  <c:v>5607.8</c:v>
                </c:pt>
                <c:pt idx="5">
                  <c:v>6899</c:v>
                </c:pt>
                <c:pt idx="6">
                  <c:v>6331.2000000000007</c:v>
                </c:pt>
              </c:numCache>
            </c:numRef>
          </c:val>
          <c:extLst xmlns:c16r2="http://schemas.microsoft.com/office/drawing/2015/06/chart">
            <c:ext xmlns:c16="http://schemas.microsoft.com/office/drawing/2014/chart" uri="{C3380CC4-5D6E-409C-BE32-E72D297353CC}">
              <c16:uniqueId val="{00000000-C4CB-430F-A11C-BD1F622424C7}"/>
            </c:ext>
          </c:extLst>
        </c:ser>
        <c:ser>
          <c:idx val="1"/>
          <c:order val="1"/>
          <c:tx>
            <c:strRef>
              <c:f>Лист9!$E$82</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Лист9!$E$83:$E$89</c:f>
              <c:numCache>
                <c:formatCode>General</c:formatCode>
                <c:ptCount val="7"/>
                <c:pt idx="0">
                  <c:v>-4.6999999999998181</c:v>
                </c:pt>
                <c:pt idx="1">
                  <c:v>-30.699999999999818</c:v>
                </c:pt>
                <c:pt idx="2">
                  <c:v>-33.399999999999636</c:v>
                </c:pt>
                <c:pt idx="3">
                  <c:v>185.30000000000109</c:v>
                </c:pt>
                <c:pt idx="4">
                  <c:v>-1088</c:v>
                </c:pt>
                <c:pt idx="5">
                  <c:v>-34.600000000000364</c:v>
                </c:pt>
                <c:pt idx="6">
                  <c:v>-66.300000000001049</c:v>
                </c:pt>
              </c:numCache>
            </c:numRef>
          </c:val>
          <c:extLst xmlns:c16r2="http://schemas.microsoft.com/office/drawing/2015/06/chart">
            <c:ext xmlns:c16="http://schemas.microsoft.com/office/drawing/2014/chart" uri="{C3380CC4-5D6E-409C-BE32-E72D297353CC}">
              <c16:uniqueId val="{00000001-C4CB-430F-A11C-BD1F622424C7}"/>
            </c:ext>
          </c:extLst>
        </c:ser>
        <c:axId val="193082496"/>
        <c:axId val="193084032"/>
      </c:areaChart>
      <c:lineChart>
        <c:grouping val="standard"/>
        <c:ser>
          <c:idx val="2"/>
          <c:order val="2"/>
          <c:tx>
            <c:strRef>
              <c:f>Лист9!$C$82</c:f>
              <c:strCache>
                <c:ptCount val="1"/>
                <c:pt idx="0">
                  <c:v>доходы</c:v>
                </c:pt>
              </c:strCache>
            </c:strRef>
          </c:tx>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Лист9!$C$83:$C$89</c:f>
              <c:numCache>
                <c:formatCode>General</c:formatCode>
                <c:ptCount val="7"/>
                <c:pt idx="0">
                  <c:v>4311</c:v>
                </c:pt>
                <c:pt idx="1">
                  <c:v>4781.7</c:v>
                </c:pt>
                <c:pt idx="2">
                  <c:v>5723.9</c:v>
                </c:pt>
                <c:pt idx="3">
                  <c:v>5840.2999999999993</c:v>
                </c:pt>
                <c:pt idx="4">
                  <c:v>5607.8</c:v>
                </c:pt>
                <c:pt idx="5">
                  <c:v>6899</c:v>
                </c:pt>
                <c:pt idx="6">
                  <c:v>6331.2000000000007</c:v>
                </c:pt>
              </c:numCache>
            </c:numRef>
          </c:val>
          <c:extLst xmlns:c16r2="http://schemas.microsoft.com/office/drawing/2015/06/chart">
            <c:ext xmlns:c16="http://schemas.microsoft.com/office/drawing/2014/chart" uri="{C3380CC4-5D6E-409C-BE32-E72D297353CC}">
              <c16:uniqueId val="{00000002-C4CB-430F-A11C-BD1F622424C7}"/>
            </c:ext>
          </c:extLst>
        </c:ser>
        <c:ser>
          <c:idx val="3"/>
          <c:order val="3"/>
          <c:tx>
            <c:strRef>
              <c:f>Лист9!$D$82</c:f>
              <c:strCache>
                <c:ptCount val="1"/>
                <c:pt idx="0">
                  <c:v>расходы</c:v>
                </c:pt>
              </c:strCache>
            </c:strRef>
          </c:tx>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Лист9!$D$83:$D$89</c:f>
              <c:numCache>
                <c:formatCode>General</c:formatCode>
                <c:ptCount val="7"/>
                <c:pt idx="0">
                  <c:v>4306.3</c:v>
                </c:pt>
                <c:pt idx="1">
                  <c:v>4751</c:v>
                </c:pt>
                <c:pt idx="2">
                  <c:v>5690.5</c:v>
                </c:pt>
                <c:pt idx="3">
                  <c:v>6025.6</c:v>
                </c:pt>
                <c:pt idx="4">
                  <c:v>4519.8</c:v>
                </c:pt>
                <c:pt idx="5">
                  <c:v>6864.4</c:v>
                </c:pt>
                <c:pt idx="6">
                  <c:v>6264.9</c:v>
                </c:pt>
              </c:numCache>
            </c:numRef>
          </c:val>
          <c:extLst xmlns:c16r2="http://schemas.microsoft.com/office/drawing/2015/06/chart">
            <c:ext xmlns:c16="http://schemas.microsoft.com/office/drawing/2014/chart" uri="{C3380CC4-5D6E-409C-BE32-E72D297353CC}">
              <c16:uniqueId val="{00000003-C4CB-430F-A11C-BD1F622424C7}"/>
            </c:ext>
          </c:extLst>
        </c:ser>
        <c:marker val="1"/>
        <c:axId val="193082496"/>
        <c:axId val="193084032"/>
      </c:lineChart>
      <c:catAx>
        <c:axId val="193082496"/>
        <c:scaling>
          <c:orientation val="minMax"/>
        </c:scaling>
        <c:axPos val="b"/>
        <c:numFmt formatCode="General" sourceLinked="0"/>
        <c:tickLblPos val="nextTo"/>
        <c:crossAx val="193084032"/>
        <c:crosses val="autoZero"/>
        <c:auto val="1"/>
        <c:lblAlgn val="ctr"/>
        <c:lblOffset val="100"/>
      </c:catAx>
      <c:valAx>
        <c:axId val="193084032"/>
        <c:scaling>
          <c:orientation val="minMax"/>
        </c:scaling>
        <c:axPos val="l"/>
        <c:majorGridlines/>
        <c:numFmt formatCode="General" sourceLinked="1"/>
        <c:tickLblPos val="nextTo"/>
        <c:crossAx val="19308249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Лист9!$C$90</c:f>
              <c:strCache>
                <c:ptCount val="1"/>
                <c:pt idx="0">
                  <c:v>доходы</c:v>
                </c:pt>
              </c:strCache>
            </c:strRef>
          </c:tx>
          <c:spPr>
            <a:noFill/>
          </c:spPr>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Лист9!$C$91:$C$97</c:f>
              <c:numCache>
                <c:formatCode>General</c:formatCode>
                <c:ptCount val="7"/>
                <c:pt idx="0">
                  <c:v>3735</c:v>
                </c:pt>
                <c:pt idx="1">
                  <c:v>3262.4</c:v>
                </c:pt>
                <c:pt idx="2">
                  <c:v>4239.8</c:v>
                </c:pt>
                <c:pt idx="3">
                  <c:v>5121.7</c:v>
                </c:pt>
                <c:pt idx="4">
                  <c:v>4361.7000000000007</c:v>
                </c:pt>
                <c:pt idx="5">
                  <c:v>4938.4000000000005</c:v>
                </c:pt>
                <c:pt idx="6">
                  <c:v>4573.1000000000004</c:v>
                </c:pt>
              </c:numCache>
            </c:numRef>
          </c:val>
          <c:extLst xmlns:c16r2="http://schemas.microsoft.com/office/drawing/2015/06/chart">
            <c:ext xmlns:c16="http://schemas.microsoft.com/office/drawing/2014/chart" uri="{C3380CC4-5D6E-409C-BE32-E72D297353CC}">
              <c16:uniqueId val="{00000000-BF05-4EC3-8F95-ECC438F706D8}"/>
            </c:ext>
          </c:extLst>
        </c:ser>
        <c:ser>
          <c:idx val="1"/>
          <c:order val="1"/>
          <c:tx>
            <c:strRef>
              <c:f>Лист9!$E$90</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Лист9!$E$91:$E$97</c:f>
              <c:numCache>
                <c:formatCode>General</c:formatCode>
                <c:ptCount val="7"/>
                <c:pt idx="0">
                  <c:v>75.099999999999923</c:v>
                </c:pt>
                <c:pt idx="1">
                  <c:v>-49.200000000000273</c:v>
                </c:pt>
                <c:pt idx="2">
                  <c:v>-8.6999999999998217</c:v>
                </c:pt>
                <c:pt idx="3">
                  <c:v>-624.80000000000018</c:v>
                </c:pt>
                <c:pt idx="4">
                  <c:v>686.49999999999909</c:v>
                </c:pt>
                <c:pt idx="5">
                  <c:v>-165.70000000000073</c:v>
                </c:pt>
                <c:pt idx="6">
                  <c:v>-3.3000000000001797</c:v>
                </c:pt>
              </c:numCache>
            </c:numRef>
          </c:val>
          <c:extLst xmlns:c16r2="http://schemas.microsoft.com/office/drawing/2015/06/chart">
            <c:ext xmlns:c16="http://schemas.microsoft.com/office/drawing/2014/chart" uri="{C3380CC4-5D6E-409C-BE32-E72D297353CC}">
              <c16:uniqueId val="{00000001-BF05-4EC3-8F95-ECC438F706D8}"/>
            </c:ext>
          </c:extLst>
        </c:ser>
        <c:axId val="193141376"/>
        <c:axId val="193159552"/>
      </c:areaChart>
      <c:lineChart>
        <c:grouping val="standard"/>
        <c:ser>
          <c:idx val="2"/>
          <c:order val="2"/>
          <c:tx>
            <c:strRef>
              <c:f>Лист9!$C$90</c:f>
              <c:strCache>
                <c:ptCount val="1"/>
                <c:pt idx="0">
                  <c:v>доходы</c:v>
                </c:pt>
              </c:strCache>
            </c:strRef>
          </c:tx>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Лист9!$C$91:$C$97</c:f>
              <c:numCache>
                <c:formatCode>General</c:formatCode>
                <c:ptCount val="7"/>
                <c:pt idx="0">
                  <c:v>3735</c:v>
                </c:pt>
                <c:pt idx="1">
                  <c:v>3262.4</c:v>
                </c:pt>
                <c:pt idx="2">
                  <c:v>4239.8</c:v>
                </c:pt>
                <c:pt idx="3">
                  <c:v>5121.7</c:v>
                </c:pt>
                <c:pt idx="4">
                  <c:v>4361.7000000000007</c:v>
                </c:pt>
                <c:pt idx="5">
                  <c:v>4938.4000000000005</c:v>
                </c:pt>
                <c:pt idx="6">
                  <c:v>4573.1000000000004</c:v>
                </c:pt>
              </c:numCache>
            </c:numRef>
          </c:val>
          <c:extLst xmlns:c16r2="http://schemas.microsoft.com/office/drawing/2015/06/chart">
            <c:ext xmlns:c16="http://schemas.microsoft.com/office/drawing/2014/chart" uri="{C3380CC4-5D6E-409C-BE32-E72D297353CC}">
              <c16:uniqueId val="{00000002-BF05-4EC3-8F95-ECC438F706D8}"/>
            </c:ext>
          </c:extLst>
        </c:ser>
        <c:ser>
          <c:idx val="3"/>
          <c:order val="3"/>
          <c:tx>
            <c:strRef>
              <c:f>Лист9!$D$90</c:f>
              <c:strCache>
                <c:ptCount val="1"/>
                <c:pt idx="0">
                  <c:v>расходы</c:v>
                </c:pt>
              </c:strCache>
            </c:strRef>
          </c:tx>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Лист9!$D$91:$D$97</c:f>
              <c:numCache>
                <c:formatCode>General</c:formatCode>
                <c:ptCount val="7"/>
                <c:pt idx="0">
                  <c:v>3810.1</c:v>
                </c:pt>
                <c:pt idx="1">
                  <c:v>3213.2</c:v>
                </c:pt>
                <c:pt idx="2">
                  <c:v>4231.1000000000004</c:v>
                </c:pt>
                <c:pt idx="3">
                  <c:v>4496.9000000000005</c:v>
                </c:pt>
                <c:pt idx="4">
                  <c:v>5048.2</c:v>
                </c:pt>
                <c:pt idx="5">
                  <c:v>4772.7</c:v>
                </c:pt>
                <c:pt idx="6">
                  <c:v>4569.8</c:v>
                </c:pt>
              </c:numCache>
            </c:numRef>
          </c:val>
          <c:extLst xmlns:c16r2="http://schemas.microsoft.com/office/drawing/2015/06/chart">
            <c:ext xmlns:c16="http://schemas.microsoft.com/office/drawing/2014/chart" uri="{C3380CC4-5D6E-409C-BE32-E72D297353CC}">
              <c16:uniqueId val="{00000003-BF05-4EC3-8F95-ECC438F706D8}"/>
            </c:ext>
          </c:extLst>
        </c:ser>
        <c:marker val="1"/>
        <c:axId val="193141376"/>
        <c:axId val="193159552"/>
      </c:lineChart>
      <c:catAx>
        <c:axId val="193141376"/>
        <c:scaling>
          <c:orientation val="minMax"/>
        </c:scaling>
        <c:axPos val="b"/>
        <c:numFmt formatCode="General" sourceLinked="0"/>
        <c:tickLblPos val="nextTo"/>
        <c:crossAx val="193159552"/>
        <c:crosses val="autoZero"/>
        <c:auto val="1"/>
        <c:lblAlgn val="ctr"/>
        <c:lblOffset val="100"/>
      </c:catAx>
      <c:valAx>
        <c:axId val="193159552"/>
        <c:scaling>
          <c:orientation val="minMax"/>
        </c:scaling>
        <c:axPos val="l"/>
        <c:majorGridlines/>
        <c:numFmt formatCode="General" sourceLinked="1"/>
        <c:tickLblPos val="nextTo"/>
        <c:crossAx val="193141376"/>
        <c:crosses val="autoZero"/>
        <c:crossBetween val="between"/>
      </c:valAx>
    </c:plotArea>
    <c:legend>
      <c:legendPos val="b"/>
      <c:legendEntry>
        <c:idx val="0"/>
        <c:delete val="1"/>
      </c:legendEntry>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'Соц. образование'!$C$37</c:f>
              <c:strCache>
                <c:ptCount val="1"/>
                <c:pt idx="0">
                  <c:v>Количество мест в детских дошкольных организациях, единиц</c:v>
                </c:pt>
              </c:strCache>
            </c:strRef>
          </c:tx>
          <c:dLbls>
            <c:dLbl>
              <c:idx val="1"/>
              <c:layout>
                <c:manualLayout>
                  <c:x val="2.222222222222225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38-4DF0-B211-15DBF250197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'Соц. образование'!$B$38:$B$44</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образование'!$C$38:$C$44</c:f>
              <c:numCache>
                <c:formatCode>General</c:formatCode>
                <c:ptCount val="7"/>
                <c:pt idx="0">
                  <c:v>991</c:v>
                </c:pt>
                <c:pt idx="1">
                  <c:v>1030</c:v>
                </c:pt>
                <c:pt idx="2">
                  <c:v>1290</c:v>
                </c:pt>
                <c:pt idx="3">
                  <c:v>1398</c:v>
                </c:pt>
                <c:pt idx="4">
                  <c:v>1651</c:v>
                </c:pt>
                <c:pt idx="5">
                  <c:v>1758</c:v>
                </c:pt>
                <c:pt idx="6">
                  <c:v>1922</c:v>
                </c:pt>
              </c:numCache>
            </c:numRef>
          </c:val>
          <c:extLst xmlns:c16r2="http://schemas.microsoft.com/office/drawing/2015/06/chart">
            <c:ext xmlns:c16="http://schemas.microsoft.com/office/drawing/2014/chart" uri="{C3380CC4-5D6E-409C-BE32-E72D297353CC}">
              <c16:uniqueId val="{00000001-A038-4DF0-B211-15DBF250197C}"/>
            </c:ext>
          </c:extLst>
        </c:ser>
        <c:ser>
          <c:idx val="1"/>
          <c:order val="1"/>
          <c:tx>
            <c:strRef>
              <c:f>'Соц. образование'!$D$37</c:f>
              <c:strCache>
                <c:ptCount val="1"/>
                <c:pt idx="0">
                  <c:v>Численность детей в дошкольных организациях, человек</c:v>
                </c:pt>
              </c:strCache>
            </c:strRef>
          </c:tx>
          <c:dLbls>
            <c:dLbl>
              <c:idx val="0"/>
              <c:layout>
                <c:manualLayout>
                  <c:x val="3.0555555555555551E-2"/>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38-4DF0-B211-15DBF250197C}"/>
                </c:ext>
              </c:extLst>
            </c:dLbl>
            <c:dLbl>
              <c:idx val="1"/>
              <c:layout>
                <c:manualLayout>
                  <c:x val="2.5000000000000001E-2"/>
                  <c:y val="2.777777777777885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38-4DF0-B211-15DBF250197C}"/>
                </c:ext>
              </c:extLst>
            </c:dLbl>
            <c:dLbl>
              <c:idx val="2"/>
              <c:layout>
                <c:manualLayout>
                  <c:x val="1.6666666666666725E-2"/>
                  <c:y val="1.38888888888892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38-4DF0-B211-15DBF250197C}"/>
                </c:ext>
              </c:extLst>
            </c:dLbl>
            <c:dLbl>
              <c:idx val="3"/>
              <c:layout>
                <c:manualLayout>
                  <c:x val="1.9444444444444445E-2"/>
                  <c:y val="9.25925925925954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38-4DF0-B211-15DBF250197C}"/>
                </c:ext>
              </c:extLst>
            </c:dLbl>
            <c:dLbl>
              <c:idx val="4"/>
              <c:layout>
                <c:manualLayout>
                  <c:x val="8.3333333333333367E-3"/>
                  <c:y val="1.38888888888892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38-4DF0-B211-15DBF250197C}"/>
                </c:ext>
              </c:extLst>
            </c:dLbl>
            <c:dLbl>
              <c:idx val="5"/>
              <c:layout>
                <c:manualLayout>
                  <c:x val="1.3888888888889216E-2"/>
                  <c:y val="1.38888888888892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38-4DF0-B211-15DBF250197C}"/>
                </c:ext>
              </c:extLst>
            </c:dLbl>
            <c:dLbl>
              <c:idx val="6"/>
              <c:layout>
                <c:manualLayout>
                  <c:x val="1.3888888888889216E-2"/>
                  <c:y val="1.38888888888892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038-4DF0-B211-15DBF250197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'Соц. образование'!$B$38:$B$44</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образование'!$D$38:$D$44</c:f>
              <c:numCache>
                <c:formatCode>General</c:formatCode>
                <c:ptCount val="7"/>
                <c:pt idx="0">
                  <c:v>1028</c:v>
                </c:pt>
                <c:pt idx="1">
                  <c:v>1010</c:v>
                </c:pt>
                <c:pt idx="2">
                  <c:v>1087</c:v>
                </c:pt>
                <c:pt idx="3">
                  <c:v>1325</c:v>
                </c:pt>
                <c:pt idx="4">
                  <c:v>1517</c:v>
                </c:pt>
                <c:pt idx="5">
                  <c:v>1597</c:v>
                </c:pt>
                <c:pt idx="6">
                  <c:v>1636</c:v>
                </c:pt>
              </c:numCache>
            </c:numRef>
          </c:val>
          <c:extLst xmlns:c16r2="http://schemas.microsoft.com/office/drawing/2015/06/chart">
            <c:ext xmlns:c16="http://schemas.microsoft.com/office/drawing/2014/chart" uri="{C3380CC4-5D6E-409C-BE32-E72D297353CC}">
              <c16:uniqueId val="{00000009-A038-4DF0-B211-15DBF250197C}"/>
            </c:ext>
          </c:extLst>
        </c:ser>
        <c:axId val="90687360"/>
        <c:axId val="90688896"/>
      </c:barChart>
      <c:catAx>
        <c:axId val="90687360"/>
        <c:scaling>
          <c:orientation val="minMax"/>
        </c:scaling>
        <c:axPos val="b"/>
        <c:numFmt formatCode="General" sourceLinked="0"/>
        <c:tickLblPos val="nextTo"/>
        <c:crossAx val="90688896"/>
        <c:crosses val="autoZero"/>
        <c:auto val="1"/>
        <c:lblAlgn val="ctr"/>
        <c:lblOffset val="100"/>
      </c:catAx>
      <c:valAx>
        <c:axId val="90688896"/>
        <c:scaling>
          <c:orientation val="minMax"/>
        </c:scaling>
        <c:axPos val="l"/>
        <c:majorGridlines/>
        <c:numFmt formatCode="General" sourceLinked="1"/>
        <c:tickLblPos val="nextTo"/>
        <c:crossAx val="90687360"/>
        <c:crosses val="autoZero"/>
        <c:crossBetween val="between"/>
      </c:valAx>
    </c:plotArea>
    <c:legend>
      <c:legendPos val="b"/>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6906336707911494E-2"/>
          <c:y val="4.1350166424727643E-2"/>
          <c:w val="0.89214128233971801"/>
          <c:h val="0.61967093989284394"/>
        </c:manualLayout>
      </c:layout>
      <c:bar3DChart>
        <c:barDir val="col"/>
        <c:grouping val="stacked"/>
        <c:ser>
          <c:idx val="0"/>
          <c:order val="0"/>
          <c:tx>
            <c:strRef>
              <c:f>Анализ!$A$6</c:f>
              <c:strCache>
                <c:ptCount val="1"/>
                <c:pt idx="0">
                  <c:v>некоторые инфекционные и паразитарные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Анализ!$B$6:$G$6</c:f>
              <c:numCache>
                <c:formatCode>0</c:formatCode>
                <c:ptCount val="6"/>
                <c:pt idx="0" formatCode="General">
                  <c:v>913</c:v>
                </c:pt>
                <c:pt idx="1">
                  <c:v>664</c:v>
                </c:pt>
                <c:pt idx="2" formatCode="General">
                  <c:v>678</c:v>
                </c:pt>
                <c:pt idx="3" formatCode="General">
                  <c:v>642</c:v>
                </c:pt>
                <c:pt idx="4" formatCode="General">
                  <c:v>800</c:v>
                </c:pt>
                <c:pt idx="5" formatCode="General">
                  <c:v>815</c:v>
                </c:pt>
              </c:numCache>
            </c:numRef>
          </c:val>
          <c:extLst xmlns:c16r2="http://schemas.microsoft.com/office/drawing/2015/06/chart">
            <c:ext xmlns:c16="http://schemas.microsoft.com/office/drawing/2014/chart" uri="{C3380CC4-5D6E-409C-BE32-E72D297353CC}">
              <c16:uniqueId val="{00000000-E8EF-4405-9D88-71B411E56A44}"/>
            </c:ext>
          </c:extLst>
        </c:ser>
        <c:ser>
          <c:idx val="1"/>
          <c:order val="1"/>
          <c:tx>
            <c:strRef>
              <c:f>Анализ!$A$7</c:f>
              <c:strCache>
                <c:ptCount val="1"/>
                <c:pt idx="0">
                  <c:v>заболевания центральной нервной системы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Анализ!$B$7:$G$7</c:f>
              <c:numCache>
                <c:formatCode>0</c:formatCode>
                <c:ptCount val="6"/>
                <c:pt idx="0" formatCode="General">
                  <c:v>870</c:v>
                </c:pt>
                <c:pt idx="1">
                  <c:v>772</c:v>
                </c:pt>
                <c:pt idx="2" formatCode="General">
                  <c:v>971</c:v>
                </c:pt>
                <c:pt idx="3" formatCode="General">
                  <c:v>785</c:v>
                </c:pt>
                <c:pt idx="4" formatCode="General">
                  <c:v>505</c:v>
                </c:pt>
                <c:pt idx="5" formatCode="General">
                  <c:v>525</c:v>
                </c:pt>
              </c:numCache>
            </c:numRef>
          </c:val>
          <c:extLst xmlns:c16r2="http://schemas.microsoft.com/office/drawing/2015/06/chart">
            <c:ext xmlns:c16="http://schemas.microsoft.com/office/drawing/2014/chart" uri="{C3380CC4-5D6E-409C-BE32-E72D297353CC}">
              <c16:uniqueId val="{00000001-E8EF-4405-9D88-71B411E56A44}"/>
            </c:ext>
          </c:extLst>
        </c:ser>
        <c:ser>
          <c:idx val="2"/>
          <c:order val="2"/>
          <c:tx>
            <c:strRef>
              <c:f>Анализ!$A$8</c:f>
              <c:strCache>
                <c:ptCount val="1"/>
                <c:pt idx="0">
                  <c:v>новообразования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Анализ!$B$8:$G$8</c:f>
              <c:numCache>
                <c:formatCode>0</c:formatCode>
                <c:ptCount val="6"/>
                <c:pt idx="0" formatCode="General">
                  <c:v>499</c:v>
                </c:pt>
                <c:pt idx="1">
                  <c:v>522</c:v>
                </c:pt>
                <c:pt idx="2" formatCode="General">
                  <c:v>546</c:v>
                </c:pt>
                <c:pt idx="3" formatCode="General">
                  <c:v>597</c:v>
                </c:pt>
                <c:pt idx="4" formatCode="General">
                  <c:v>718</c:v>
                </c:pt>
                <c:pt idx="5" formatCode="General">
                  <c:v>671</c:v>
                </c:pt>
              </c:numCache>
            </c:numRef>
          </c:val>
          <c:extLst xmlns:c16r2="http://schemas.microsoft.com/office/drawing/2015/06/chart">
            <c:ext xmlns:c16="http://schemas.microsoft.com/office/drawing/2014/chart" uri="{C3380CC4-5D6E-409C-BE32-E72D297353CC}">
              <c16:uniqueId val="{00000002-E8EF-4405-9D88-71B411E56A44}"/>
            </c:ext>
          </c:extLst>
        </c:ser>
        <c:ser>
          <c:idx val="3"/>
          <c:order val="3"/>
          <c:tx>
            <c:strRef>
              <c:f>Анализ!$A$9</c:f>
              <c:strCache>
                <c:ptCount val="1"/>
                <c:pt idx="0">
                  <c:v>органов дыхания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Анализ!$B$9:$G$9</c:f>
              <c:numCache>
                <c:formatCode>0</c:formatCode>
                <c:ptCount val="6"/>
                <c:pt idx="0" formatCode="General">
                  <c:v>10118</c:v>
                </c:pt>
                <c:pt idx="1">
                  <c:v>10922</c:v>
                </c:pt>
                <c:pt idx="2" formatCode="General">
                  <c:v>10925</c:v>
                </c:pt>
                <c:pt idx="3" formatCode="General">
                  <c:v>11146</c:v>
                </c:pt>
                <c:pt idx="4" formatCode="General">
                  <c:v>10784</c:v>
                </c:pt>
                <c:pt idx="5" formatCode="General">
                  <c:v>10840</c:v>
                </c:pt>
              </c:numCache>
            </c:numRef>
          </c:val>
          <c:extLst xmlns:c16r2="http://schemas.microsoft.com/office/drawing/2015/06/chart">
            <c:ext xmlns:c16="http://schemas.microsoft.com/office/drawing/2014/chart" uri="{C3380CC4-5D6E-409C-BE32-E72D297353CC}">
              <c16:uniqueId val="{00000003-E8EF-4405-9D88-71B411E56A44}"/>
            </c:ext>
          </c:extLst>
        </c:ser>
        <c:ser>
          <c:idx val="4"/>
          <c:order val="4"/>
          <c:tx>
            <c:strRef>
              <c:f>Анализ!$A$10</c:f>
              <c:strCache>
                <c:ptCount val="1"/>
                <c:pt idx="0">
                  <c:v>мочеполовой системы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Анализ!$B$10:$G$10</c:f>
              <c:numCache>
                <c:formatCode>0</c:formatCode>
                <c:ptCount val="6"/>
                <c:pt idx="0" formatCode="General">
                  <c:v>1733</c:v>
                </c:pt>
                <c:pt idx="1">
                  <c:v>2074</c:v>
                </c:pt>
                <c:pt idx="2" formatCode="General">
                  <c:v>1601</c:v>
                </c:pt>
                <c:pt idx="3" formatCode="General">
                  <c:v>690</c:v>
                </c:pt>
                <c:pt idx="4" formatCode="General">
                  <c:v>842</c:v>
                </c:pt>
                <c:pt idx="5" formatCode="General">
                  <c:v>854</c:v>
                </c:pt>
              </c:numCache>
            </c:numRef>
          </c:val>
          <c:extLst xmlns:c16r2="http://schemas.microsoft.com/office/drawing/2015/06/chart">
            <c:ext xmlns:c16="http://schemas.microsoft.com/office/drawing/2014/chart" uri="{C3380CC4-5D6E-409C-BE32-E72D297353CC}">
              <c16:uniqueId val="{00000004-E8EF-4405-9D88-71B411E56A44}"/>
            </c:ext>
          </c:extLst>
        </c:ser>
        <c:ser>
          <c:idx val="5"/>
          <c:order val="5"/>
          <c:tx>
            <c:strRef>
              <c:f>Анализ!$A$11</c:f>
              <c:strCache>
                <c:ptCount val="1"/>
                <c:pt idx="0">
                  <c:v>кожи и подкожной клетчатки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Анализ!$B$11:$G$11</c:f>
              <c:numCache>
                <c:formatCode>0</c:formatCode>
                <c:ptCount val="6"/>
                <c:pt idx="0" formatCode="General">
                  <c:v>1480</c:v>
                </c:pt>
                <c:pt idx="1">
                  <c:v>1483</c:v>
                </c:pt>
                <c:pt idx="2" formatCode="General">
                  <c:v>1189</c:v>
                </c:pt>
                <c:pt idx="3" formatCode="General">
                  <c:v>1494</c:v>
                </c:pt>
                <c:pt idx="4" formatCode="General">
                  <c:v>1673</c:v>
                </c:pt>
                <c:pt idx="5" formatCode="General">
                  <c:v>1598</c:v>
                </c:pt>
              </c:numCache>
            </c:numRef>
          </c:val>
          <c:extLst xmlns:c16r2="http://schemas.microsoft.com/office/drawing/2015/06/chart">
            <c:ext xmlns:c16="http://schemas.microsoft.com/office/drawing/2014/chart" uri="{C3380CC4-5D6E-409C-BE32-E72D297353CC}">
              <c16:uniqueId val="{00000005-E8EF-4405-9D88-71B411E56A44}"/>
            </c:ext>
          </c:extLst>
        </c:ser>
        <c:ser>
          <c:idx val="6"/>
          <c:order val="6"/>
          <c:tx>
            <c:strRef>
              <c:f>Анализ!$A$12</c:f>
              <c:strCache>
                <c:ptCount val="1"/>
                <c:pt idx="0">
                  <c:v>травмы, отравления и некоторые другие последствия внешних причин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Анализ!$B$12:$G$12</c:f>
              <c:numCache>
                <c:formatCode>0</c:formatCode>
                <c:ptCount val="6"/>
                <c:pt idx="0" formatCode="General">
                  <c:v>1093</c:v>
                </c:pt>
                <c:pt idx="1">
                  <c:v>1063</c:v>
                </c:pt>
                <c:pt idx="2" formatCode="General">
                  <c:v>1165</c:v>
                </c:pt>
                <c:pt idx="3" formatCode="General">
                  <c:v>1135</c:v>
                </c:pt>
                <c:pt idx="4" formatCode="General">
                  <c:v>1365</c:v>
                </c:pt>
                <c:pt idx="5" formatCode="General">
                  <c:v>1621</c:v>
                </c:pt>
              </c:numCache>
            </c:numRef>
          </c:val>
          <c:extLst xmlns:c16r2="http://schemas.microsoft.com/office/drawing/2015/06/chart">
            <c:ext xmlns:c16="http://schemas.microsoft.com/office/drawing/2014/chart" uri="{C3380CC4-5D6E-409C-BE32-E72D297353CC}">
              <c16:uniqueId val="{00000006-E8EF-4405-9D88-71B411E56A44}"/>
            </c:ext>
          </c:extLst>
        </c:ser>
        <c:shape val="box"/>
        <c:axId val="95025792"/>
        <c:axId val="95129984"/>
        <c:axId val="0"/>
      </c:bar3DChart>
      <c:catAx>
        <c:axId val="95025792"/>
        <c:scaling>
          <c:orientation val="minMax"/>
        </c:scaling>
        <c:axPos val="b"/>
        <c:numFmt formatCode="General" sourceLinked="1"/>
        <c:tickLblPos val="nextTo"/>
        <c:crossAx val="95129984"/>
        <c:crosses val="autoZero"/>
        <c:auto val="1"/>
        <c:lblAlgn val="ctr"/>
        <c:lblOffset val="100"/>
      </c:catAx>
      <c:valAx>
        <c:axId val="95129984"/>
        <c:scaling>
          <c:orientation val="minMax"/>
        </c:scaling>
        <c:axPos val="l"/>
        <c:majorGridlines/>
        <c:numFmt formatCode="General" sourceLinked="1"/>
        <c:tickLblPos val="nextTo"/>
        <c:crossAx val="95025792"/>
        <c:crosses val="autoZero"/>
        <c:crossBetween val="between"/>
      </c:valAx>
    </c:plotArea>
    <c:legend>
      <c:legendPos val="b"/>
      <c:legendEntry>
        <c:idx val="1"/>
        <c:delete val="1"/>
      </c:legendEntry>
      <c:layout>
        <c:manualLayout>
          <c:xMode val="edge"/>
          <c:yMode val="edge"/>
          <c:x val="4.8538582677165348E-2"/>
          <c:y val="0.75281317108088763"/>
          <c:w val="0.88768473940757464"/>
          <c:h val="0.22484045899221294"/>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'Здравоохранение      '!$C$2</c:f>
              <c:strCache>
                <c:ptCount val="1"/>
                <c:pt idx="0">
                  <c:v>Число больничных коек, единиц</c:v>
                </c:pt>
              </c:strCache>
            </c:strRef>
          </c:tx>
          <c:dLbls>
            <c:dLbl>
              <c:idx val="0"/>
              <c:layout>
                <c:manualLayout>
                  <c:x val="-2.6607538802660816E-2"/>
                  <c:y val="-6.13026819923391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F6-4348-8B40-E3BE733E8366}"/>
                </c:ext>
              </c:extLst>
            </c:dLbl>
            <c:dLbl>
              <c:idx val="1"/>
              <c:layout>
                <c:manualLayout>
                  <c:x val="-2.0694752402069964E-2"/>
                  <c:y val="-4.59770114942528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F6-4348-8B40-E3BE733E8366}"/>
                </c:ext>
              </c:extLst>
            </c:dLbl>
            <c:dLbl>
              <c:idx val="2"/>
              <c:layout>
                <c:manualLayout>
                  <c:x val="-1.182557280118287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F6-4348-8B40-E3BE733E8366}"/>
                </c:ext>
              </c:extLst>
            </c:dLbl>
            <c:dLbl>
              <c:idx val="3"/>
              <c:layout>
                <c:manualLayout>
                  <c:x val="-1.4781966001478197E-2"/>
                  <c:y val="-4.08684546615581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F6-4348-8B40-E3BE733E8366}"/>
                </c:ext>
              </c:extLst>
            </c:dLbl>
            <c:dLbl>
              <c:idx val="4"/>
              <c:layout>
                <c:manualLayout>
                  <c:x val="-1.4781966001478197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F6-4348-8B40-E3BE733E8366}"/>
                </c:ext>
              </c:extLst>
            </c:dLbl>
            <c:dLbl>
              <c:idx val="5"/>
              <c:layout>
                <c:manualLayout>
                  <c:x val="-2.3651145602365666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F6-4348-8B40-E3BE733E8366}"/>
                </c:ext>
              </c:extLst>
            </c:dLbl>
            <c:dLbl>
              <c:idx val="6"/>
              <c:layout>
                <c:manualLayout>
                  <c:x val="-5.128205128205128E-2"/>
                  <c:y val="-6.41975308641979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F6-4348-8B40-E3BE733E8366}"/>
                </c:ext>
              </c:extLst>
            </c:dLbl>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'!$B$3:$B$9</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'!$C$3:$C$9</c:f>
              <c:numCache>
                <c:formatCode>General</c:formatCode>
                <c:ptCount val="7"/>
                <c:pt idx="0">
                  <c:v>123</c:v>
                </c:pt>
                <c:pt idx="1">
                  <c:v>123</c:v>
                </c:pt>
                <c:pt idx="2">
                  <c:v>117</c:v>
                </c:pt>
                <c:pt idx="3">
                  <c:v>101</c:v>
                </c:pt>
                <c:pt idx="4">
                  <c:v>78</c:v>
                </c:pt>
                <c:pt idx="5">
                  <c:v>69</c:v>
                </c:pt>
                <c:pt idx="6">
                  <c:v>69</c:v>
                </c:pt>
              </c:numCache>
            </c:numRef>
          </c:val>
          <c:extLst xmlns:c16r2="http://schemas.microsoft.com/office/drawing/2015/06/chart">
            <c:ext xmlns:c16="http://schemas.microsoft.com/office/drawing/2014/chart" uri="{C3380CC4-5D6E-409C-BE32-E72D297353CC}">
              <c16:uniqueId val="{00000007-B8F6-4348-8B40-E3BE733E8366}"/>
            </c:ext>
          </c:extLst>
        </c:ser>
        <c:marker val="1"/>
        <c:axId val="95139328"/>
        <c:axId val="95140864"/>
      </c:lineChart>
      <c:catAx>
        <c:axId val="95139328"/>
        <c:scaling>
          <c:orientation val="minMax"/>
        </c:scaling>
        <c:axPos val="b"/>
        <c:numFmt formatCode="General" sourceLinked="0"/>
        <c:tickLblPos val="nextTo"/>
        <c:crossAx val="95140864"/>
        <c:crosses val="autoZero"/>
        <c:auto val="1"/>
        <c:lblAlgn val="ctr"/>
        <c:lblOffset val="100"/>
      </c:catAx>
      <c:valAx>
        <c:axId val="95140864"/>
        <c:scaling>
          <c:orientation val="minMax"/>
        </c:scaling>
        <c:axPos val="l"/>
        <c:majorGridlines/>
        <c:numFmt formatCode="General" sourceLinked="1"/>
        <c:tickLblPos val="nextTo"/>
        <c:crossAx val="95139328"/>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'!$C$15</c:f>
              <c:strCache>
                <c:ptCount val="1"/>
                <c:pt idx="0">
                  <c:v>Численность врачей, человек</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'!$B$16:$B$22</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'!$C$16:$C$22</c:f>
              <c:numCache>
                <c:formatCode>General</c:formatCode>
                <c:ptCount val="7"/>
                <c:pt idx="0">
                  <c:v>46</c:v>
                </c:pt>
                <c:pt idx="1">
                  <c:v>45</c:v>
                </c:pt>
                <c:pt idx="2">
                  <c:v>50</c:v>
                </c:pt>
                <c:pt idx="3">
                  <c:v>53</c:v>
                </c:pt>
                <c:pt idx="4">
                  <c:v>56</c:v>
                </c:pt>
                <c:pt idx="5">
                  <c:v>59</c:v>
                </c:pt>
                <c:pt idx="6">
                  <c:v>60</c:v>
                </c:pt>
              </c:numCache>
            </c:numRef>
          </c:val>
          <c:extLst xmlns:c16r2="http://schemas.microsoft.com/office/drawing/2015/06/chart">
            <c:ext xmlns:c16="http://schemas.microsoft.com/office/drawing/2014/chart" uri="{C3380CC4-5D6E-409C-BE32-E72D297353CC}">
              <c16:uniqueId val="{00000000-B1B0-43E6-A1A1-AD429F021BD7}"/>
            </c:ext>
          </c:extLst>
        </c:ser>
        <c:ser>
          <c:idx val="1"/>
          <c:order val="1"/>
          <c:tx>
            <c:strRef>
              <c:f>'Здравоохранение      '!$D$15</c:f>
              <c:strCache>
                <c:ptCount val="1"/>
                <c:pt idx="0">
                  <c:v>Численность среднего медперсонала, человек</c:v>
                </c:pt>
              </c:strCache>
            </c:strRef>
          </c:tx>
          <c:dLbls>
            <c:dLbl>
              <c:idx val="0"/>
              <c:layout>
                <c:manualLayout>
                  <c:x val="2.7777777777778984E-3"/>
                  <c:y val="2.77777777777788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B0-43E6-A1A1-AD429F021BD7}"/>
                </c:ext>
              </c:extLst>
            </c:dLbl>
            <c:dLbl>
              <c:idx val="1"/>
              <c:layout>
                <c:manualLayout>
                  <c:x val="8.3333333333333367E-3"/>
                  <c:y val="2.77777777777788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B0-43E6-A1A1-AD429F021BD7}"/>
                </c:ext>
              </c:extLst>
            </c:dLbl>
            <c:dLbl>
              <c:idx val="2"/>
              <c:layout>
                <c:manualLayout>
                  <c:x val="8.3333333333333367E-3"/>
                  <c:y val="1.38888888888892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B0-43E6-A1A1-AD429F021BD7}"/>
                </c:ext>
              </c:extLst>
            </c:dLbl>
            <c:dLbl>
              <c:idx val="3"/>
              <c:layout>
                <c:manualLayout>
                  <c:x val="0"/>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B0-43E6-A1A1-AD429F021BD7}"/>
                </c:ext>
              </c:extLst>
            </c:dLbl>
            <c:dLbl>
              <c:idx val="4"/>
              <c:layout>
                <c:manualLayout>
                  <c:x val="0"/>
                  <c:y val="2.77777777777788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B0-43E6-A1A1-AD429F021BD7}"/>
                </c:ext>
              </c:extLst>
            </c:dLbl>
            <c:dLbl>
              <c:idx val="5"/>
              <c:layout>
                <c:manualLayout>
                  <c:x val="0"/>
                  <c:y val="2.77777777777788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B0-43E6-A1A1-AD429F021BD7}"/>
                </c:ext>
              </c:extLst>
            </c:dLbl>
            <c:dLbl>
              <c:idx val="6"/>
              <c:layout>
                <c:manualLayout>
                  <c:x val="0"/>
                  <c:y val="2.77777777777788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B0-43E6-A1A1-AD429F021BD7}"/>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'!$B$16:$B$22</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'!$D$16:$D$22</c:f>
              <c:numCache>
                <c:formatCode>General</c:formatCode>
                <c:ptCount val="7"/>
                <c:pt idx="0">
                  <c:v>154</c:v>
                </c:pt>
                <c:pt idx="1">
                  <c:v>157</c:v>
                </c:pt>
                <c:pt idx="2">
                  <c:v>156</c:v>
                </c:pt>
                <c:pt idx="3">
                  <c:v>160</c:v>
                </c:pt>
                <c:pt idx="4">
                  <c:v>176</c:v>
                </c:pt>
                <c:pt idx="5">
                  <c:v>164</c:v>
                </c:pt>
                <c:pt idx="6">
                  <c:v>158</c:v>
                </c:pt>
              </c:numCache>
            </c:numRef>
          </c:val>
          <c:extLst xmlns:c16r2="http://schemas.microsoft.com/office/drawing/2015/06/chart">
            <c:ext xmlns:c16="http://schemas.microsoft.com/office/drawing/2014/chart" uri="{C3380CC4-5D6E-409C-BE32-E72D297353CC}">
              <c16:uniqueId val="{00000008-B1B0-43E6-A1A1-AD429F021BD7}"/>
            </c:ext>
          </c:extLst>
        </c:ser>
        <c:axId val="144149888"/>
        <c:axId val="144151680"/>
      </c:barChart>
      <c:catAx>
        <c:axId val="144149888"/>
        <c:scaling>
          <c:orientation val="minMax"/>
        </c:scaling>
        <c:axPos val="b"/>
        <c:numFmt formatCode="General" sourceLinked="0"/>
        <c:tickLblPos val="nextTo"/>
        <c:crossAx val="144151680"/>
        <c:crosses val="autoZero"/>
        <c:auto val="1"/>
        <c:lblAlgn val="ctr"/>
        <c:lblOffset val="100"/>
      </c:catAx>
      <c:valAx>
        <c:axId val="144151680"/>
        <c:scaling>
          <c:orientation val="minMax"/>
        </c:scaling>
        <c:axPos val="l"/>
        <c:majorGridlines/>
        <c:numFmt formatCode="General" sourceLinked="1"/>
        <c:tickLblPos val="nextTo"/>
        <c:crossAx val="144149888"/>
        <c:crosses val="autoZero"/>
        <c:crossBetween val="between"/>
      </c:valAx>
    </c:plotArea>
    <c:legend>
      <c:legendPos val="b"/>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'!$C$69</c:f>
              <c:strCache>
                <c:ptCount val="1"/>
                <c:pt idx="0">
                  <c:v>дети (0-14 лет)</c:v>
                </c:pt>
              </c:strCache>
            </c:strRef>
          </c:tx>
          <c:dLbls>
            <c:dLbl>
              <c:idx val="5"/>
              <c:layout>
                <c:manualLayout>
                  <c:x val="1.0185067526416667E-16"/>
                  <c:y val="1.38888888888892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'!$C$70:$C$76</c:f>
              <c:numCache>
                <c:formatCode>General</c:formatCode>
                <c:ptCount val="7"/>
                <c:pt idx="0">
                  <c:v>1588</c:v>
                </c:pt>
                <c:pt idx="1">
                  <c:v>1915.7</c:v>
                </c:pt>
                <c:pt idx="2">
                  <c:v>1933.8</c:v>
                </c:pt>
                <c:pt idx="3">
                  <c:v>1926.1</c:v>
                </c:pt>
                <c:pt idx="4">
                  <c:v>1903.5</c:v>
                </c:pt>
                <c:pt idx="5">
                  <c:v>574</c:v>
                </c:pt>
                <c:pt idx="6">
                  <c:v>1529.8</c:v>
                </c:pt>
              </c:numCache>
            </c:numRef>
          </c:val>
          <c:extLst xmlns:c16r2="http://schemas.microsoft.com/office/drawing/2015/06/chart">
            <c:ext xmlns:c16="http://schemas.microsoft.com/office/drawing/2014/chart" uri="{C3380CC4-5D6E-409C-BE32-E72D297353CC}">
              <c16:uniqueId val="{00000001-5E6B-49EA-AC4F-6BAB5D8B2555}"/>
            </c:ext>
          </c:extLst>
        </c:ser>
        <c:ser>
          <c:idx val="1"/>
          <c:order val="1"/>
          <c:tx>
            <c:strRef>
              <c:f>'Здравоохранение      '!$D$69</c:f>
              <c:strCache>
                <c:ptCount val="1"/>
                <c:pt idx="0">
                  <c:v>подростки (15-17 лет)</c:v>
                </c:pt>
              </c:strCache>
            </c:strRef>
          </c:tx>
          <c:dLbls>
            <c:dLbl>
              <c:idx val="0"/>
              <c:layout>
                <c:manualLayout>
                  <c:x val="2.777777777777884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6B-49EA-AC4F-6BAB5D8B2555}"/>
                </c:ext>
              </c:extLst>
            </c:dLbl>
            <c:dLbl>
              <c:idx val="1"/>
              <c:layout>
                <c:manualLayout>
                  <c:x val="2.222222222222225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6B-49EA-AC4F-6BAB5D8B2555}"/>
                </c:ext>
              </c:extLst>
            </c:dLbl>
            <c:dLbl>
              <c:idx val="2"/>
              <c:layout>
                <c:manualLayout>
                  <c:x val="3.2080874283778212E-2"/>
                  <c:y val="2.2354539015956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6B-49EA-AC4F-6BAB5D8B2555}"/>
                </c:ext>
              </c:extLst>
            </c:dLbl>
            <c:dLbl>
              <c:idx val="3"/>
              <c:layout>
                <c:manualLayout>
                  <c:x val="2.951183125230734E-2"/>
                  <c:y val="1.3888930550347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E6B-49EA-AC4F-6BAB5D8B2555}"/>
                </c:ext>
              </c:extLst>
            </c:dLbl>
            <c:dLbl>
              <c:idx val="4"/>
              <c:layout>
                <c:manualLayout>
                  <c:x val="2.2430982254385851E-2"/>
                  <c:y val="1.26984126984127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E6B-49EA-AC4F-6BAB5D8B2555}"/>
                </c:ext>
              </c:extLst>
            </c:dLbl>
            <c:dLbl>
              <c:idx val="6"/>
              <c:layout>
                <c:manualLayout>
                  <c:x val="3.5276197411740505E-2"/>
                  <c:y val="2.55291421905595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'!$D$70:$D$76</c:f>
              <c:numCache>
                <c:formatCode>General</c:formatCode>
                <c:ptCount val="7"/>
                <c:pt idx="0">
                  <c:v>1212.5999999999999</c:v>
                </c:pt>
                <c:pt idx="1">
                  <c:v>1210.5</c:v>
                </c:pt>
                <c:pt idx="2">
                  <c:v>1213.5999999999999</c:v>
                </c:pt>
                <c:pt idx="3">
                  <c:v>1302.5999999999999</c:v>
                </c:pt>
                <c:pt idx="4">
                  <c:v>1292.3</c:v>
                </c:pt>
                <c:pt idx="5">
                  <c:v>1321</c:v>
                </c:pt>
                <c:pt idx="6">
                  <c:v>1385.2</c:v>
                </c:pt>
              </c:numCache>
            </c:numRef>
          </c:val>
          <c:extLst xmlns:c16r2="http://schemas.microsoft.com/office/drawing/2015/06/chart">
            <c:ext xmlns:c16="http://schemas.microsoft.com/office/drawing/2014/chart" uri="{C3380CC4-5D6E-409C-BE32-E72D297353CC}">
              <c16:uniqueId val="{00000008-5E6B-49EA-AC4F-6BAB5D8B2555}"/>
            </c:ext>
          </c:extLst>
        </c:ser>
        <c:ser>
          <c:idx val="2"/>
          <c:order val="2"/>
          <c:tx>
            <c:strRef>
              <c:f>'Здравоохранение      '!$E$69</c:f>
              <c:strCache>
                <c:ptCount val="1"/>
                <c:pt idx="0">
                  <c:v>взрослые (старше 17 лет)</c:v>
                </c:pt>
              </c:strCache>
            </c:strRef>
          </c:tx>
          <c:dLbls>
            <c:dLbl>
              <c:idx val="0"/>
              <c:layout>
                <c:manualLayout>
                  <c:x val="1.9444444444444445E-2"/>
                  <c:y val="1.38888888888892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E6B-49EA-AC4F-6BAB5D8B2555}"/>
                </c:ext>
              </c:extLst>
            </c:dLbl>
            <c:dLbl>
              <c:idx val="1"/>
              <c:layout>
                <c:manualLayout>
                  <c:x val="2.2222222222222251E-2"/>
                  <c:y val="9.259259259259555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E6B-49EA-AC4F-6BAB5D8B2555}"/>
                </c:ext>
              </c:extLst>
            </c:dLbl>
            <c:dLbl>
              <c:idx val="2"/>
              <c:layout>
                <c:manualLayout>
                  <c:x val="1.6666666666666701E-2"/>
                  <c:y val="9.259259259259555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E6B-49EA-AC4F-6BAB5D8B2555}"/>
                </c:ext>
              </c:extLst>
            </c:dLbl>
            <c:dLbl>
              <c:idx val="3"/>
              <c:layout>
                <c:manualLayout>
                  <c:x val="2.50000000000000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E6B-49EA-AC4F-6BAB5D8B2555}"/>
                </c:ext>
              </c:extLst>
            </c:dLbl>
            <c:dLbl>
              <c:idx val="5"/>
              <c:layout>
                <c:manualLayout>
                  <c:x val="2.4999999999999897E-2"/>
                  <c:y val="2.77777777777788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E6B-49EA-AC4F-6BAB5D8B2555}"/>
                </c:ext>
              </c:extLst>
            </c:dLbl>
            <c:dLbl>
              <c:idx val="6"/>
              <c:layout>
                <c:manualLayout>
                  <c:x val="1.111111111111102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'!$E$70:$E$76</c:f>
              <c:numCache>
                <c:formatCode>General</c:formatCode>
                <c:ptCount val="7"/>
                <c:pt idx="0">
                  <c:v>367.4</c:v>
                </c:pt>
                <c:pt idx="1">
                  <c:v>377.4</c:v>
                </c:pt>
                <c:pt idx="2">
                  <c:v>427</c:v>
                </c:pt>
                <c:pt idx="3">
                  <c:v>444.5</c:v>
                </c:pt>
                <c:pt idx="4">
                  <c:v>442.6</c:v>
                </c:pt>
                <c:pt idx="5">
                  <c:v>457.3</c:v>
                </c:pt>
                <c:pt idx="6">
                  <c:v>399.5</c:v>
                </c:pt>
              </c:numCache>
            </c:numRef>
          </c:val>
          <c:extLst xmlns:c16r2="http://schemas.microsoft.com/office/drawing/2015/06/chart">
            <c:ext xmlns:c16="http://schemas.microsoft.com/office/drawing/2014/chart" uri="{C3380CC4-5D6E-409C-BE32-E72D297353CC}">
              <c16:uniqueId val="{0000000F-5E6B-49EA-AC4F-6BAB5D8B2555}"/>
            </c:ext>
          </c:extLst>
        </c:ser>
        <c:axId val="144213888"/>
        <c:axId val="144215424"/>
      </c:barChart>
      <c:catAx>
        <c:axId val="144213888"/>
        <c:scaling>
          <c:orientation val="minMax"/>
        </c:scaling>
        <c:axPos val="b"/>
        <c:numFmt formatCode="General" sourceLinked="0"/>
        <c:tickLblPos val="nextTo"/>
        <c:crossAx val="144215424"/>
        <c:crosses val="autoZero"/>
        <c:auto val="1"/>
        <c:lblAlgn val="ctr"/>
        <c:lblOffset val="100"/>
      </c:catAx>
      <c:valAx>
        <c:axId val="144215424"/>
        <c:scaling>
          <c:orientation val="minMax"/>
        </c:scaling>
        <c:axPos val="l"/>
        <c:majorGridlines/>
        <c:numFmt formatCode="General" sourceLinked="1"/>
        <c:tickLblPos val="nextTo"/>
        <c:crossAx val="144213888"/>
        <c:crosses val="autoZero"/>
        <c:crossBetween val="between"/>
      </c:valAx>
    </c:plotArea>
    <c:legend>
      <c:legendPos val="b"/>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'Здравоохранение      '!$C$96</c:f>
              <c:strCache>
                <c:ptCount val="1"/>
                <c:pt idx="0">
                  <c:v>Младенческая смертность, промилле</c:v>
                </c:pt>
              </c:strCache>
            </c:strRef>
          </c:tx>
          <c:dLbls>
            <c:spPr>
              <a:noFill/>
              <a:ln>
                <a:noFill/>
              </a:ln>
              <a:effectLst/>
            </c:spPr>
            <c:txPr>
              <a:bodyPr/>
              <a:lstStyle/>
              <a:p>
                <a:pPr>
                  <a:defRPr sz="12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'!$B$97:$B$103</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'!$C$97:$C$103</c:f>
              <c:numCache>
                <c:formatCode>General</c:formatCode>
                <c:ptCount val="7"/>
                <c:pt idx="0">
                  <c:v>8.3000000000000007</c:v>
                </c:pt>
                <c:pt idx="1">
                  <c:v>17</c:v>
                </c:pt>
                <c:pt idx="2">
                  <c:v>4.9000000000000004</c:v>
                </c:pt>
                <c:pt idx="3">
                  <c:v>2.2999999999999998</c:v>
                </c:pt>
                <c:pt idx="4">
                  <c:v>21.1</c:v>
                </c:pt>
                <c:pt idx="5">
                  <c:v>5.5</c:v>
                </c:pt>
                <c:pt idx="6">
                  <c:v>22.7</c:v>
                </c:pt>
              </c:numCache>
            </c:numRef>
          </c:val>
          <c:extLst xmlns:c16r2="http://schemas.microsoft.com/office/drawing/2015/06/chart">
            <c:ext xmlns:c16="http://schemas.microsoft.com/office/drawing/2014/chart" uri="{C3380CC4-5D6E-409C-BE32-E72D297353CC}">
              <c16:uniqueId val="{00000000-CB26-430A-96A3-41075BC824D6}"/>
            </c:ext>
          </c:extLst>
        </c:ser>
        <c:axId val="144265600"/>
        <c:axId val="144267136"/>
      </c:barChart>
      <c:catAx>
        <c:axId val="144265600"/>
        <c:scaling>
          <c:orientation val="minMax"/>
        </c:scaling>
        <c:axPos val="b"/>
        <c:numFmt formatCode="General" sourceLinked="0"/>
        <c:tickLblPos val="nextTo"/>
        <c:crossAx val="144267136"/>
        <c:crosses val="autoZero"/>
        <c:auto val="1"/>
        <c:lblAlgn val="ctr"/>
        <c:lblOffset val="100"/>
      </c:catAx>
      <c:valAx>
        <c:axId val="144267136"/>
        <c:scaling>
          <c:orientation val="minMax"/>
        </c:scaling>
        <c:axPos val="l"/>
        <c:majorGridlines/>
        <c:numFmt formatCode="General" sourceLinked="1"/>
        <c:tickLblPos val="nextTo"/>
        <c:crossAx val="144265600"/>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'!$C$111</c:f>
              <c:strCache>
                <c:ptCount val="1"/>
                <c:pt idx="0">
                  <c:v>Количество больничных коек на 10000 чел.</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'!$C$112:$C$118</c:f>
              <c:numCache>
                <c:formatCode>General</c:formatCode>
                <c:ptCount val="7"/>
                <c:pt idx="0">
                  <c:v>20.9</c:v>
                </c:pt>
                <c:pt idx="1">
                  <c:v>21.9</c:v>
                </c:pt>
                <c:pt idx="2">
                  <c:v>22</c:v>
                </c:pt>
                <c:pt idx="3">
                  <c:v>22.6</c:v>
                </c:pt>
                <c:pt idx="4">
                  <c:v>22.3</c:v>
                </c:pt>
                <c:pt idx="5">
                  <c:v>22.6</c:v>
                </c:pt>
                <c:pt idx="6">
                  <c:v>22.7</c:v>
                </c:pt>
              </c:numCache>
            </c:numRef>
          </c:val>
          <c:extLst xmlns:c16r2="http://schemas.microsoft.com/office/drawing/2015/06/chart">
            <c:ext xmlns:c16="http://schemas.microsoft.com/office/drawing/2014/chart" uri="{C3380CC4-5D6E-409C-BE32-E72D297353CC}">
              <c16:uniqueId val="{00000000-2717-4107-86B6-EEEEF9111B7A}"/>
            </c:ext>
          </c:extLst>
        </c:ser>
        <c:ser>
          <c:idx val="1"/>
          <c:order val="1"/>
          <c:tx>
            <c:strRef>
              <c:f>'Здравоохранение      '!$D$111</c:f>
              <c:strCache>
                <c:ptCount val="1"/>
                <c:pt idx="0">
                  <c:v>Обеспеченность врачами  на 10000 человек населения, единиц</c:v>
                </c:pt>
              </c:strCache>
            </c:strRef>
          </c:tx>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'!$D$112:$D$118</c:f>
              <c:numCache>
                <c:formatCode>General</c:formatCode>
                <c:ptCount val="7"/>
                <c:pt idx="0">
                  <c:v>20.9</c:v>
                </c:pt>
                <c:pt idx="1">
                  <c:v>21.9</c:v>
                </c:pt>
                <c:pt idx="2">
                  <c:v>22</c:v>
                </c:pt>
                <c:pt idx="3">
                  <c:v>22.6</c:v>
                </c:pt>
                <c:pt idx="4">
                  <c:v>22.3</c:v>
                </c:pt>
                <c:pt idx="5">
                  <c:v>22.6</c:v>
                </c:pt>
                <c:pt idx="6">
                  <c:v>22.7</c:v>
                </c:pt>
              </c:numCache>
            </c:numRef>
          </c:val>
          <c:extLst xmlns:c16r2="http://schemas.microsoft.com/office/drawing/2015/06/chart">
            <c:ext xmlns:c16="http://schemas.microsoft.com/office/drawing/2014/chart" uri="{C3380CC4-5D6E-409C-BE32-E72D297353CC}">
              <c16:uniqueId val="{00000001-2717-4107-86B6-EEEEF9111B7A}"/>
            </c:ext>
          </c:extLst>
        </c:ser>
        <c:ser>
          <c:idx val="2"/>
          <c:order val="2"/>
          <c:tx>
            <c:strRef>
              <c:f>'Здравоохранение      '!$E$111</c:f>
              <c:strCache>
                <c:ptCount val="1"/>
                <c:pt idx="0">
                  <c:v>Обеспеченность средним медицинским персонала на 10000 человек населения, единиц</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'!$E$112:$E$118</c:f>
              <c:numCache>
                <c:formatCode>General</c:formatCode>
                <c:ptCount val="7"/>
                <c:pt idx="0">
                  <c:v>68.7</c:v>
                </c:pt>
                <c:pt idx="1">
                  <c:v>74.8</c:v>
                </c:pt>
                <c:pt idx="2">
                  <c:v>71.2</c:v>
                </c:pt>
                <c:pt idx="3">
                  <c:v>71.7</c:v>
                </c:pt>
                <c:pt idx="4">
                  <c:v>69.900000000000006</c:v>
                </c:pt>
                <c:pt idx="5">
                  <c:v>66.400000000000006</c:v>
                </c:pt>
                <c:pt idx="6">
                  <c:v>65.3</c:v>
                </c:pt>
              </c:numCache>
            </c:numRef>
          </c:val>
          <c:extLst xmlns:c16r2="http://schemas.microsoft.com/office/drawing/2015/06/chart">
            <c:ext xmlns:c16="http://schemas.microsoft.com/office/drawing/2014/chart" uri="{C3380CC4-5D6E-409C-BE32-E72D297353CC}">
              <c16:uniqueId val="{00000002-2717-4107-86B6-EEEEF9111B7A}"/>
            </c:ext>
          </c:extLst>
        </c:ser>
        <c:axId val="144284672"/>
        <c:axId val="144290560"/>
      </c:barChart>
      <c:catAx>
        <c:axId val="144284672"/>
        <c:scaling>
          <c:orientation val="minMax"/>
        </c:scaling>
        <c:axPos val="b"/>
        <c:numFmt formatCode="General" sourceLinked="0"/>
        <c:tickLblPos val="nextTo"/>
        <c:crossAx val="144290560"/>
        <c:crosses val="autoZero"/>
        <c:auto val="1"/>
        <c:lblAlgn val="ctr"/>
        <c:lblOffset val="100"/>
      </c:catAx>
      <c:valAx>
        <c:axId val="144290560"/>
        <c:scaling>
          <c:orientation val="minMax"/>
        </c:scaling>
        <c:axPos val="l"/>
        <c:majorGridlines/>
        <c:numFmt formatCode="General" sourceLinked="1"/>
        <c:tickLblPos val="nextTo"/>
        <c:crossAx val="144284672"/>
        <c:crosses val="autoZero"/>
        <c:crossBetween val="between"/>
      </c:valAx>
    </c:plotArea>
    <c:legend>
      <c:legendPos val="b"/>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досуг'!$C$2</c:f>
              <c:strCache>
                <c:ptCount val="1"/>
                <c:pt idx="0">
                  <c:v>Библиотечный фонд, количество экземпляров на 1000 человек</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досуг'!$B$3:$B$9</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досуг'!$C$3:$C$9</c:f>
              <c:numCache>
                <c:formatCode>General</c:formatCode>
                <c:ptCount val="7"/>
                <c:pt idx="0">
                  <c:v>436160</c:v>
                </c:pt>
                <c:pt idx="1">
                  <c:v>261750</c:v>
                </c:pt>
                <c:pt idx="2">
                  <c:v>255650</c:v>
                </c:pt>
                <c:pt idx="3">
                  <c:v>234344</c:v>
                </c:pt>
                <c:pt idx="4">
                  <c:v>248305</c:v>
                </c:pt>
                <c:pt idx="5">
                  <c:v>243533</c:v>
                </c:pt>
                <c:pt idx="6">
                  <c:v>239188</c:v>
                </c:pt>
              </c:numCache>
            </c:numRef>
          </c:val>
          <c:extLst xmlns:c16r2="http://schemas.microsoft.com/office/drawing/2015/06/chart">
            <c:ext xmlns:c16="http://schemas.microsoft.com/office/drawing/2014/chart" uri="{C3380CC4-5D6E-409C-BE32-E72D297353CC}">
              <c16:uniqueId val="{00000000-81D8-4728-A01B-DD508F9ADAE0}"/>
            </c:ext>
          </c:extLst>
        </c:ser>
        <c:axId val="144314752"/>
        <c:axId val="144316288"/>
      </c:barChart>
      <c:catAx>
        <c:axId val="144314752"/>
        <c:scaling>
          <c:orientation val="minMax"/>
        </c:scaling>
        <c:axPos val="b"/>
        <c:numFmt formatCode="General" sourceLinked="0"/>
        <c:tickLblPos val="nextTo"/>
        <c:crossAx val="144316288"/>
        <c:crosses val="autoZero"/>
        <c:auto val="1"/>
        <c:lblAlgn val="ctr"/>
        <c:lblOffset val="100"/>
      </c:catAx>
      <c:valAx>
        <c:axId val="144316288"/>
        <c:scaling>
          <c:orientation val="minMax"/>
        </c:scaling>
        <c:axPos val="l"/>
        <c:majorGridlines/>
        <c:numFmt formatCode="General" sourceLinked="1"/>
        <c:tickLblPos val="nextTo"/>
        <c:crossAx val="144314752"/>
        <c:crosses val="autoZero"/>
        <c:crossBetween val="between"/>
      </c:valAx>
    </c:plotArea>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досуг'!$C$14</c:f>
              <c:strCache>
                <c:ptCount val="1"/>
                <c:pt idx="0">
                  <c:v>Численность детей отдохнувших в лагерях, чел.</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досуг'!$B$15:$B$21</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досуг'!$C$15:$C$21</c:f>
              <c:numCache>
                <c:formatCode>General</c:formatCode>
                <c:ptCount val="7"/>
                <c:pt idx="0">
                  <c:v>3349</c:v>
                </c:pt>
                <c:pt idx="1">
                  <c:v>3153</c:v>
                </c:pt>
                <c:pt idx="2">
                  <c:v>2865</c:v>
                </c:pt>
                <c:pt idx="3">
                  <c:v>2891</c:v>
                </c:pt>
                <c:pt idx="4">
                  <c:v>2781</c:v>
                </c:pt>
                <c:pt idx="5">
                  <c:v>2643</c:v>
                </c:pt>
                <c:pt idx="6">
                  <c:v>2708</c:v>
                </c:pt>
              </c:numCache>
            </c:numRef>
          </c:val>
          <c:extLst xmlns:c16r2="http://schemas.microsoft.com/office/drawing/2015/06/chart">
            <c:ext xmlns:c16="http://schemas.microsoft.com/office/drawing/2014/chart" uri="{C3380CC4-5D6E-409C-BE32-E72D297353CC}">
              <c16:uniqueId val="{00000000-DE8F-4976-90EE-84835BD90D4F}"/>
            </c:ext>
          </c:extLst>
        </c:ser>
        <c:axId val="144323712"/>
        <c:axId val="144325248"/>
      </c:barChart>
      <c:catAx>
        <c:axId val="144323712"/>
        <c:scaling>
          <c:orientation val="minMax"/>
        </c:scaling>
        <c:axPos val="b"/>
        <c:numFmt formatCode="General" sourceLinked="0"/>
        <c:tickLblPos val="nextTo"/>
        <c:crossAx val="144325248"/>
        <c:crosses val="autoZero"/>
        <c:auto val="1"/>
        <c:lblAlgn val="ctr"/>
        <c:lblOffset val="100"/>
      </c:catAx>
      <c:valAx>
        <c:axId val="144325248"/>
        <c:scaling>
          <c:orientation val="minMax"/>
        </c:scaling>
        <c:axPos val="l"/>
        <c:majorGridlines/>
        <c:numFmt formatCode="General" sourceLinked="1"/>
        <c:tickLblPos val="nextTo"/>
        <c:crossAx val="144323712"/>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демография!$G$4</c:f>
              <c:strCache>
                <c:ptCount val="1"/>
                <c:pt idx="0">
                  <c:v>Численность населения по данным Пермьстата, человек.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демография!$F$5:$F$11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демография!$G$5:$G$11</c:f>
              <c:numCache>
                <c:formatCode>General</c:formatCode>
                <c:ptCount val="7"/>
                <c:pt idx="0">
                  <c:v>25588</c:v>
                </c:pt>
                <c:pt idx="1">
                  <c:v>25431</c:v>
                </c:pt>
                <c:pt idx="2">
                  <c:v>25249</c:v>
                </c:pt>
                <c:pt idx="3">
                  <c:v>25555</c:v>
                </c:pt>
                <c:pt idx="4">
                  <c:v>25172</c:v>
                </c:pt>
                <c:pt idx="5">
                  <c:v>25251</c:v>
                </c:pt>
                <c:pt idx="6">
                  <c:v>25291</c:v>
                </c:pt>
              </c:numCache>
            </c:numRef>
          </c:val>
          <c:extLst xmlns:c16r2="http://schemas.microsoft.com/office/drawing/2015/06/chart">
            <c:ext xmlns:c16="http://schemas.microsoft.com/office/drawing/2014/chart" uri="{C3380CC4-5D6E-409C-BE32-E72D297353CC}">
              <c16:uniqueId val="{00000000-504E-44A5-B080-A96F9A7D2CB2}"/>
            </c:ext>
          </c:extLst>
        </c:ser>
        <c:overlap val="100"/>
        <c:axId val="176512384"/>
        <c:axId val="177826432"/>
      </c:barChart>
      <c:catAx>
        <c:axId val="176512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26432"/>
        <c:crosses val="autoZero"/>
        <c:auto val="1"/>
        <c:lblAlgn val="ctr"/>
        <c:lblOffset val="100"/>
      </c:catAx>
      <c:valAx>
        <c:axId val="177826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51238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'культура досуг'!$C$42</c:f>
              <c:strCache>
                <c:ptCount val="1"/>
                <c:pt idx="0">
                  <c:v>Численность пенсионеров, человек</c:v>
                </c:pt>
              </c:strCache>
            </c:strRef>
          </c:tx>
          <c:dLbls>
            <c:dLbl>
              <c:idx val="0"/>
              <c:layout>
                <c:manualLayout>
                  <c:x val="-5.4054054054054092E-2"/>
                  <c:y val="5.76131687242797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A3-4F9B-B78C-7F879F0BC2C1}"/>
                </c:ext>
              </c:extLst>
            </c:dLbl>
            <c:dLbl>
              <c:idx val="1"/>
              <c:layout>
                <c:manualLayout>
                  <c:x val="-4.6332046332047024E-2"/>
                  <c:y val="-6.17283950617283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A3-4F9B-B78C-7F879F0BC2C1}"/>
                </c:ext>
              </c:extLst>
            </c:dLbl>
            <c:dLbl>
              <c:idx val="2"/>
              <c:layout>
                <c:manualLayout>
                  <c:x val="-3.8610038610038609E-2"/>
                  <c:y val="-6.17283950617283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A3-4F9B-B78C-7F879F0BC2C1}"/>
                </c:ext>
              </c:extLst>
            </c:dLbl>
            <c:dLbl>
              <c:idx val="4"/>
              <c:layout>
                <c:manualLayout>
                  <c:x val="-4.3758043758043812E-2"/>
                  <c:y val="-5.76131687242797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A3-4F9B-B78C-7F879F0BC2C1}"/>
                </c:ext>
              </c:extLst>
            </c:dLbl>
            <c:dLbl>
              <c:idx val="5"/>
              <c:layout>
                <c:manualLayout>
                  <c:x val="-5.4054054054054022E-2"/>
                  <c:y val="5.34979423868313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A3-4F9B-B78C-7F879F0BC2C1}"/>
                </c:ext>
              </c:extLst>
            </c:dLbl>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досуг'!$B$43:$B$49</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досуг'!$C$43:$C$49</c:f>
              <c:numCache>
                <c:formatCode>General</c:formatCode>
                <c:ptCount val="7"/>
                <c:pt idx="0">
                  <c:v>5956</c:v>
                </c:pt>
                <c:pt idx="1">
                  <c:v>5982</c:v>
                </c:pt>
                <c:pt idx="2">
                  <c:v>6078</c:v>
                </c:pt>
                <c:pt idx="3">
                  <c:v>6141</c:v>
                </c:pt>
                <c:pt idx="4">
                  <c:v>7929</c:v>
                </c:pt>
                <c:pt idx="5">
                  <c:v>7943</c:v>
                </c:pt>
                <c:pt idx="6">
                  <c:v>7990</c:v>
                </c:pt>
              </c:numCache>
            </c:numRef>
          </c:val>
          <c:extLst xmlns:c16r2="http://schemas.microsoft.com/office/drawing/2015/06/chart">
            <c:ext xmlns:c16="http://schemas.microsoft.com/office/drawing/2014/chart" uri="{C3380CC4-5D6E-409C-BE32-E72D297353CC}">
              <c16:uniqueId val="{00000005-FDA3-4F9B-B78C-7F879F0BC2C1}"/>
            </c:ext>
          </c:extLst>
        </c:ser>
        <c:marker val="1"/>
        <c:axId val="144365440"/>
        <c:axId val="144366976"/>
      </c:lineChart>
      <c:catAx>
        <c:axId val="144365440"/>
        <c:scaling>
          <c:orientation val="minMax"/>
        </c:scaling>
        <c:axPos val="b"/>
        <c:numFmt formatCode="General" sourceLinked="0"/>
        <c:tickLblPos val="nextTo"/>
        <c:crossAx val="144366976"/>
        <c:crosses val="autoZero"/>
        <c:auto val="1"/>
        <c:lblAlgn val="ctr"/>
        <c:lblOffset val="100"/>
      </c:catAx>
      <c:valAx>
        <c:axId val="144366976"/>
        <c:scaling>
          <c:orientation val="minMax"/>
        </c:scaling>
        <c:axPos val="l"/>
        <c:majorGridlines/>
        <c:numFmt formatCode="General" sourceLinked="1"/>
        <c:tickLblPos val="nextTo"/>
        <c:crossAx val="144365440"/>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досуг'!$C$66</c:f>
              <c:strCache>
                <c:ptCount val="1"/>
                <c:pt idx="0">
                  <c:v>Средний размер месячных пенсий на конец года, руб.</c:v>
                </c:pt>
              </c:strCache>
            </c:strRef>
          </c:tx>
          <c:dLbls>
            <c:dLbl>
              <c:idx val="1"/>
              <c:layout>
                <c:manualLayout>
                  <c:x val="1.66666666666667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47-4FC7-BD7E-2E49ACF6417B}"/>
                </c:ext>
              </c:extLst>
            </c:dLbl>
            <c:dLbl>
              <c:idx val="2"/>
              <c:layout>
                <c:manualLayout>
                  <c:x val="1.6666666666666701E-2"/>
                  <c:y val="1.38888888888892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47-4FC7-BD7E-2E49ACF6417B}"/>
                </c:ext>
              </c:extLst>
            </c:dLbl>
            <c:dLbl>
              <c:idx val="3"/>
              <c:layout>
                <c:manualLayout>
                  <c:x val="2.7777777777778958E-3"/>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47-4FC7-BD7E-2E49ACF6417B}"/>
                </c:ext>
              </c:extLst>
            </c:dLbl>
            <c:dLbl>
              <c:idx val="4"/>
              <c:layout>
                <c:manualLayout>
                  <c:x val="8.3333333333333367E-3"/>
                  <c:y val="-3.24074074074082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47-4FC7-BD7E-2E49ACF6417B}"/>
                </c:ext>
              </c:extLst>
            </c:dLbl>
            <c:dLbl>
              <c:idx val="5"/>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47-4FC7-BD7E-2E49ACF6417B}"/>
                </c:ext>
              </c:extLst>
            </c:dLbl>
            <c:dLbl>
              <c:idx val="6"/>
              <c:layout>
                <c:manualLayout>
                  <c:x val="2.2222222222222251E-2"/>
                  <c:y val="1.38888888888892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47-4FC7-BD7E-2E49ACF6417B}"/>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досуг'!$B$67:$B$73</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досуг'!$C$67:$C$73</c:f>
              <c:numCache>
                <c:formatCode>General</c:formatCode>
                <c:ptCount val="7"/>
                <c:pt idx="0">
                  <c:v>8722.5</c:v>
                </c:pt>
                <c:pt idx="1">
                  <c:v>8896.4</c:v>
                </c:pt>
                <c:pt idx="2">
                  <c:v>8956.2999999999811</c:v>
                </c:pt>
                <c:pt idx="3">
                  <c:v>9005.1</c:v>
                </c:pt>
                <c:pt idx="4">
                  <c:v>9064.7999999999811</c:v>
                </c:pt>
                <c:pt idx="5">
                  <c:v>10095.33</c:v>
                </c:pt>
                <c:pt idx="6">
                  <c:v>10456.959999999744</c:v>
                </c:pt>
              </c:numCache>
            </c:numRef>
          </c:val>
          <c:extLst xmlns:c16r2="http://schemas.microsoft.com/office/drawing/2015/06/chart">
            <c:ext xmlns:c16="http://schemas.microsoft.com/office/drawing/2014/chart" uri="{C3380CC4-5D6E-409C-BE32-E72D297353CC}">
              <c16:uniqueId val="{00000006-F347-4FC7-BD7E-2E49ACF6417B}"/>
            </c:ext>
          </c:extLst>
        </c:ser>
        <c:axId val="145431168"/>
        <c:axId val="145432960"/>
      </c:barChart>
      <c:catAx>
        <c:axId val="145431168"/>
        <c:scaling>
          <c:orientation val="minMax"/>
        </c:scaling>
        <c:axPos val="b"/>
        <c:numFmt formatCode="General" sourceLinked="0"/>
        <c:tickLblPos val="nextTo"/>
        <c:crossAx val="145432960"/>
        <c:crosses val="autoZero"/>
        <c:auto val="1"/>
        <c:lblAlgn val="ctr"/>
        <c:lblOffset val="100"/>
      </c:catAx>
      <c:valAx>
        <c:axId val="145432960"/>
        <c:scaling>
          <c:orientation val="minMax"/>
        </c:scaling>
        <c:axPos val="l"/>
        <c:majorGridlines/>
        <c:numFmt formatCode="General" sourceLinked="1"/>
        <c:tickLblPos val="nextTo"/>
        <c:crossAx val="145431168"/>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dLbls>
            <c:dLbl>
              <c:idx val="0"/>
              <c:layout>
                <c:manualLayout>
                  <c:x val="0"/>
                  <c:y val="4.73372634029840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2D-49BE-8744-E14577D80D52}"/>
                </c:ext>
              </c:extLst>
            </c:dLbl>
            <c:dLbl>
              <c:idx val="1"/>
              <c:layout>
                <c:manualLayout>
                  <c:x val="0"/>
                  <c:y val="3.9447719502486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2D-49BE-8744-E14577D80D52}"/>
                </c:ext>
              </c:extLst>
            </c:dLbl>
            <c:dLbl>
              <c:idx val="2"/>
              <c:layout>
                <c:manualLayout>
                  <c:x val="0"/>
                  <c:y val="2.7613403651740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2D-49BE-8744-E14577D80D52}"/>
                </c:ext>
              </c:extLst>
            </c:dLbl>
            <c:dLbl>
              <c:idx val="4"/>
              <c:layout>
                <c:manualLayout>
                  <c:x val="8.2581613947320165E-17"/>
                  <c:y val="3.9447719502486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2D-49BE-8744-E14577D80D52}"/>
                </c:ext>
              </c:extLst>
            </c:dLbl>
            <c:dLbl>
              <c:idx val="5"/>
              <c:layout>
                <c:manualLayout>
                  <c:x val="-2.2522518528318492E-3"/>
                  <c:y val="3.55029475522380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2D-49BE-8744-E14577D80D5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Консерв.!$R$69:$X$69</c:f>
              <c:strCache>
                <c:ptCount val="7"/>
                <c:pt idx="0">
                  <c:v>01.01.2011 г.</c:v>
                </c:pt>
                <c:pt idx="1">
                  <c:v>01.01.2012 г.</c:v>
                </c:pt>
                <c:pt idx="2">
                  <c:v>01.01.2013 г.</c:v>
                </c:pt>
                <c:pt idx="3">
                  <c:v>01.01.2014 г.</c:v>
                </c:pt>
                <c:pt idx="4">
                  <c:v>01.01.2015 г.</c:v>
                </c:pt>
                <c:pt idx="5">
                  <c:v>01.01.2016 г.</c:v>
                </c:pt>
                <c:pt idx="6">
                  <c:v>01.01.2017 г.</c:v>
                </c:pt>
              </c:strCache>
            </c:strRef>
          </c:cat>
          <c:val>
            <c:numRef>
              <c:f>Консерв.!$V$37:$V$43</c:f>
              <c:numCache>
                <c:formatCode>0.000</c:formatCode>
                <c:ptCount val="7"/>
                <c:pt idx="0">
                  <c:v>0.42232149188116591</c:v>
                </c:pt>
                <c:pt idx="1">
                  <c:v>0.42353440951571791</c:v>
                </c:pt>
                <c:pt idx="2">
                  <c:v>0.42691578281942266</c:v>
                </c:pt>
                <c:pt idx="3">
                  <c:v>0.44371387283236996</c:v>
                </c:pt>
                <c:pt idx="4">
                  <c:v>0.58603104212860313</c:v>
                </c:pt>
                <c:pt idx="5">
                  <c:v>0.61048343709169162</c:v>
                </c:pt>
                <c:pt idx="6">
                  <c:v>0.60927253317065733</c:v>
                </c:pt>
              </c:numCache>
            </c:numRef>
          </c:val>
          <c:extLst xmlns:c16r2="http://schemas.microsoft.com/office/drawing/2015/06/chart">
            <c:ext xmlns:c16="http://schemas.microsoft.com/office/drawing/2014/chart" uri="{C3380CC4-5D6E-409C-BE32-E72D297353CC}">
              <c16:uniqueId val="{00000005-AE2D-49BE-8744-E14577D80D52}"/>
            </c:ext>
          </c:extLst>
        </c:ser>
        <c:marker val="1"/>
        <c:axId val="145451264"/>
        <c:axId val="145453056"/>
      </c:lineChart>
      <c:catAx>
        <c:axId val="145451264"/>
        <c:scaling>
          <c:orientation val="minMax"/>
        </c:scaling>
        <c:axPos val="b"/>
        <c:numFmt formatCode="General" sourceLinked="0"/>
        <c:tickLblPos val="nextTo"/>
        <c:crossAx val="145453056"/>
        <c:crosses val="autoZero"/>
        <c:auto val="1"/>
        <c:lblAlgn val="ctr"/>
        <c:lblOffset val="100"/>
      </c:catAx>
      <c:valAx>
        <c:axId val="145453056"/>
        <c:scaling>
          <c:orientation val="minMax"/>
        </c:scaling>
        <c:axPos val="l"/>
        <c:majorGridlines>
          <c:spPr>
            <a:ln w="0">
              <a:solidFill>
                <a:schemeClr val="bg1"/>
              </a:solidFill>
            </a:ln>
          </c:spPr>
        </c:majorGridlines>
        <c:numFmt formatCode="0.000" sourceLinked="1"/>
        <c:tickLblPos val="nextTo"/>
        <c:crossAx val="145451264"/>
        <c:crosses val="autoZero"/>
        <c:crossBetween val="between"/>
      </c:valAx>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досуг'!$C$83</c:f>
              <c:strCache>
                <c:ptCount val="1"/>
                <c:pt idx="0">
                  <c:v>Число семей, стоящих на учете, как нуждающиеся в жилых помещениях, единиц</c:v>
                </c:pt>
              </c:strCache>
            </c:strRef>
          </c:tx>
          <c:dLbls>
            <c:dLbl>
              <c:idx val="0"/>
              <c:layout>
                <c:manualLayout>
                  <c:x val="0"/>
                  <c:y val="2.7777777777778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80-4277-9C8C-68E8D20942DF}"/>
                </c:ext>
              </c:extLst>
            </c:dLbl>
            <c:dLbl>
              <c:idx val="1"/>
              <c:layout>
                <c:manualLayout>
                  <c:x val="0"/>
                  <c:y val="4.629629629629590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80-4277-9C8C-68E8D20942DF}"/>
                </c:ext>
              </c:extLst>
            </c:dLbl>
            <c:dLbl>
              <c:idx val="2"/>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80-4277-9C8C-68E8D20942DF}"/>
                </c:ext>
              </c:extLst>
            </c:dLbl>
            <c:dLbl>
              <c:idx val="3"/>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80-4277-9C8C-68E8D20942DF}"/>
                </c:ext>
              </c:extLst>
            </c:dLbl>
            <c:dLbl>
              <c:idx val="6"/>
              <c:layout>
                <c:manualLayout>
                  <c:x val="2.777777777778016E-3"/>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80-4277-9C8C-68E8D20942DF}"/>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досуг'!$B$84:$B$90</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досуг'!$C$84:$C$90</c:f>
              <c:numCache>
                <c:formatCode>General</c:formatCode>
                <c:ptCount val="7"/>
                <c:pt idx="0">
                  <c:v>340</c:v>
                </c:pt>
                <c:pt idx="1">
                  <c:v>338</c:v>
                </c:pt>
                <c:pt idx="2">
                  <c:v>335</c:v>
                </c:pt>
                <c:pt idx="3">
                  <c:v>330</c:v>
                </c:pt>
                <c:pt idx="4">
                  <c:v>326</c:v>
                </c:pt>
                <c:pt idx="5">
                  <c:v>322</c:v>
                </c:pt>
                <c:pt idx="6">
                  <c:v>320</c:v>
                </c:pt>
              </c:numCache>
            </c:numRef>
          </c:val>
          <c:extLst xmlns:c16r2="http://schemas.microsoft.com/office/drawing/2015/06/chart">
            <c:ext xmlns:c16="http://schemas.microsoft.com/office/drawing/2014/chart" uri="{C3380CC4-5D6E-409C-BE32-E72D297353CC}">
              <c16:uniqueId val="{00000005-4E80-4277-9C8C-68E8D20942DF}"/>
            </c:ext>
          </c:extLst>
        </c:ser>
        <c:axId val="145469824"/>
        <c:axId val="145471360"/>
      </c:barChart>
      <c:catAx>
        <c:axId val="145469824"/>
        <c:scaling>
          <c:orientation val="minMax"/>
        </c:scaling>
        <c:axPos val="b"/>
        <c:numFmt formatCode="General" sourceLinked="0"/>
        <c:tickLblPos val="nextTo"/>
        <c:crossAx val="145471360"/>
        <c:crosses val="autoZero"/>
        <c:auto val="1"/>
        <c:lblAlgn val="ctr"/>
        <c:lblOffset val="100"/>
      </c:catAx>
      <c:valAx>
        <c:axId val="145471360"/>
        <c:scaling>
          <c:orientation val="minMax"/>
        </c:scaling>
        <c:axPos val="l"/>
        <c:majorGridlines/>
        <c:numFmt formatCode="General" sourceLinked="1"/>
        <c:tickLblPos val="nextTo"/>
        <c:crossAx val="145469824"/>
        <c:crosses val="autoZero"/>
        <c:crossBetween val="between"/>
      </c:valAx>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досуг'!$C$129</c:f>
              <c:strCache>
                <c:ptCount val="1"/>
                <c:pt idx="0">
                  <c:v>Кол-во зарегистрированных преступлений на 10000 человек населения, ед.</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досуг'!$B$130:$B$136</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досуг'!$C$130:$C$136</c:f>
              <c:numCache>
                <c:formatCode>General</c:formatCode>
                <c:ptCount val="7"/>
                <c:pt idx="0">
                  <c:v>166.5</c:v>
                </c:pt>
                <c:pt idx="1">
                  <c:v>163.9</c:v>
                </c:pt>
                <c:pt idx="2">
                  <c:v>190.1</c:v>
                </c:pt>
                <c:pt idx="3">
                  <c:v>180.6</c:v>
                </c:pt>
                <c:pt idx="4">
                  <c:v>169.6</c:v>
                </c:pt>
                <c:pt idx="5">
                  <c:v>195.5</c:v>
                </c:pt>
                <c:pt idx="6">
                  <c:v>179.8</c:v>
                </c:pt>
              </c:numCache>
            </c:numRef>
          </c:val>
          <c:extLst xmlns:c16r2="http://schemas.microsoft.com/office/drawing/2015/06/chart">
            <c:ext xmlns:c16="http://schemas.microsoft.com/office/drawing/2014/chart" uri="{C3380CC4-5D6E-409C-BE32-E72D297353CC}">
              <c16:uniqueId val="{00000000-3ED4-4F84-9DDC-5DA68C45B953}"/>
            </c:ext>
          </c:extLst>
        </c:ser>
        <c:axId val="146117760"/>
        <c:axId val="146119296"/>
      </c:barChart>
      <c:catAx>
        <c:axId val="146117760"/>
        <c:scaling>
          <c:orientation val="minMax"/>
        </c:scaling>
        <c:axPos val="b"/>
        <c:numFmt formatCode="General" sourceLinked="0"/>
        <c:tickLblPos val="nextTo"/>
        <c:crossAx val="146119296"/>
        <c:crosses val="autoZero"/>
        <c:auto val="1"/>
        <c:lblAlgn val="ctr"/>
        <c:lblOffset val="100"/>
      </c:catAx>
      <c:valAx>
        <c:axId val="146119296"/>
        <c:scaling>
          <c:orientation val="minMax"/>
        </c:scaling>
        <c:axPos val="l"/>
        <c:majorGridlines/>
        <c:numFmt formatCode="General" sourceLinked="1"/>
        <c:tickLblPos val="nextTo"/>
        <c:crossAx val="146117760"/>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досуг'!$C$141</c:f>
              <c:strCache>
                <c:ptCount val="1"/>
                <c:pt idx="0">
                  <c:v>Детская преступность, кол-во зарегистрированных преступлений совершенных несовершеннолетними на 10000 человек населения, ед.</c:v>
                </c:pt>
              </c:strCache>
            </c:strRef>
          </c:tx>
          <c:dLbls>
            <c:dLbl>
              <c:idx val="2"/>
              <c:layout>
                <c:manualLayout>
                  <c:x val="-2.5204788909892408E-3"/>
                  <c:y val="-1.60642570281124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B0-4416-9E47-4A2E5E16AF40}"/>
                </c:ext>
              </c:extLst>
            </c:dLbl>
            <c:dLbl>
              <c:idx val="3"/>
              <c:layout>
                <c:manualLayout>
                  <c:x val="5.0409577819785934E-3"/>
                  <c:y val="1.6064257028112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B0-4416-9E47-4A2E5E16AF40}"/>
                </c:ext>
              </c:extLst>
            </c:dLbl>
            <c:dLbl>
              <c:idx val="4"/>
              <c:layout>
                <c:manualLayout>
                  <c:x val="7.5614366729678814E-3"/>
                  <c:y val="8.032128514056224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B0-4416-9E47-4A2E5E16AF40}"/>
                </c:ext>
              </c:extLst>
            </c:dLbl>
            <c:dLbl>
              <c:idx val="5"/>
              <c:layout>
                <c:manualLayout>
                  <c:x val="0"/>
                  <c:y val="2.40963855421686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B0-4416-9E47-4A2E5E16AF40}"/>
                </c:ext>
              </c:extLst>
            </c:dLbl>
            <c:dLbl>
              <c:idx val="6"/>
              <c:layout>
                <c:manualLayout>
                  <c:x val="0"/>
                  <c:y val="1.6064257028112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5B0-4416-9E47-4A2E5E16AF40}"/>
                </c:ext>
              </c:extLst>
            </c:dLbl>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досуг'!$B$142:$B$148</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досуг'!$C$142:$C$148</c:f>
              <c:numCache>
                <c:formatCode>General</c:formatCode>
                <c:ptCount val="7"/>
                <c:pt idx="0">
                  <c:v>3.2</c:v>
                </c:pt>
                <c:pt idx="1">
                  <c:v>3.9</c:v>
                </c:pt>
                <c:pt idx="2">
                  <c:v>2.4</c:v>
                </c:pt>
                <c:pt idx="3">
                  <c:v>5.2</c:v>
                </c:pt>
                <c:pt idx="4">
                  <c:v>4.4000000000000004</c:v>
                </c:pt>
                <c:pt idx="5">
                  <c:v>6.1</c:v>
                </c:pt>
                <c:pt idx="6">
                  <c:v>4</c:v>
                </c:pt>
              </c:numCache>
            </c:numRef>
          </c:val>
          <c:extLst xmlns:c16r2="http://schemas.microsoft.com/office/drawing/2015/06/chart">
            <c:ext xmlns:c16="http://schemas.microsoft.com/office/drawing/2014/chart" uri="{C3380CC4-5D6E-409C-BE32-E72D297353CC}">
              <c16:uniqueId val="{00000005-C5B0-4416-9E47-4A2E5E16AF40}"/>
            </c:ext>
          </c:extLst>
        </c:ser>
        <c:axId val="146134912"/>
        <c:axId val="146136448"/>
      </c:barChart>
      <c:catAx>
        <c:axId val="146134912"/>
        <c:scaling>
          <c:orientation val="minMax"/>
        </c:scaling>
        <c:axPos val="b"/>
        <c:numFmt formatCode="General" sourceLinked="0"/>
        <c:tickLblPos val="nextTo"/>
        <c:crossAx val="146136448"/>
        <c:crosses val="autoZero"/>
        <c:auto val="1"/>
        <c:lblAlgn val="ctr"/>
        <c:lblOffset val="100"/>
      </c:catAx>
      <c:valAx>
        <c:axId val="146136448"/>
        <c:scaling>
          <c:orientation val="minMax"/>
        </c:scaling>
        <c:axPos val="l"/>
        <c:majorGridlines/>
        <c:numFmt formatCode="General" sourceLinked="1"/>
        <c:tickLblPos val="nextTo"/>
        <c:crossAx val="146134912"/>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транспорт!$E$41</c:f>
              <c:strCache>
                <c:ptCount val="1"/>
                <c:pt idx="0">
                  <c:v>Доля автодорог общего пользования местного значения, не отвечающих нормативным требованиям,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транспорт!$D$42:$D$48</c:f>
              <c:strCache>
                <c:ptCount val="7"/>
                <c:pt idx="0">
                  <c:v>01.01.2011 г.</c:v>
                </c:pt>
                <c:pt idx="1">
                  <c:v>01.01.2012 г.</c:v>
                </c:pt>
                <c:pt idx="2">
                  <c:v>01.01.2013 г.</c:v>
                </c:pt>
                <c:pt idx="3">
                  <c:v>01.01.2014 г.</c:v>
                </c:pt>
                <c:pt idx="4">
                  <c:v>01.01.2015 г.</c:v>
                </c:pt>
                <c:pt idx="5">
                  <c:v>01.01.2016 г.</c:v>
                </c:pt>
                <c:pt idx="6">
                  <c:v>01.01.2017 г.</c:v>
                </c:pt>
              </c:strCache>
            </c:strRef>
          </c:cat>
          <c:val>
            <c:numRef>
              <c:f>транспорт!$E$42:$E$48</c:f>
              <c:numCache>
                <c:formatCode>General</c:formatCode>
                <c:ptCount val="7"/>
                <c:pt idx="0">
                  <c:v>68.88</c:v>
                </c:pt>
                <c:pt idx="1">
                  <c:v>66.959999999999994</c:v>
                </c:pt>
                <c:pt idx="2">
                  <c:v>66.959999999999994</c:v>
                </c:pt>
                <c:pt idx="3">
                  <c:v>30.17</c:v>
                </c:pt>
                <c:pt idx="4">
                  <c:v>29.39</c:v>
                </c:pt>
                <c:pt idx="5">
                  <c:v>27.37</c:v>
                </c:pt>
                <c:pt idx="6">
                  <c:v>27.4</c:v>
                </c:pt>
              </c:numCache>
            </c:numRef>
          </c:val>
          <c:extLst xmlns:c16r2="http://schemas.microsoft.com/office/drawing/2015/06/chart">
            <c:ext xmlns:c16="http://schemas.microsoft.com/office/drawing/2014/chart" uri="{C3380CC4-5D6E-409C-BE32-E72D297353CC}">
              <c16:uniqueId val="{00000000-E9E2-47A3-A39E-E3A92D355FD8}"/>
            </c:ext>
          </c:extLst>
        </c:ser>
        <c:gapWidth val="219"/>
        <c:overlap val="-27"/>
        <c:axId val="153291392"/>
        <c:axId val="153293184"/>
      </c:barChart>
      <c:catAx>
        <c:axId val="153291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93184"/>
        <c:crosses val="autoZero"/>
        <c:auto val="1"/>
        <c:lblAlgn val="ctr"/>
        <c:lblOffset val="100"/>
      </c:catAx>
      <c:valAx>
        <c:axId val="153293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9139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транспорт!$E$56</c:f>
              <c:strCache>
                <c:ptCount val="1"/>
                <c:pt idx="0">
                  <c:v>Доля освещенных улиц, проездов, набережных,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транспорт!$D$57:$D$63</c:f>
              <c:strCache>
                <c:ptCount val="7"/>
                <c:pt idx="0">
                  <c:v>01.01.2011 г.</c:v>
                </c:pt>
                <c:pt idx="1">
                  <c:v>01.01.2012 г.</c:v>
                </c:pt>
                <c:pt idx="2">
                  <c:v>01.01.2013 г.</c:v>
                </c:pt>
                <c:pt idx="3">
                  <c:v>01.01.2014 г.</c:v>
                </c:pt>
                <c:pt idx="4">
                  <c:v>01.01.2015 г.</c:v>
                </c:pt>
                <c:pt idx="5">
                  <c:v>01.01.2016 г.</c:v>
                </c:pt>
                <c:pt idx="6">
                  <c:v>01.01.2017 г.</c:v>
                </c:pt>
              </c:strCache>
            </c:strRef>
          </c:cat>
          <c:val>
            <c:numRef>
              <c:f>транспорт!$E$57:$E$63</c:f>
              <c:numCache>
                <c:formatCode>General</c:formatCode>
                <c:ptCount val="7"/>
                <c:pt idx="0">
                  <c:v>63.7</c:v>
                </c:pt>
                <c:pt idx="1">
                  <c:v>64.989999999999995</c:v>
                </c:pt>
                <c:pt idx="2">
                  <c:v>65</c:v>
                </c:pt>
                <c:pt idx="3">
                  <c:v>65</c:v>
                </c:pt>
                <c:pt idx="4">
                  <c:v>65</c:v>
                </c:pt>
                <c:pt idx="5">
                  <c:v>72.8</c:v>
                </c:pt>
                <c:pt idx="6">
                  <c:v>73</c:v>
                </c:pt>
              </c:numCache>
            </c:numRef>
          </c:val>
          <c:extLst xmlns:c16r2="http://schemas.microsoft.com/office/drawing/2015/06/chart">
            <c:ext xmlns:c16="http://schemas.microsoft.com/office/drawing/2014/chart" uri="{C3380CC4-5D6E-409C-BE32-E72D297353CC}">
              <c16:uniqueId val="{00000000-3AB6-46BB-9288-A6A8FA91F0FB}"/>
            </c:ext>
          </c:extLst>
        </c:ser>
        <c:gapWidth val="219"/>
        <c:overlap val="-27"/>
        <c:axId val="153304448"/>
        <c:axId val="153314432"/>
      </c:barChart>
      <c:catAx>
        <c:axId val="153304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314432"/>
        <c:crosses val="autoZero"/>
        <c:auto val="1"/>
        <c:lblAlgn val="ctr"/>
        <c:lblOffset val="100"/>
      </c:catAx>
      <c:valAx>
        <c:axId val="153314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3044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градостроительство!$D$2</c:f>
              <c:strCache>
                <c:ptCount val="1"/>
                <c:pt idx="0">
                  <c:v>Жилищный фонд, тыс. кв. метров</c:v>
                </c:pt>
              </c:strCache>
            </c:strRef>
          </c:tx>
          <c:dLbls>
            <c:dLbl>
              <c:idx val="0"/>
              <c:layout>
                <c:manualLayout>
                  <c:x val="1.5191797788479181E-3"/>
                  <c:y val="-0.1885308718432674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A0-44F2-BE9D-B1A711346CF0}"/>
                </c:ext>
              </c:extLst>
            </c:dLbl>
            <c:dLbl>
              <c:idx val="1"/>
              <c:layout>
                <c:manualLayout>
                  <c:x val="-1.2578751335810695E-3"/>
                  <c:y val="-0.210911557403639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A0-44F2-BE9D-B1A711346CF0}"/>
                </c:ext>
              </c:extLst>
            </c:dLbl>
            <c:dLbl>
              <c:idx val="2"/>
              <c:layout>
                <c:manualLayout>
                  <c:x val="6.7570770008094103E-4"/>
                  <c:y val="-0.2540733531904018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A0-44F2-BE9D-B1A711346CF0}"/>
                </c:ext>
              </c:extLst>
            </c:dLbl>
            <c:dLbl>
              <c:idx val="3"/>
              <c:layout>
                <c:manualLayout>
                  <c:x val="5.5555406511153737E-3"/>
                  <c:y val="-0.2868064525642168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A0-44F2-BE9D-B1A711346CF0}"/>
                </c:ext>
              </c:extLst>
            </c:dLbl>
            <c:dLbl>
              <c:idx val="4"/>
              <c:layout>
                <c:manualLayout>
                  <c:x val="3.791153022396986E-3"/>
                  <c:y val="-0.3127252351882983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A0-44F2-BE9D-B1A711346CF0}"/>
                </c:ext>
              </c:extLst>
            </c:dLbl>
            <c:dLbl>
              <c:idx val="5"/>
              <c:layout>
                <c:manualLayout>
                  <c:x val="-5.0492070092602653E-3"/>
                  <c:y val="-0.3281091548949689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A0-44F2-BE9D-B1A711346CF0}"/>
                </c:ext>
              </c:extLst>
            </c:dLbl>
            <c:dLbl>
              <c:idx val="6"/>
              <c:layout>
                <c:manualLayout>
                  <c:x val="2.2714366837024492E-3"/>
                  <c:y val="-0.388236358095687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A0-44F2-BE9D-B1A711346CF0}"/>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градостроительство!$C$3:$C$9</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градостроительство!$D$3:$D$9</c:f>
              <c:numCache>
                <c:formatCode>General</c:formatCode>
                <c:ptCount val="7"/>
                <c:pt idx="0">
                  <c:v>624.79999999999995</c:v>
                </c:pt>
                <c:pt idx="1">
                  <c:v>632.9</c:v>
                </c:pt>
                <c:pt idx="2">
                  <c:v>643.79999999999995</c:v>
                </c:pt>
                <c:pt idx="3">
                  <c:v>648.79999999999995</c:v>
                </c:pt>
                <c:pt idx="4">
                  <c:v>661.6</c:v>
                </c:pt>
                <c:pt idx="5">
                  <c:v>667</c:v>
                </c:pt>
                <c:pt idx="6">
                  <c:v>681.3</c:v>
                </c:pt>
              </c:numCache>
            </c:numRef>
          </c:val>
          <c:extLst xmlns:c16r2="http://schemas.microsoft.com/office/drawing/2015/06/chart">
            <c:ext xmlns:c16="http://schemas.microsoft.com/office/drawing/2014/chart" uri="{C3380CC4-5D6E-409C-BE32-E72D297353CC}">
              <c16:uniqueId val="{00000007-57A0-44F2-BE9D-B1A711346CF0}"/>
            </c:ext>
          </c:extLst>
        </c:ser>
        <c:overlap val="100"/>
        <c:axId val="153342336"/>
        <c:axId val="153343872"/>
      </c:barChart>
      <c:catAx>
        <c:axId val="153342336"/>
        <c:scaling>
          <c:orientation val="minMax"/>
        </c:scaling>
        <c:axPos val="b"/>
        <c:numFmt formatCode="General" sourceLinked="0"/>
        <c:tickLblPos val="nextTo"/>
        <c:crossAx val="153343872"/>
        <c:crosses val="autoZero"/>
        <c:auto val="1"/>
        <c:lblAlgn val="ctr"/>
        <c:lblOffset val="100"/>
      </c:catAx>
      <c:valAx>
        <c:axId val="153343872"/>
        <c:scaling>
          <c:orientation val="minMax"/>
        </c:scaling>
        <c:axPos val="l"/>
        <c:majorGridlines/>
        <c:numFmt formatCode="General" sourceLinked="1"/>
        <c:tickLblPos val="nextTo"/>
        <c:crossAx val="153342336"/>
        <c:crosses val="autoZero"/>
        <c:crossBetween val="between"/>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градостроительство!$D$14</c:f>
              <c:strCache>
                <c:ptCount val="1"/>
                <c:pt idx="0">
                  <c:v>Доля  площади  жилых помещений в аварийных домах в общей площади жилищного фонда, %</c:v>
                </c:pt>
              </c:strCache>
            </c:strRef>
          </c:tx>
          <c:dLbls>
            <c:spPr>
              <a:noFill/>
              <a:ln>
                <a:noFill/>
              </a:ln>
              <a:effectLst/>
            </c:spPr>
            <c:txPr>
              <a:bodyPr/>
              <a:lstStyle/>
              <a:p>
                <a:pPr>
                  <a:defRPr sz="105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градостроительство!$C$15:$C$21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градостроительство!$D$15:$D$21</c:f>
              <c:numCache>
                <c:formatCode>General</c:formatCode>
                <c:ptCount val="7"/>
                <c:pt idx="0">
                  <c:v>1.23</c:v>
                </c:pt>
                <c:pt idx="1">
                  <c:v>0.76000000000001178</c:v>
                </c:pt>
                <c:pt idx="2">
                  <c:v>0.92</c:v>
                </c:pt>
                <c:pt idx="3">
                  <c:v>0.94000000000000061</c:v>
                </c:pt>
                <c:pt idx="4">
                  <c:v>0.46900000000000008</c:v>
                </c:pt>
                <c:pt idx="5">
                  <c:v>0.45200000000000001</c:v>
                </c:pt>
                <c:pt idx="6">
                  <c:v>0.33400000000000668</c:v>
                </c:pt>
              </c:numCache>
            </c:numRef>
          </c:val>
          <c:extLst xmlns:c16r2="http://schemas.microsoft.com/office/drawing/2015/06/chart">
            <c:ext xmlns:c16="http://schemas.microsoft.com/office/drawing/2014/chart" uri="{C3380CC4-5D6E-409C-BE32-E72D297353CC}">
              <c16:uniqueId val="{00000000-1251-4537-B197-C35B5B9D0074}"/>
            </c:ext>
          </c:extLst>
        </c:ser>
        <c:overlap val="100"/>
        <c:axId val="153367680"/>
        <c:axId val="153369216"/>
      </c:barChart>
      <c:catAx>
        <c:axId val="153367680"/>
        <c:scaling>
          <c:orientation val="minMax"/>
        </c:scaling>
        <c:axPos val="b"/>
        <c:numFmt formatCode="General" sourceLinked="0"/>
        <c:tickLblPos val="nextTo"/>
        <c:crossAx val="153369216"/>
        <c:crosses val="autoZero"/>
        <c:auto val="1"/>
        <c:lblAlgn val="ctr"/>
        <c:lblOffset val="100"/>
      </c:catAx>
      <c:valAx>
        <c:axId val="153369216"/>
        <c:scaling>
          <c:orientation val="minMax"/>
        </c:scaling>
        <c:axPos val="l"/>
        <c:majorGridlines/>
        <c:numFmt formatCode="General" sourceLinked="1"/>
        <c:tickLblPos val="nextTo"/>
        <c:crossAx val="153367680"/>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Рисунки!$B$3:$H$3</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Рисунки!$B$6:$H$6</c:f>
              <c:numCache>
                <c:formatCode>General</c:formatCode>
                <c:ptCount val="7"/>
                <c:pt idx="0">
                  <c:v>27993</c:v>
                </c:pt>
                <c:pt idx="1">
                  <c:v>27293</c:v>
                </c:pt>
                <c:pt idx="2">
                  <c:v>28643</c:v>
                </c:pt>
                <c:pt idx="3">
                  <c:v>28650</c:v>
                </c:pt>
                <c:pt idx="4">
                  <c:v>26731</c:v>
                </c:pt>
                <c:pt idx="5">
                  <c:v>26712</c:v>
                </c:pt>
                <c:pt idx="6">
                  <c:v>26466</c:v>
                </c:pt>
              </c:numCache>
            </c:numRef>
          </c:val>
          <c:extLst xmlns:c16r2="http://schemas.microsoft.com/office/drawing/2015/06/chart">
            <c:ext xmlns:c16="http://schemas.microsoft.com/office/drawing/2014/chart" uri="{C3380CC4-5D6E-409C-BE32-E72D297353CC}">
              <c16:uniqueId val="{00000000-E931-4F7A-9962-1C85FA6A3E2F}"/>
            </c:ext>
          </c:extLst>
        </c:ser>
        <c:axId val="178022272"/>
        <c:axId val="178023808"/>
      </c:barChart>
      <c:catAx>
        <c:axId val="178022272"/>
        <c:scaling>
          <c:orientation val="minMax"/>
        </c:scaling>
        <c:axPos val="b"/>
        <c:numFmt formatCode="General" sourceLinked="0"/>
        <c:tickLblPos val="nextTo"/>
        <c:crossAx val="178023808"/>
        <c:crosses val="autoZero"/>
        <c:auto val="1"/>
        <c:lblAlgn val="ctr"/>
        <c:lblOffset val="100"/>
      </c:catAx>
      <c:valAx>
        <c:axId val="178023808"/>
        <c:scaling>
          <c:orientation val="minMax"/>
        </c:scaling>
        <c:axPos val="l"/>
        <c:majorGridlines/>
        <c:numFmt formatCode="General" sourceLinked="1"/>
        <c:tickLblPos val="nextTo"/>
        <c:crossAx val="178022272"/>
        <c:crosses val="autoZero"/>
        <c:crossBetween val="between"/>
      </c:valAx>
    </c:plotArea>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градостроительство!$D$26</c:f>
              <c:strCache>
                <c:ptCount val="1"/>
                <c:pt idx="0">
                  <c:v>Общая площадь жилых помещений в расчете на одного жителя, кв. м.</c:v>
                </c:pt>
              </c:strCache>
            </c:strRef>
          </c:tx>
          <c:dLbls>
            <c:spPr>
              <a:noFill/>
              <a:ln>
                <a:noFill/>
              </a:ln>
              <a:effectLst/>
            </c:spPr>
            <c:txPr>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градостроительство!$C$27:$C$33</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градостроительство!$D$27:$D$33</c:f>
              <c:numCache>
                <c:formatCode>General</c:formatCode>
                <c:ptCount val="7"/>
                <c:pt idx="0">
                  <c:v>24.4</c:v>
                </c:pt>
                <c:pt idx="1">
                  <c:v>24.9</c:v>
                </c:pt>
                <c:pt idx="2">
                  <c:v>25.5</c:v>
                </c:pt>
                <c:pt idx="3">
                  <c:v>25.4</c:v>
                </c:pt>
                <c:pt idx="4">
                  <c:v>26.3</c:v>
                </c:pt>
                <c:pt idx="5">
                  <c:v>26.4</c:v>
                </c:pt>
                <c:pt idx="6">
                  <c:v>26.9</c:v>
                </c:pt>
              </c:numCache>
            </c:numRef>
          </c:val>
          <c:extLst xmlns:c16r2="http://schemas.microsoft.com/office/drawing/2015/06/chart">
            <c:ext xmlns:c16="http://schemas.microsoft.com/office/drawing/2014/chart" uri="{C3380CC4-5D6E-409C-BE32-E72D297353CC}">
              <c16:uniqueId val="{00000000-8404-4C5F-BD30-98A8044ACA78}"/>
            </c:ext>
          </c:extLst>
        </c:ser>
        <c:overlap val="100"/>
        <c:axId val="153388928"/>
        <c:axId val="153390464"/>
      </c:barChart>
      <c:catAx>
        <c:axId val="153388928"/>
        <c:scaling>
          <c:orientation val="minMax"/>
        </c:scaling>
        <c:axPos val="b"/>
        <c:numFmt formatCode="General" sourceLinked="0"/>
        <c:tickLblPos val="nextTo"/>
        <c:crossAx val="153390464"/>
        <c:crosses val="autoZero"/>
        <c:auto val="1"/>
        <c:lblAlgn val="ctr"/>
        <c:lblOffset val="100"/>
      </c:catAx>
      <c:valAx>
        <c:axId val="153390464"/>
        <c:scaling>
          <c:orientation val="minMax"/>
        </c:scaling>
        <c:axPos val="l"/>
        <c:majorGridlines/>
        <c:numFmt formatCode="General" sourceLinked="1"/>
        <c:tickLblPos val="nextTo"/>
        <c:crossAx val="153388928"/>
        <c:crosses val="autoZero"/>
        <c:crossBetween val="between"/>
      </c:valAx>
    </c:plotArea>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градостроительство!$D$44</c:f>
              <c:strCache>
                <c:ptCount val="1"/>
                <c:pt idx="0">
                  <c:v>Количество негазифицированных  населенных пунктов, единиц</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градостроительство!$C$45:$C$51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градостроительство!$D$45:$D$51</c:f>
              <c:numCache>
                <c:formatCode>General</c:formatCode>
                <c:ptCount val="7"/>
                <c:pt idx="0">
                  <c:v>50</c:v>
                </c:pt>
                <c:pt idx="1">
                  <c:v>50</c:v>
                </c:pt>
                <c:pt idx="2">
                  <c:v>49</c:v>
                </c:pt>
                <c:pt idx="3">
                  <c:v>46</c:v>
                </c:pt>
                <c:pt idx="4">
                  <c:v>46</c:v>
                </c:pt>
                <c:pt idx="5">
                  <c:v>46</c:v>
                </c:pt>
                <c:pt idx="6">
                  <c:v>45</c:v>
                </c:pt>
              </c:numCache>
            </c:numRef>
          </c:val>
          <c:extLst xmlns:c16r2="http://schemas.microsoft.com/office/drawing/2015/06/chart">
            <c:ext xmlns:c16="http://schemas.microsoft.com/office/drawing/2014/chart" uri="{C3380CC4-5D6E-409C-BE32-E72D297353CC}">
              <c16:uniqueId val="{00000000-1A29-43B2-98A1-A1D04E09A8DA}"/>
            </c:ext>
          </c:extLst>
        </c:ser>
        <c:overlap val="100"/>
        <c:axId val="153410176"/>
        <c:axId val="153416064"/>
      </c:barChart>
      <c:catAx>
        <c:axId val="153410176"/>
        <c:scaling>
          <c:orientation val="minMax"/>
        </c:scaling>
        <c:axPos val="b"/>
        <c:numFmt formatCode="General" sourceLinked="0"/>
        <c:tickLblPos val="nextTo"/>
        <c:crossAx val="153416064"/>
        <c:crosses val="autoZero"/>
        <c:auto val="1"/>
        <c:lblAlgn val="ctr"/>
        <c:lblOffset val="100"/>
      </c:catAx>
      <c:valAx>
        <c:axId val="153416064"/>
        <c:scaling>
          <c:orientation val="minMax"/>
        </c:scaling>
        <c:axPos val="l"/>
        <c:majorGridlines/>
        <c:numFmt formatCode="General" sourceLinked="1"/>
        <c:tickLblPos val="nextTo"/>
        <c:crossAx val="153410176"/>
        <c:crosses val="autoZero"/>
        <c:crossBetween val="between"/>
      </c:valAx>
    </c:plotArea>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градостроительство!$D$55</c:f>
              <c:strCache>
                <c:ptCount val="1"/>
                <c:pt idx="0">
                  <c:v>Обеспечение жилого фонда сетевым газом, %</c:v>
                </c:pt>
              </c:strCache>
            </c:strRef>
          </c:tx>
          <c:dLbls>
            <c:spPr>
              <a:noFill/>
              <a:ln>
                <a:noFill/>
              </a:ln>
              <a:effectLst/>
            </c:spPr>
            <c:txPr>
              <a:bodyPr/>
              <a:lstStyle/>
              <a:p>
                <a:pPr>
                  <a:defRPr sz="105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градостроительство!$C$56:$C$62</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градостроительство!$D$56:$D$62</c:f>
              <c:numCache>
                <c:formatCode>General</c:formatCode>
                <c:ptCount val="7"/>
                <c:pt idx="0">
                  <c:v>35</c:v>
                </c:pt>
                <c:pt idx="1">
                  <c:v>38</c:v>
                </c:pt>
                <c:pt idx="2">
                  <c:v>39.700000000000003</c:v>
                </c:pt>
                <c:pt idx="3">
                  <c:v>40</c:v>
                </c:pt>
                <c:pt idx="4">
                  <c:v>41</c:v>
                </c:pt>
                <c:pt idx="5">
                  <c:v>42</c:v>
                </c:pt>
                <c:pt idx="6">
                  <c:v>42</c:v>
                </c:pt>
              </c:numCache>
            </c:numRef>
          </c:val>
          <c:extLst xmlns:c16r2="http://schemas.microsoft.com/office/drawing/2015/06/chart">
            <c:ext xmlns:c16="http://schemas.microsoft.com/office/drawing/2014/chart" uri="{C3380CC4-5D6E-409C-BE32-E72D297353CC}">
              <c16:uniqueId val="{00000000-19E7-4768-94C8-3F95253CE3C7}"/>
            </c:ext>
          </c:extLst>
        </c:ser>
        <c:overlap val="100"/>
        <c:axId val="153427328"/>
        <c:axId val="153441408"/>
      </c:barChart>
      <c:catAx>
        <c:axId val="153427328"/>
        <c:scaling>
          <c:orientation val="minMax"/>
        </c:scaling>
        <c:axPos val="b"/>
        <c:numFmt formatCode="General" sourceLinked="0"/>
        <c:tickLblPos val="nextTo"/>
        <c:crossAx val="153441408"/>
        <c:crosses val="autoZero"/>
        <c:auto val="1"/>
        <c:lblAlgn val="ctr"/>
        <c:lblOffset val="100"/>
      </c:catAx>
      <c:valAx>
        <c:axId val="153441408"/>
        <c:scaling>
          <c:orientation val="minMax"/>
        </c:scaling>
        <c:axPos val="l"/>
        <c:majorGridlines/>
        <c:numFmt formatCode="General" sourceLinked="1"/>
        <c:tickLblPos val="nextTo"/>
        <c:crossAx val="153427328"/>
        <c:crosses val="autoZero"/>
        <c:crossBetween val="between"/>
      </c:valAx>
    </c:plotArea>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градостроительство!$D$84</c:f>
              <c:strCache>
                <c:ptCount val="1"/>
                <c:pt idx="0">
                  <c:v>Обеспеченность жилого фонда центральной канализацией, %</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градостроительство!$C$85:$C$91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градостроительство!$D$85:$D$91</c:f>
              <c:numCache>
                <c:formatCode>General</c:formatCode>
                <c:ptCount val="7"/>
                <c:pt idx="0">
                  <c:v>20</c:v>
                </c:pt>
                <c:pt idx="1">
                  <c:v>21</c:v>
                </c:pt>
                <c:pt idx="2">
                  <c:v>21</c:v>
                </c:pt>
                <c:pt idx="3">
                  <c:v>22</c:v>
                </c:pt>
                <c:pt idx="4">
                  <c:v>22</c:v>
                </c:pt>
                <c:pt idx="5">
                  <c:v>23</c:v>
                </c:pt>
                <c:pt idx="6">
                  <c:v>23</c:v>
                </c:pt>
              </c:numCache>
            </c:numRef>
          </c:val>
          <c:extLst xmlns:c16r2="http://schemas.microsoft.com/office/drawing/2015/06/chart">
            <c:ext xmlns:c16="http://schemas.microsoft.com/office/drawing/2014/chart" uri="{C3380CC4-5D6E-409C-BE32-E72D297353CC}">
              <c16:uniqueId val="{00000000-C9E7-4944-83FF-24D0F8FB5330}"/>
            </c:ext>
          </c:extLst>
        </c:ser>
        <c:overlap val="100"/>
        <c:axId val="153457024"/>
        <c:axId val="153458560"/>
      </c:barChart>
      <c:catAx>
        <c:axId val="153457024"/>
        <c:scaling>
          <c:orientation val="minMax"/>
        </c:scaling>
        <c:axPos val="b"/>
        <c:numFmt formatCode="General" sourceLinked="0"/>
        <c:tickLblPos val="nextTo"/>
        <c:crossAx val="153458560"/>
        <c:crosses val="autoZero"/>
        <c:auto val="1"/>
        <c:lblAlgn val="ctr"/>
        <c:lblOffset val="100"/>
      </c:catAx>
      <c:valAx>
        <c:axId val="153458560"/>
        <c:scaling>
          <c:orientation val="minMax"/>
        </c:scaling>
        <c:axPos val="l"/>
        <c:majorGridlines/>
        <c:numFmt formatCode="General" sourceLinked="1"/>
        <c:tickLblPos val="nextTo"/>
        <c:crossAx val="153457024"/>
        <c:crosses val="autoZero"/>
        <c:crossBetween val="between"/>
      </c:valAx>
    </c:plotArea>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509426517764736E-2"/>
          <c:y val="7.4548702245552628E-2"/>
          <c:w val="0.87663218568267198"/>
          <c:h val="0.79822506561679785"/>
        </c:manualLayout>
      </c:layout>
      <c:barChart>
        <c:barDir val="col"/>
        <c:grouping val="stacked"/>
        <c:ser>
          <c:idx val="0"/>
          <c:order val="0"/>
          <c:tx>
            <c:strRef>
              <c:f>экология!$D$14</c:f>
              <c:strCache>
                <c:ptCount val="1"/>
                <c:pt idx="0">
                  <c:v>Выбросы в атмосферу загрязняющих веществ от ст. источников, тонн</c:v>
                </c:pt>
              </c:strCache>
            </c:strRef>
          </c:tx>
          <c:dLbls>
            <c:spPr>
              <a:noFill/>
              <a:ln>
                <a:noFill/>
              </a:ln>
              <a:effectLst/>
            </c:spPr>
            <c:txPr>
              <a:bodyPr/>
              <a:lstStyle/>
              <a:p>
                <a:pPr>
                  <a:defRPr sz="1050">
                    <a:solidFill>
                      <a:sysClr val="windowText" lastClr="000000"/>
                    </a:solidFill>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экология!$C$15:$C$21</c:f>
              <c:strCache>
                <c:ptCount val="7"/>
                <c:pt idx="0">
                  <c:v>01.01.2011 г.</c:v>
                </c:pt>
                <c:pt idx="1">
                  <c:v>01.01.2012 г.</c:v>
                </c:pt>
                <c:pt idx="2">
                  <c:v>01.01.2013 г.</c:v>
                </c:pt>
                <c:pt idx="3">
                  <c:v>01.01.2014 г.</c:v>
                </c:pt>
                <c:pt idx="4">
                  <c:v>01.01.2015 г.</c:v>
                </c:pt>
                <c:pt idx="5">
                  <c:v>01.01.2016 г.</c:v>
                </c:pt>
                <c:pt idx="6">
                  <c:v>01.01.2017 г.</c:v>
                </c:pt>
              </c:strCache>
            </c:strRef>
          </c:cat>
          <c:val>
            <c:numRef>
              <c:f>экология!$D$15:$D$21</c:f>
              <c:numCache>
                <c:formatCode>General</c:formatCode>
                <c:ptCount val="7"/>
                <c:pt idx="0">
                  <c:v>12138</c:v>
                </c:pt>
                <c:pt idx="1">
                  <c:v>13990</c:v>
                </c:pt>
                <c:pt idx="2">
                  <c:v>8117</c:v>
                </c:pt>
                <c:pt idx="3">
                  <c:v>18480</c:v>
                </c:pt>
                <c:pt idx="4">
                  <c:v>6366</c:v>
                </c:pt>
                <c:pt idx="5">
                  <c:v>13446</c:v>
                </c:pt>
                <c:pt idx="6">
                  <c:v>13400</c:v>
                </c:pt>
              </c:numCache>
            </c:numRef>
          </c:val>
          <c:extLst xmlns:c16r2="http://schemas.microsoft.com/office/drawing/2015/06/chart">
            <c:ext xmlns:c16="http://schemas.microsoft.com/office/drawing/2014/chart" uri="{C3380CC4-5D6E-409C-BE32-E72D297353CC}">
              <c16:uniqueId val="{00000000-6845-4419-9651-2422A971F3A2}"/>
            </c:ext>
          </c:extLst>
        </c:ser>
        <c:overlap val="100"/>
        <c:axId val="153478272"/>
        <c:axId val="153479808"/>
      </c:barChart>
      <c:catAx>
        <c:axId val="153478272"/>
        <c:scaling>
          <c:orientation val="minMax"/>
        </c:scaling>
        <c:axPos val="b"/>
        <c:numFmt formatCode="General" sourceLinked="0"/>
        <c:tickLblPos val="nextTo"/>
        <c:crossAx val="153479808"/>
        <c:crosses val="autoZero"/>
        <c:auto val="1"/>
        <c:lblAlgn val="ctr"/>
        <c:lblOffset val="100"/>
      </c:catAx>
      <c:valAx>
        <c:axId val="153479808"/>
        <c:scaling>
          <c:orientation val="minMax"/>
        </c:scaling>
        <c:axPos val="l"/>
        <c:majorGridlines/>
        <c:numFmt formatCode="General" sourceLinked="1"/>
        <c:tickLblPos val="nextTo"/>
        <c:crossAx val="153478272"/>
        <c:crosses val="autoZero"/>
        <c:crossBetween val="between"/>
      </c:valAx>
    </c:plotArea>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экология!$D$30</c:f>
              <c:strCache>
                <c:ptCount val="1"/>
                <c:pt idx="0">
                  <c:v>Выбросы в атмосферу загрязняющих веществ от стационарных  источников в расчете на одного жителя, кг.</c:v>
                </c:pt>
              </c:strCache>
            </c:strRef>
          </c:tx>
          <c:dLbls>
            <c:dLbl>
              <c:idx val="0"/>
              <c:layout>
                <c:manualLayout>
                  <c:x val="5.259697567389881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B8-487C-9BD5-A5002EDE408F}"/>
                </c:ext>
              </c:extLst>
            </c:dLbl>
            <c:dLbl>
              <c:idx val="1"/>
              <c:layout>
                <c:manualLayout>
                  <c:x val="1.051939513477973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B8-487C-9BD5-A5002EDE408F}"/>
                </c:ext>
              </c:extLst>
            </c:dLbl>
            <c:dLbl>
              <c:idx val="2"/>
              <c:layout>
                <c:manualLayout>
                  <c:x val="7.8895463510847922E-3"/>
                  <c:y val="-1.69851380042463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B8-487C-9BD5-A5002EDE408F}"/>
                </c:ext>
              </c:extLst>
            </c:dLbl>
            <c:dLbl>
              <c:idx val="4"/>
              <c:layout>
                <c:manualLayout>
                  <c:x val="7.8895463510849032E-3"/>
                  <c:y val="-8.49256900212317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B8-487C-9BD5-A5002EDE408F}"/>
                </c:ext>
              </c:extLst>
            </c:dLbl>
            <c:dLbl>
              <c:idx val="5"/>
              <c:layout>
                <c:manualLayout>
                  <c:x val="7.8895463510849032E-3"/>
                  <c:y val="7.7847649883441267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B8-487C-9BD5-A5002EDE408F}"/>
                </c:ext>
              </c:extLst>
            </c:dLbl>
            <c:dLbl>
              <c:idx val="6"/>
              <c:layout>
                <c:manualLayout>
                  <c:x val="7.8895463510849032E-3"/>
                  <c:y val="7.7847649883441267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B8-487C-9BD5-A5002EDE408F}"/>
                </c:ext>
              </c:extLst>
            </c:dLbl>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экология!$C$31:$C$37</c:f>
              <c:strCache>
                <c:ptCount val="7"/>
                <c:pt idx="0">
                  <c:v>01.01.2011 г.</c:v>
                </c:pt>
                <c:pt idx="1">
                  <c:v>01.01.2012 г.</c:v>
                </c:pt>
                <c:pt idx="2">
                  <c:v>01.01.2013 г.</c:v>
                </c:pt>
                <c:pt idx="3">
                  <c:v>01.01.2014 г.</c:v>
                </c:pt>
                <c:pt idx="4">
                  <c:v>01.01.2015 г.</c:v>
                </c:pt>
                <c:pt idx="5">
                  <c:v>01.01.2016 г.</c:v>
                </c:pt>
                <c:pt idx="6">
                  <c:v>01.01.2017 г.</c:v>
                </c:pt>
              </c:strCache>
            </c:strRef>
          </c:cat>
          <c:val>
            <c:numRef>
              <c:f>экология!$D$31:$D$37</c:f>
              <c:numCache>
                <c:formatCode>General</c:formatCode>
                <c:ptCount val="7"/>
                <c:pt idx="0">
                  <c:v>475.9</c:v>
                </c:pt>
                <c:pt idx="1">
                  <c:v>550.79999999999995</c:v>
                </c:pt>
                <c:pt idx="2">
                  <c:v>320.8</c:v>
                </c:pt>
                <c:pt idx="3">
                  <c:v>733</c:v>
                </c:pt>
                <c:pt idx="4">
                  <c:v>255.3</c:v>
                </c:pt>
                <c:pt idx="5">
                  <c:v>537.9</c:v>
                </c:pt>
                <c:pt idx="6">
                  <c:v>537.9</c:v>
                </c:pt>
              </c:numCache>
            </c:numRef>
          </c:val>
          <c:extLst xmlns:c16r2="http://schemas.microsoft.com/office/drawing/2015/06/chart">
            <c:ext xmlns:c16="http://schemas.microsoft.com/office/drawing/2014/chart" uri="{C3380CC4-5D6E-409C-BE32-E72D297353CC}">
              <c16:uniqueId val="{00000006-C4B8-487C-9BD5-A5002EDE408F}"/>
            </c:ext>
          </c:extLst>
        </c:ser>
        <c:overlap val="100"/>
        <c:axId val="156329856"/>
        <c:axId val="156331392"/>
      </c:barChart>
      <c:catAx>
        <c:axId val="156329856"/>
        <c:scaling>
          <c:orientation val="minMax"/>
        </c:scaling>
        <c:axPos val="b"/>
        <c:numFmt formatCode="General" sourceLinked="0"/>
        <c:tickLblPos val="nextTo"/>
        <c:crossAx val="156331392"/>
        <c:crosses val="autoZero"/>
        <c:auto val="1"/>
        <c:lblAlgn val="ctr"/>
        <c:lblOffset val="100"/>
      </c:catAx>
      <c:valAx>
        <c:axId val="156331392"/>
        <c:scaling>
          <c:orientation val="minMax"/>
        </c:scaling>
        <c:axPos val="l"/>
        <c:majorGridlines/>
        <c:numFmt formatCode="General" sourceLinked="1"/>
        <c:tickLblPos val="nextTo"/>
        <c:crossAx val="156329856"/>
        <c:crosses val="autoZero"/>
        <c:crossBetween val="between"/>
      </c:valAx>
    </c:plotArea>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716493223434976E-2"/>
          <c:y val="0.10340676777845999"/>
          <c:w val="0.8983036788909553"/>
          <c:h val="0.68493889876668645"/>
        </c:manualLayout>
      </c:layout>
      <c:barChart>
        <c:barDir val="col"/>
        <c:grouping val="stacked"/>
        <c:ser>
          <c:idx val="0"/>
          <c:order val="0"/>
          <c:tx>
            <c:strRef>
              <c:f>'имущественные и земельные отн'!$C$2</c:f>
              <c:strCache>
                <c:ptCount val="1"/>
                <c:pt idx="0">
                  <c:v>Площадь земельных участков предоставленных для строительства, га</c:v>
                </c:pt>
              </c:strCache>
            </c:strRef>
          </c:tx>
          <c:dLbls>
            <c:dLbl>
              <c:idx val="0"/>
              <c:layout>
                <c:manualLayout>
                  <c:x val="1.1254218261234055E-17"/>
                  <c:y val="-8.654843064744696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BC-4C61-8DEE-D8DC84F06CAB}"/>
                </c:ext>
              </c:extLst>
            </c:dLbl>
            <c:dLbl>
              <c:idx val="1"/>
              <c:layout>
                <c:manualLayout>
                  <c:x val="2.4554941682014128E-3"/>
                  <c:y val="-9.398975287833419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BC-4C61-8DEE-D8DC84F06CAB}"/>
                </c:ext>
              </c:extLst>
            </c:dLbl>
            <c:dLbl>
              <c:idx val="2"/>
              <c:layout>
                <c:manualLayout>
                  <c:x val="2.4554941682014128E-3"/>
                  <c:y val="-7.159836649811736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BC-4C61-8DEE-D8DC84F06CAB}"/>
                </c:ext>
              </c:extLst>
            </c:dLbl>
            <c:dLbl>
              <c:idx val="3"/>
              <c:layout>
                <c:manualLayout>
                  <c:x val="0"/>
                  <c:y val="-6.337685425104701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BC-4C61-8DEE-D8DC84F06CAB}"/>
                </c:ext>
              </c:extLst>
            </c:dLbl>
            <c:dLbl>
              <c:idx val="4"/>
              <c:layout>
                <c:manualLayout>
                  <c:x val="4.9109883364027006E-3"/>
                  <c:y val="-0.10780676377114413"/>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3BC-4C61-8DEE-D8DC84F06CAB}"/>
                </c:ext>
              </c:extLst>
            </c:dLbl>
            <c:dLbl>
              <c:idx val="5"/>
              <c:layout>
                <c:manualLayout>
                  <c:x val="4.9109883364027909E-3"/>
                  <c:y val="-8.9257628738900266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3BC-4C61-8DEE-D8DC84F06CAB}"/>
                </c:ext>
              </c:extLst>
            </c:dLbl>
            <c:dLbl>
              <c:idx val="6"/>
              <c:layout>
                <c:manualLayout>
                  <c:x val="2.4554941682014128E-3"/>
                  <c:y val="-0.25655304269074974"/>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3BC-4C61-8DEE-D8DC84F06CAB}"/>
                </c:ext>
              </c:extLst>
            </c:dLbl>
            <c:spPr>
              <a:noFill/>
              <a:ln>
                <a:noFill/>
              </a:ln>
              <a:effectLst/>
            </c:spPr>
            <c:txPr>
              <a:bodyPr/>
              <a:lstStyle/>
              <a:p>
                <a:pPr>
                  <a:defRPr sz="1100">
                    <a:solidFill>
                      <a:sysClr val="windowText" lastClr="000000"/>
                    </a:solidFill>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'имущественные и земельные отн'!$B$3:$B$9</c:f>
              <c:strCache>
                <c:ptCount val="7"/>
                <c:pt idx="0">
                  <c:v>01.01.2011 г.</c:v>
                </c:pt>
                <c:pt idx="1">
                  <c:v>01.01.2012 г.</c:v>
                </c:pt>
                <c:pt idx="2">
                  <c:v>01.01.2013 г.</c:v>
                </c:pt>
                <c:pt idx="3">
                  <c:v>01.01.2014 г.</c:v>
                </c:pt>
                <c:pt idx="4">
                  <c:v>01.01.2015 г.</c:v>
                </c:pt>
                <c:pt idx="5">
                  <c:v>01.01.2016 г.</c:v>
                </c:pt>
                <c:pt idx="6">
                  <c:v>01.01.2017 г.</c:v>
                </c:pt>
              </c:strCache>
            </c:strRef>
          </c:cat>
          <c:val>
            <c:numRef>
              <c:f>'имущественные и земельные отн'!$C$3:$C$9</c:f>
              <c:numCache>
                <c:formatCode>General</c:formatCode>
                <c:ptCount val="7"/>
                <c:pt idx="0">
                  <c:v>19.329999999999988</c:v>
                </c:pt>
                <c:pt idx="1">
                  <c:v>17.54</c:v>
                </c:pt>
                <c:pt idx="2">
                  <c:v>11.46</c:v>
                </c:pt>
                <c:pt idx="3">
                  <c:v>11.56</c:v>
                </c:pt>
                <c:pt idx="4">
                  <c:v>25.03</c:v>
                </c:pt>
                <c:pt idx="5">
                  <c:v>18.809999999999999</c:v>
                </c:pt>
                <c:pt idx="6">
                  <c:v>76.337000000000003</c:v>
                </c:pt>
              </c:numCache>
            </c:numRef>
          </c:val>
          <c:extLst xmlns:c16r2="http://schemas.microsoft.com/office/drawing/2015/06/chart">
            <c:ext xmlns:c16="http://schemas.microsoft.com/office/drawing/2014/chart" uri="{C3380CC4-5D6E-409C-BE32-E72D297353CC}">
              <c16:uniqueId val="{00000007-43BC-4C61-8DEE-D8DC84F06CAB}"/>
            </c:ext>
          </c:extLst>
        </c:ser>
        <c:overlap val="100"/>
        <c:axId val="156351104"/>
        <c:axId val="156365184"/>
      </c:barChart>
      <c:catAx>
        <c:axId val="156351104"/>
        <c:scaling>
          <c:orientation val="minMax"/>
        </c:scaling>
        <c:axPos val="b"/>
        <c:numFmt formatCode="General" sourceLinked="0"/>
        <c:tickLblPos val="nextTo"/>
        <c:crossAx val="156365184"/>
        <c:crosses val="autoZero"/>
        <c:auto val="1"/>
        <c:lblAlgn val="ctr"/>
        <c:lblOffset val="100"/>
      </c:catAx>
      <c:valAx>
        <c:axId val="156365184"/>
        <c:scaling>
          <c:orientation val="minMax"/>
        </c:scaling>
        <c:axPos val="l"/>
        <c:majorGridlines/>
        <c:numFmt formatCode="General" sourceLinked="1"/>
        <c:tickLblPos val="nextTo"/>
        <c:crossAx val="156351104"/>
        <c:crosses val="autoZero"/>
        <c:crossBetween val="between"/>
      </c:valAx>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Рисунки!$A$61</c:f>
              <c:strCache>
                <c:ptCount val="1"/>
                <c:pt idx="0">
                  <c:v>Количество выданных разрешений на строительство, ед.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Рисунки!$B$59:$H$59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Рисунки!$B$61:$H$61</c:f>
              <c:numCache>
                <c:formatCode>General</c:formatCode>
                <c:ptCount val="7"/>
                <c:pt idx="0">
                  <c:v>98</c:v>
                </c:pt>
                <c:pt idx="1">
                  <c:v>354</c:v>
                </c:pt>
                <c:pt idx="2">
                  <c:v>459</c:v>
                </c:pt>
                <c:pt idx="3">
                  <c:v>507</c:v>
                </c:pt>
                <c:pt idx="4">
                  <c:v>406</c:v>
                </c:pt>
                <c:pt idx="5">
                  <c:v>321</c:v>
                </c:pt>
                <c:pt idx="6">
                  <c:v>399</c:v>
                </c:pt>
              </c:numCache>
            </c:numRef>
          </c:val>
          <c:extLst xmlns:c16r2="http://schemas.microsoft.com/office/drawing/2015/06/chart">
            <c:ext xmlns:c16="http://schemas.microsoft.com/office/drawing/2014/chart" uri="{C3380CC4-5D6E-409C-BE32-E72D297353CC}">
              <c16:uniqueId val="{00000000-D297-4467-8221-997B4A6B0EE3}"/>
            </c:ext>
          </c:extLst>
        </c:ser>
        <c:shape val="box"/>
        <c:axId val="156393472"/>
        <c:axId val="156395008"/>
        <c:axId val="0"/>
      </c:bar3DChart>
      <c:catAx>
        <c:axId val="156393472"/>
        <c:scaling>
          <c:orientation val="minMax"/>
        </c:scaling>
        <c:axPos val="b"/>
        <c:numFmt formatCode="General" sourceLinked="0"/>
        <c:tickLblPos val="nextTo"/>
        <c:txPr>
          <a:bodyPr/>
          <a:lstStyle/>
          <a:p>
            <a:pPr>
              <a:defRPr sz="900"/>
            </a:pPr>
            <a:endParaRPr lang="ru-RU"/>
          </a:p>
        </c:txPr>
        <c:crossAx val="156395008"/>
        <c:crosses val="autoZero"/>
        <c:auto val="1"/>
        <c:lblAlgn val="ctr"/>
        <c:lblOffset val="100"/>
      </c:catAx>
      <c:valAx>
        <c:axId val="156395008"/>
        <c:scaling>
          <c:orientation val="minMax"/>
        </c:scaling>
        <c:axPos val="l"/>
        <c:majorGridlines/>
        <c:numFmt formatCode="General" sourceLinked="1"/>
        <c:tickLblPos val="nextTo"/>
        <c:crossAx val="156393472"/>
        <c:crosses val="autoZero"/>
        <c:crossBetween val="between"/>
      </c:valAx>
    </c:plotArea>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view3D>
      <c:rotX val="65"/>
      <c:rotY val="30"/>
      <c:rAngAx val="1"/>
    </c:view3D>
    <c:plotArea>
      <c:layout/>
      <c:bar3DChart>
        <c:barDir val="col"/>
        <c:grouping val="stacked"/>
        <c:ser>
          <c:idx val="0"/>
          <c:order val="0"/>
          <c:tx>
            <c:strRef>
              <c:f>Рисунки!$A$74</c:f>
              <c:strCache>
                <c:ptCount val="1"/>
                <c:pt idx="0">
                  <c:v>сельскохозяйственное производство, млн. рублей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Рисунки!$B$74:$H$74</c:f>
              <c:numCache>
                <c:formatCode>General</c:formatCode>
                <c:ptCount val="7"/>
                <c:pt idx="0">
                  <c:v>40.578000000000003</c:v>
                </c:pt>
                <c:pt idx="1">
                  <c:v>63.945</c:v>
                </c:pt>
                <c:pt idx="2">
                  <c:v>37.627000000000002</c:v>
                </c:pt>
                <c:pt idx="3">
                  <c:v>47.425000000000011</c:v>
                </c:pt>
                <c:pt idx="4">
                  <c:v>45.311999999999998</c:v>
                </c:pt>
                <c:pt idx="5">
                  <c:v>64.593000000000004</c:v>
                </c:pt>
                <c:pt idx="6">
                  <c:v>65.006</c:v>
                </c:pt>
              </c:numCache>
            </c:numRef>
          </c:val>
          <c:extLst xmlns:c16r2="http://schemas.microsoft.com/office/drawing/2015/06/chart">
            <c:ext xmlns:c16="http://schemas.microsoft.com/office/drawing/2014/chart" uri="{C3380CC4-5D6E-409C-BE32-E72D297353CC}">
              <c16:uniqueId val="{00000000-9C05-4CE8-ADE6-914AC97E7736}"/>
            </c:ext>
          </c:extLst>
        </c:ser>
        <c:ser>
          <c:idx val="1"/>
          <c:order val="1"/>
          <c:tx>
            <c:strRef>
              <c:f>Рисунки!$A$75</c:f>
              <c:strCache>
                <c:ptCount val="1"/>
                <c:pt idx="0">
                  <c:v>строительство, млн. рублей</c:v>
                </c:pt>
              </c:strCache>
            </c:strRef>
          </c:tx>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Рисунки!$B$75:$H$75</c:f>
              <c:numCache>
                <c:formatCode>General</c:formatCode>
                <c:ptCount val="7"/>
              </c:numCache>
            </c:numRef>
          </c:val>
          <c:extLst xmlns:c16r2="http://schemas.microsoft.com/office/drawing/2015/06/chart">
            <c:ext xmlns:c16="http://schemas.microsoft.com/office/drawing/2014/chart" uri="{C3380CC4-5D6E-409C-BE32-E72D297353CC}">
              <c16:uniqueId val="{00000001-9C05-4CE8-ADE6-914AC97E7736}"/>
            </c:ext>
          </c:extLst>
        </c:ser>
        <c:ser>
          <c:idx val="2"/>
          <c:order val="2"/>
          <c:tx>
            <c:strRef>
              <c:f>Рисунки!$A$76</c:f>
              <c:strCache>
                <c:ptCount val="1"/>
                <c:pt idx="0">
                  <c:v>добыча полезных ископаемых, обрабатывающие производства,  производство электроэнергии, газа, воды млн. рублей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Рисунки!$B$76:$H$76</c:f>
              <c:numCache>
                <c:formatCode>General</c:formatCode>
                <c:ptCount val="7"/>
                <c:pt idx="0">
                  <c:v>4.4649999999999945</c:v>
                </c:pt>
                <c:pt idx="1">
                  <c:v>7.5709999999999997</c:v>
                </c:pt>
                <c:pt idx="2">
                  <c:v>8.3070000000000004</c:v>
                </c:pt>
                <c:pt idx="3">
                  <c:v>0.18100000000000024</c:v>
                </c:pt>
                <c:pt idx="4">
                  <c:v>8.4360000000000035</c:v>
                </c:pt>
                <c:pt idx="5">
                  <c:v>10.293000000000001</c:v>
                </c:pt>
                <c:pt idx="6">
                  <c:v>10.423</c:v>
                </c:pt>
              </c:numCache>
            </c:numRef>
          </c:val>
          <c:extLst xmlns:c16r2="http://schemas.microsoft.com/office/drawing/2015/06/chart">
            <c:ext xmlns:c16="http://schemas.microsoft.com/office/drawing/2014/chart" uri="{C3380CC4-5D6E-409C-BE32-E72D297353CC}">
              <c16:uniqueId val="{00000002-9C05-4CE8-ADE6-914AC97E7736}"/>
            </c:ext>
          </c:extLst>
        </c:ser>
        <c:shape val="box"/>
        <c:axId val="157162496"/>
        <c:axId val="157176576"/>
        <c:axId val="0"/>
      </c:bar3DChart>
      <c:catAx>
        <c:axId val="157162496"/>
        <c:scaling>
          <c:orientation val="minMax"/>
        </c:scaling>
        <c:axPos val="b"/>
        <c:numFmt formatCode="General" sourceLinked="0"/>
        <c:tickLblPos val="nextTo"/>
        <c:crossAx val="157176576"/>
        <c:crosses val="autoZero"/>
        <c:auto val="1"/>
        <c:lblAlgn val="ctr"/>
        <c:lblOffset val="100"/>
      </c:catAx>
      <c:valAx>
        <c:axId val="157176576"/>
        <c:scaling>
          <c:orientation val="minMax"/>
        </c:scaling>
        <c:axPos val="l"/>
        <c:majorGridlines>
          <c:spPr>
            <a:ln w="0">
              <a:solidFill>
                <a:schemeClr val="bg1"/>
              </a:solidFill>
            </a:ln>
          </c:spPr>
        </c:majorGridlines>
        <c:numFmt formatCode="General" sourceLinked="1"/>
        <c:tickLblPos val="nextTo"/>
        <c:crossAx val="157162496"/>
        <c:crosses val="autoZero"/>
        <c:crossBetween val="between"/>
      </c:valAx>
    </c:plotArea>
    <c:legend>
      <c:legendPos val="r"/>
      <c:layout>
        <c:manualLayout>
          <c:xMode val="edge"/>
          <c:yMode val="edge"/>
          <c:x val="0.6117664981882609"/>
          <c:y val="2.4895193601782089E-2"/>
          <c:w val="0.37665604733668545"/>
          <c:h val="0.94513094998684188"/>
        </c:manualLayout>
      </c:layout>
      <c:txPr>
        <a:bodyPr/>
        <a:lstStyle/>
        <a:p>
          <a:pPr rtl="0">
            <a:defRPr sz="900" baseline="0"/>
          </a:pPr>
          <a:endParaRPr lang="ru-RU"/>
        </a:p>
      </c:txP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Лист2!$A$56</c:f>
              <c:strCache>
                <c:ptCount val="1"/>
                <c:pt idx="0">
                  <c:v>Доля дебиторской задолженности в финансовом потоке муниципального образования,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Лист2!$B$56:$G$56</c:f>
              <c:numCache>
                <c:formatCode>0.0%</c:formatCode>
                <c:ptCount val="6"/>
                <c:pt idx="0">
                  <c:v>0.35395175368989618</c:v>
                </c:pt>
                <c:pt idx="1">
                  <c:v>0.39231965071280572</c:v>
                </c:pt>
                <c:pt idx="2">
                  <c:v>0.33176630511739286</c:v>
                </c:pt>
                <c:pt idx="3">
                  <c:v>0.42594842085591983</c:v>
                </c:pt>
                <c:pt idx="4">
                  <c:v>0.31447201593915397</c:v>
                </c:pt>
                <c:pt idx="5">
                  <c:v>0.36841952521911486</c:v>
                </c:pt>
              </c:numCache>
            </c:numRef>
          </c:val>
          <c:extLst xmlns:c16r2="http://schemas.microsoft.com/office/drawing/2015/06/chart">
            <c:ext xmlns:c16="http://schemas.microsoft.com/office/drawing/2014/chart" uri="{C3380CC4-5D6E-409C-BE32-E72D297353CC}">
              <c16:uniqueId val="{00000000-7840-4225-AC6C-F6390E33A72B}"/>
            </c:ext>
          </c:extLst>
        </c:ser>
        <c:ser>
          <c:idx val="1"/>
          <c:order val="1"/>
          <c:tx>
            <c:strRef>
              <c:f>Лист2!$A$57</c:f>
              <c:strCache>
                <c:ptCount val="1"/>
                <c:pt idx="0">
                  <c:v>Доля кредиторскй задолженности в финансовом потоке муниципального образования,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Лист2!$B$57:$G$57</c:f>
              <c:numCache>
                <c:formatCode>0.0%</c:formatCode>
                <c:ptCount val="6"/>
                <c:pt idx="0">
                  <c:v>0.64604824631013236</c:v>
                </c:pt>
                <c:pt idx="1">
                  <c:v>0.60768034928720249</c:v>
                </c:pt>
                <c:pt idx="2">
                  <c:v>0.66823369488261453</c:v>
                </c:pt>
                <c:pt idx="3">
                  <c:v>0.57405157914409544</c:v>
                </c:pt>
                <c:pt idx="4">
                  <c:v>0.68552798406085858</c:v>
                </c:pt>
                <c:pt idx="5">
                  <c:v>0.63158047478089263</c:v>
                </c:pt>
              </c:numCache>
            </c:numRef>
          </c:val>
          <c:extLst xmlns:c16r2="http://schemas.microsoft.com/office/drawing/2015/06/chart">
            <c:ext xmlns:c16="http://schemas.microsoft.com/office/drawing/2014/chart" uri="{C3380CC4-5D6E-409C-BE32-E72D297353CC}">
              <c16:uniqueId val="{00000001-7840-4225-AC6C-F6390E33A72B}"/>
            </c:ext>
          </c:extLst>
        </c:ser>
        <c:shape val="box"/>
        <c:axId val="157190016"/>
        <c:axId val="157191552"/>
        <c:axId val="0"/>
      </c:bar3DChart>
      <c:catAx>
        <c:axId val="157190016"/>
        <c:scaling>
          <c:orientation val="minMax"/>
        </c:scaling>
        <c:axPos val="b"/>
        <c:numFmt formatCode="General" sourceLinked="1"/>
        <c:tickLblPos val="nextTo"/>
        <c:crossAx val="157191552"/>
        <c:crosses val="autoZero"/>
        <c:auto val="1"/>
        <c:lblAlgn val="ctr"/>
        <c:lblOffset val="100"/>
      </c:catAx>
      <c:valAx>
        <c:axId val="157191552"/>
        <c:scaling>
          <c:orientation val="minMax"/>
        </c:scaling>
        <c:axPos val="l"/>
        <c:majorGridlines>
          <c:spPr>
            <a:ln w="0">
              <a:solidFill>
                <a:schemeClr val="bg1"/>
              </a:solidFill>
            </a:ln>
          </c:spPr>
        </c:majorGridlines>
        <c:numFmt formatCode="0.0%" sourceLinked="1"/>
        <c:tickLblPos val="nextTo"/>
        <c:crossAx val="157190016"/>
        <c:crosses val="autoZero"/>
        <c:crossBetween val="between"/>
      </c:valAx>
      <c:spPr>
        <a:noFill/>
        <a:ln w="25400">
          <a:noFill/>
        </a:ln>
      </c:spPr>
    </c:plotArea>
    <c:legend>
      <c:legendPos val="b"/>
      <c:txPr>
        <a:bodyPr/>
        <a:lstStyle/>
        <a:p>
          <a:pPr>
            <a:defRPr baseline="0">
              <a:latin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Лист1!$U$23</c:f>
              <c:strCache>
                <c:ptCount val="1"/>
                <c:pt idx="0">
                  <c:v>до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Лист1!$U$24:$U$30</c:f>
              <c:numCache>
                <c:formatCode>0.0%</c:formatCode>
                <c:ptCount val="7"/>
                <c:pt idx="0">
                  <c:v>0.20284258300820129</c:v>
                </c:pt>
                <c:pt idx="1">
                  <c:v>0.20283919198345793</c:v>
                </c:pt>
                <c:pt idx="2">
                  <c:v>0.20494671857182659</c:v>
                </c:pt>
                <c:pt idx="3">
                  <c:v>0.21113707473563309</c:v>
                </c:pt>
                <c:pt idx="4">
                  <c:v>0.21853646909264582</c:v>
                </c:pt>
                <c:pt idx="5">
                  <c:v>0.22295546558704776</c:v>
                </c:pt>
                <c:pt idx="6">
                  <c:v>0.22553477521648016</c:v>
                </c:pt>
              </c:numCache>
            </c:numRef>
          </c:val>
          <c:extLst xmlns:c16r2="http://schemas.microsoft.com/office/drawing/2015/06/chart">
            <c:ext xmlns:c16="http://schemas.microsoft.com/office/drawing/2014/chart" uri="{C3380CC4-5D6E-409C-BE32-E72D297353CC}">
              <c16:uniqueId val="{00000000-B686-4B59-ADD4-AAEDC3800907}"/>
            </c:ext>
          </c:extLst>
        </c:ser>
        <c:ser>
          <c:idx val="1"/>
          <c:order val="1"/>
          <c:tx>
            <c:strRef>
              <c:f>Лист1!$V$23</c:f>
              <c:strCache>
                <c:ptCount val="1"/>
                <c:pt idx="0">
                  <c:v>трудоспособный возраст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Лист1!$V$24:$V$30</c:f>
              <c:numCache>
                <c:formatCode>0.0%</c:formatCode>
                <c:ptCount val="7"/>
                <c:pt idx="0">
                  <c:v>0.56146986225019047</c:v>
                </c:pt>
                <c:pt idx="1">
                  <c:v>0.56163512008908256</c:v>
                </c:pt>
                <c:pt idx="2">
                  <c:v>0.55982855569974543</c:v>
                </c:pt>
                <c:pt idx="3">
                  <c:v>0.54814052041665018</c:v>
                </c:pt>
                <c:pt idx="4">
                  <c:v>0.53750198633402191</c:v>
                </c:pt>
                <c:pt idx="5">
                  <c:v>0.52676113360323884</c:v>
                </c:pt>
                <c:pt idx="6">
                  <c:v>0.51852437626032977</c:v>
                </c:pt>
              </c:numCache>
            </c:numRef>
          </c:val>
          <c:extLst xmlns:c16r2="http://schemas.microsoft.com/office/drawing/2015/06/chart">
            <c:ext xmlns:c16="http://schemas.microsoft.com/office/drawing/2014/chart" uri="{C3380CC4-5D6E-409C-BE32-E72D297353CC}">
              <c16:uniqueId val="{00000001-B686-4B59-ADD4-AAEDC3800907}"/>
            </c:ext>
          </c:extLst>
        </c:ser>
        <c:ser>
          <c:idx val="2"/>
          <c:order val="2"/>
          <c:tx>
            <c:strRef>
              <c:f>Лист1!$W$23</c:f>
              <c:strCache>
                <c:ptCount val="1"/>
                <c:pt idx="0">
                  <c:v>старше</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Лист1!$W$24:$W$30</c:f>
              <c:numCache>
                <c:formatCode>0.0%</c:formatCode>
                <c:ptCount val="7"/>
                <c:pt idx="0">
                  <c:v>0.23568755474161937</c:v>
                </c:pt>
                <c:pt idx="1">
                  <c:v>0.23552568792747094</c:v>
                </c:pt>
                <c:pt idx="2">
                  <c:v>0.23522472572844166</c:v>
                </c:pt>
                <c:pt idx="3">
                  <c:v>0.24072240484771937</c:v>
                </c:pt>
                <c:pt idx="4">
                  <c:v>0.24396154457333907</c:v>
                </c:pt>
                <c:pt idx="5">
                  <c:v>0.25028340080971662</c:v>
                </c:pt>
                <c:pt idx="6">
                  <c:v>0.25594084852318505</c:v>
                </c:pt>
              </c:numCache>
            </c:numRef>
          </c:val>
          <c:extLst xmlns:c16r2="http://schemas.microsoft.com/office/drawing/2015/06/chart">
            <c:ext xmlns:c16="http://schemas.microsoft.com/office/drawing/2014/chart" uri="{C3380CC4-5D6E-409C-BE32-E72D297353CC}">
              <c16:uniqueId val="{00000002-B686-4B59-ADD4-AAEDC3800907}"/>
            </c:ext>
          </c:extLst>
        </c:ser>
        <c:gapWidth val="219"/>
        <c:overlap val="-27"/>
        <c:axId val="74773248"/>
        <c:axId val="74774784"/>
      </c:barChart>
      <c:catAx>
        <c:axId val="74773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774784"/>
        <c:crosses val="autoZero"/>
        <c:auto val="1"/>
        <c:lblAlgn val="ctr"/>
        <c:lblOffset val="100"/>
      </c:catAx>
      <c:valAx>
        <c:axId val="7477478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773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Лист2!$A$93</c:f>
              <c:strCache>
                <c:ptCount val="1"/>
                <c:pt idx="0">
                  <c:v>К дз/кз</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Лист2!$B$93:$G$93</c:f>
              <c:numCache>
                <c:formatCode>0.00</c:formatCode>
                <c:ptCount val="6"/>
                <c:pt idx="0">
                  <c:v>0.54787201375667871</c:v>
                </c:pt>
                <c:pt idx="1">
                  <c:v>0.64560200304813509</c:v>
                </c:pt>
                <c:pt idx="2">
                  <c:v>0.49648245465333107</c:v>
                </c:pt>
                <c:pt idx="3">
                  <c:v>0.74200374379425349</c:v>
                </c:pt>
                <c:pt idx="4">
                  <c:v>0.45872965546396111</c:v>
                </c:pt>
                <c:pt idx="5">
                  <c:v>0.58332950420438368</c:v>
                </c:pt>
              </c:numCache>
            </c:numRef>
          </c:val>
          <c:extLst xmlns:c16r2="http://schemas.microsoft.com/office/drawing/2015/06/chart">
            <c:ext xmlns:c16="http://schemas.microsoft.com/office/drawing/2014/chart" uri="{C3380CC4-5D6E-409C-BE32-E72D297353CC}">
              <c16:uniqueId val="{00000000-0359-453B-886F-85EA386FC373}"/>
            </c:ext>
          </c:extLst>
        </c:ser>
        <c:marker val="1"/>
        <c:axId val="158799744"/>
        <c:axId val="158801280"/>
      </c:lineChart>
      <c:catAx>
        <c:axId val="158799744"/>
        <c:scaling>
          <c:orientation val="minMax"/>
        </c:scaling>
        <c:axPos val="b"/>
        <c:numFmt formatCode="General" sourceLinked="1"/>
        <c:tickLblPos val="nextTo"/>
        <c:crossAx val="158801280"/>
        <c:crosses val="autoZero"/>
        <c:auto val="1"/>
        <c:lblAlgn val="ctr"/>
        <c:lblOffset val="100"/>
      </c:catAx>
      <c:valAx>
        <c:axId val="158801280"/>
        <c:scaling>
          <c:orientation val="minMax"/>
        </c:scaling>
        <c:axPos val="l"/>
        <c:majorGridlines/>
        <c:numFmt formatCode="0.00" sourceLinked="1"/>
        <c:tickLblPos val="nextTo"/>
        <c:crossAx val="158799744"/>
        <c:crosses val="autoZero"/>
        <c:crossBetween val="between"/>
      </c:valAx>
    </c:plotArea>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Лист2!$A$72</c:f>
              <c:strCache>
                <c:ptCount val="1"/>
                <c:pt idx="0">
                  <c:v>Доля задолженности по платежам в бюджет, %</c:v>
                </c:pt>
              </c:strCache>
            </c:strRef>
          </c:tx>
          <c:dLbls>
            <c:dLbl>
              <c:idx val="0"/>
              <c:layout>
                <c:manualLayout>
                  <c:x val="-6.867926351314081E-3"/>
                  <c:y val="-1.5115670586293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BA-4A62-AF03-22AA84BE6EC2}"/>
                </c:ext>
              </c:extLst>
            </c:dLbl>
            <c:dLbl>
              <c:idx val="1"/>
              <c:layout>
                <c:manualLayout>
                  <c:x val="-6.867926351314081E-3"/>
                  <c:y val="-2.01542274483914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BA-4A62-AF03-22AA84BE6EC2}"/>
                </c:ext>
              </c:extLst>
            </c:dLbl>
            <c:dLbl>
              <c:idx val="2"/>
              <c:layout>
                <c:manualLayout>
                  <c:x val="-1.3735852702628167E-2"/>
                  <c:y val="-5.038556862097872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BA-4A62-AF03-22AA84BE6EC2}"/>
                </c:ext>
              </c:extLst>
            </c:dLbl>
            <c:dLbl>
              <c:idx val="3"/>
              <c:layout>
                <c:manualLayout>
                  <c:x val="-6.867926351314081E-3"/>
                  <c:y val="-1.5115670586293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BA-4A62-AF03-22AA84BE6EC2}"/>
                </c:ext>
              </c:extLst>
            </c:dLbl>
            <c:dLbl>
              <c:idx val="4"/>
              <c:layout>
                <c:manualLayout>
                  <c:x val="-1.1446543918856801E-2"/>
                  <c:y val="-1.00771137241957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BA-4A62-AF03-22AA84BE6EC2}"/>
                </c:ext>
              </c:extLst>
            </c:dLbl>
            <c:dLbl>
              <c:idx val="5"/>
              <c:layout>
                <c:manualLayout>
                  <c:x val="-9.1572351350854547E-3"/>
                  <c:y val="-3.02313411725879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BA-4A62-AF03-22AA84BE6E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Лист2!$B$72:$G$72</c:f>
              <c:numCache>
                <c:formatCode>0.0%</c:formatCode>
                <c:ptCount val="6"/>
                <c:pt idx="0">
                  <c:v>6.8107842535159349E-2</c:v>
                </c:pt>
                <c:pt idx="1">
                  <c:v>6.6895275419116093E-2</c:v>
                </c:pt>
                <c:pt idx="2">
                  <c:v>5.7467367350399132E-2</c:v>
                </c:pt>
                <c:pt idx="3">
                  <c:v>6.6167494099454702E-2</c:v>
                </c:pt>
                <c:pt idx="4">
                  <c:v>5.8867047135912114E-2</c:v>
                </c:pt>
                <c:pt idx="5">
                  <c:v>2.5272251068327006E-2</c:v>
                </c:pt>
              </c:numCache>
            </c:numRef>
          </c:val>
          <c:extLst xmlns:c16r2="http://schemas.microsoft.com/office/drawing/2015/06/chart">
            <c:ext xmlns:c16="http://schemas.microsoft.com/office/drawing/2014/chart" uri="{C3380CC4-5D6E-409C-BE32-E72D297353CC}">
              <c16:uniqueId val="{00000006-D6BA-4A62-AF03-22AA84BE6EC2}"/>
            </c:ext>
          </c:extLst>
        </c:ser>
        <c:ser>
          <c:idx val="1"/>
          <c:order val="1"/>
          <c:tx>
            <c:strRef>
              <c:f>Лист2!$A$73</c:f>
              <c:strCache>
                <c:ptCount val="1"/>
                <c:pt idx="0">
                  <c:v>Доля задолженности по платежам в государственные внебюджетные фонды,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Лист2!$B$73:$G$73</c:f>
              <c:numCache>
                <c:formatCode>0.0%</c:formatCode>
                <c:ptCount val="6"/>
                <c:pt idx="0">
                  <c:v>3.1382423386353865E-2</c:v>
                </c:pt>
                <c:pt idx="1">
                  <c:v>4.6211626387981722E-2</c:v>
                </c:pt>
                <c:pt idx="2">
                  <c:v>3.9116799457535184E-2</c:v>
                </c:pt>
                <c:pt idx="3">
                  <c:v>2.6287946610238692E-2</c:v>
                </c:pt>
                <c:pt idx="4">
                  <c:v>4.0107799619530794E-2</c:v>
                </c:pt>
                <c:pt idx="5">
                  <c:v>8.5466158158343068E-3</c:v>
                </c:pt>
              </c:numCache>
            </c:numRef>
          </c:val>
          <c:extLst xmlns:c16r2="http://schemas.microsoft.com/office/drawing/2015/06/chart">
            <c:ext xmlns:c16="http://schemas.microsoft.com/office/drawing/2014/chart" uri="{C3380CC4-5D6E-409C-BE32-E72D297353CC}">
              <c16:uniqueId val="{00000007-D6BA-4A62-AF03-22AA84BE6EC2}"/>
            </c:ext>
          </c:extLst>
        </c:ser>
        <c:ser>
          <c:idx val="2"/>
          <c:order val="2"/>
          <c:tx>
            <c:strRef>
              <c:f>Лист2!$A$74</c:f>
              <c:strCache>
                <c:ptCount val="1"/>
                <c:pt idx="0">
                  <c:v>Доля задолженности перед поставщиками и подрядчиками,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Лист2!$B$74:$G$74</c:f>
              <c:numCache>
                <c:formatCode>0.0%</c:formatCode>
                <c:ptCount val="6"/>
                <c:pt idx="0">
                  <c:v>0.9005097340784971</c:v>
                </c:pt>
                <c:pt idx="1">
                  <c:v>0.8868930981929023</c:v>
                </c:pt>
                <c:pt idx="2">
                  <c:v>0.90341583319206642</c:v>
                </c:pt>
                <c:pt idx="3">
                  <c:v>0.90754455929030686</c:v>
                </c:pt>
                <c:pt idx="4">
                  <c:v>0.90102515324456856</c:v>
                </c:pt>
                <c:pt idx="5">
                  <c:v>0.96618113311583964</c:v>
                </c:pt>
              </c:numCache>
            </c:numRef>
          </c:val>
          <c:extLst xmlns:c16r2="http://schemas.microsoft.com/office/drawing/2015/06/chart">
            <c:ext xmlns:c16="http://schemas.microsoft.com/office/drawing/2014/chart" uri="{C3380CC4-5D6E-409C-BE32-E72D297353CC}">
              <c16:uniqueId val="{00000008-D6BA-4A62-AF03-22AA84BE6EC2}"/>
            </c:ext>
          </c:extLst>
        </c:ser>
        <c:shape val="box"/>
        <c:axId val="158840320"/>
        <c:axId val="158841856"/>
        <c:axId val="0"/>
      </c:bar3DChart>
      <c:catAx>
        <c:axId val="158840320"/>
        <c:scaling>
          <c:orientation val="minMax"/>
        </c:scaling>
        <c:axPos val="b"/>
        <c:numFmt formatCode="General" sourceLinked="1"/>
        <c:tickLblPos val="nextTo"/>
        <c:crossAx val="158841856"/>
        <c:crosses val="autoZero"/>
        <c:auto val="1"/>
        <c:lblAlgn val="ctr"/>
        <c:lblOffset val="100"/>
      </c:catAx>
      <c:valAx>
        <c:axId val="158841856"/>
        <c:scaling>
          <c:orientation val="minMax"/>
        </c:scaling>
        <c:axPos val="l"/>
        <c:majorGridlines/>
        <c:numFmt formatCode="0.0%" sourceLinked="1"/>
        <c:tickLblPos val="nextTo"/>
        <c:crossAx val="158840320"/>
        <c:crosses val="autoZero"/>
        <c:crossBetween val="between"/>
      </c:valAx>
    </c:plotArea>
    <c:legend>
      <c:legendPos val="b"/>
    </c:legend>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103687189837399E-2"/>
          <c:y val="6.0938816135505322E-2"/>
          <c:w val="0.88436274310790097"/>
          <c:h val="0.39359217988884426"/>
        </c:manualLayout>
      </c:layout>
      <c:lineChart>
        <c:grouping val="standard"/>
        <c:ser>
          <c:idx val="0"/>
          <c:order val="0"/>
          <c:tx>
            <c:strRef>
              <c:f>Лист2!$A$87</c:f>
              <c:strCache>
                <c:ptCount val="1"/>
                <c:pt idx="0">
                  <c:v>Задолженность перед поставщиками и подрядчиками,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Лист2!$B$87:$G$87</c:f>
              <c:numCache>
                <c:formatCode>0.0</c:formatCode>
                <c:ptCount val="6"/>
                <c:pt idx="0">
                  <c:v>111.12323535429285</c:v>
                </c:pt>
                <c:pt idx="1">
                  <c:v>130.82729839204882</c:v>
                </c:pt>
                <c:pt idx="2">
                  <c:v>52.310362621381998</c:v>
                </c:pt>
                <c:pt idx="3">
                  <c:v>152.91005291005212</c:v>
                </c:pt>
                <c:pt idx="4">
                  <c:v>123.31828045275815</c:v>
                </c:pt>
                <c:pt idx="5">
                  <c:v>143.40175953079179</c:v>
                </c:pt>
              </c:numCache>
            </c:numRef>
          </c:val>
          <c:extLst xmlns:c16r2="http://schemas.microsoft.com/office/drawing/2015/06/chart">
            <c:ext xmlns:c16="http://schemas.microsoft.com/office/drawing/2014/chart" uri="{C3380CC4-5D6E-409C-BE32-E72D297353CC}">
              <c16:uniqueId val="{00000000-69CE-4CAC-9B3F-889793BA956F}"/>
            </c:ext>
          </c:extLst>
        </c:ser>
        <c:ser>
          <c:idx val="1"/>
          <c:order val="1"/>
          <c:tx>
            <c:strRef>
              <c:f>Лист2!$A$88</c:f>
              <c:strCache>
                <c:ptCount val="1"/>
                <c:pt idx="0">
                  <c:v>Задолженность по платежам в бюджет из общей суммы кредиторской задолженности,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Лист2!$B$88:$G$88</c:f>
              <c:numCache>
                <c:formatCode>0.0</c:formatCode>
                <c:ptCount val="6"/>
                <c:pt idx="0">
                  <c:v>110.82055906221822</c:v>
                </c:pt>
                <c:pt idx="1">
                  <c:v>110.33360455654955</c:v>
                </c:pt>
                <c:pt idx="2">
                  <c:v>59.955752212389413</c:v>
                </c:pt>
                <c:pt idx="3">
                  <c:v>137.02337023370112</c:v>
                </c:pt>
                <c:pt idx="4">
                  <c:v>49.371633752242815</c:v>
                </c:pt>
                <c:pt idx="5">
                  <c:v>49.594229035166805</c:v>
                </c:pt>
              </c:numCache>
            </c:numRef>
          </c:val>
          <c:extLst xmlns:c16r2="http://schemas.microsoft.com/office/drawing/2015/06/chart">
            <c:ext xmlns:c16="http://schemas.microsoft.com/office/drawing/2014/chart" uri="{C3380CC4-5D6E-409C-BE32-E72D297353CC}">
              <c16:uniqueId val="{00000001-69CE-4CAC-9B3F-889793BA956F}"/>
            </c:ext>
          </c:extLst>
        </c:ser>
        <c:ser>
          <c:idx val="2"/>
          <c:order val="2"/>
          <c:tx>
            <c:strRef>
              <c:f>Лист2!$A$89</c:f>
              <c:strCache>
                <c:ptCount val="1"/>
                <c:pt idx="0">
                  <c:v>Задолженность по платежам в государственные внебюджетные фонды из общей суммы кредиторской задолженности,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Лист2!$B$89:$G$89</c:f>
              <c:numCache>
                <c:formatCode>0.0</c:formatCode>
                <c:ptCount val="6"/>
                <c:pt idx="0">
                  <c:v>166.14481409001587</c:v>
                </c:pt>
                <c:pt idx="1">
                  <c:v>108.71613663133112</c:v>
                </c:pt>
                <c:pt idx="2">
                  <c:v>34.99458288190683</c:v>
                </c:pt>
                <c:pt idx="3">
                  <c:v>234.98452012383902</c:v>
                </c:pt>
                <c:pt idx="4">
                  <c:v>24.505928853754927</c:v>
                </c:pt>
                <c:pt idx="5">
                  <c:v>36.399217221135032</c:v>
                </c:pt>
              </c:numCache>
            </c:numRef>
          </c:val>
          <c:extLst xmlns:c16r2="http://schemas.microsoft.com/office/drawing/2015/06/chart">
            <c:ext xmlns:c16="http://schemas.microsoft.com/office/drawing/2014/chart" uri="{C3380CC4-5D6E-409C-BE32-E72D297353CC}">
              <c16:uniqueId val="{00000002-69CE-4CAC-9B3F-889793BA956F}"/>
            </c:ext>
          </c:extLst>
        </c:ser>
        <c:ser>
          <c:idx val="3"/>
          <c:order val="3"/>
          <c:tx>
            <c:strRef>
              <c:f>Лист2!$A$90</c:f>
              <c:strCache>
                <c:ptCount val="1"/>
                <c:pt idx="0">
                  <c:v>Задолженность по полученным займам и кредитам,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Лист2!$B$90:$G$90</c:f>
              <c:numCache>
                <c:formatCode>0.0</c:formatCode>
                <c:ptCount val="6"/>
                <c:pt idx="0" formatCode="0">
                  <c:v>264</c:v>
                </c:pt>
                <c:pt idx="1">
                  <c:v>15.151515151515149</c:v>
                </c:pt>
                <c:pt idx="2" formatCode="General">
                  <c:v>100</c:v>
                </c:pt>
                <c:pt idx="3" formatCode="General">
                  <c:v>100</c:v>
                </c:pt>
                <c:pt idx="4" formatCode="General">
                  <c:v>100</c:v>
                </c:pt>
                <c:pt idx="5" formatCode="0">
                  <c:v>40</c:v>
                </c:pt>
              </c:numCache>
            </c:numRef>
          </c:val>
          <c:extLst xmlns:c16r2="http://schemas.microsoft.com/office/drawing/2015/06/chart">
            <c:ext xmlns:c16="http://schemas.microsoft.com/office/drawing/2014/chart" uri="{C3380CC4-5D6E-409C-BE32-E72D297353CC}">
              <c16:uniqueId val="{00000003-69CE-4CAC-9B3F-889793BA956F}"/>
            </c:ext>
          </c:extLst>
        </c:ser>
        <c:marker val="1"/>
        <c:axId val="175441792"/>
        <c:axId val="175443328"/>
      </c:lineChart>
      <c:catAx>
        <c:axId val="175441792"/>
        <c:scaling>
          <c:orientation val="minMax"/>
        </c:scaling>
        <c:axPos val="b"/>
        <c:numFmt formatCode="General" sourceLinked="1"/>
        <c:tickLblPos val="nextTo"/>
        <c:crossAx val="175443328"/>
        <c:crosses val="autoZero"/>
        <c:auto val="1"/>
        <c:lblAlgn val="ctr"/>
        <c:lblOffset val="100"/>
      </c:catAx>
      <c:valAx>
        <c:axId val="175443328"/>
        <c:scaling>
          <c:orientation val="minMax"/>
        </c:scaling>
        <c:axPos val="l"/>
        <c:majorGridlines/>
        <c:numFmt formatCode="0.0" sourceLinked="1"/>
        <c:tickLblPos val="nextTo"/>
        <c:crossAx val="175441792"/>
        <c:crosses val="autoZero"/>
        <c:crossBetween val="between"/>
      </c:valAx>
    </c:plotArea>
    <c:legend>
      <c:legendPos val="b"/>
      <c:layout>
        <c:manualLayout>
          <c:xMode val="edge"/>
          <c:yMode val="edge"/>
          <c:x val="6.9106166646325934E-3"/>
          <c:y val="0.69987400332992322"/>
          <c:w val="0.96907544493871522"/>
          <c:h val="0.27291243017148831"/>
        </c:manualLayout>
      </c:layout>
      <c:txPr>
        <a:bodyPr/>
        <a:lstStyle/>
        <a:p>
          <a:pPr>
            <a:defRPr sz="800" baseline="0">
              <a:latin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Структура!$A$32</c:f>
              <c:strCache>
                <c:ptCount val="1"/>
                <c:pt idx="0">
                  <c:v>- бюджетные средства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Структура!$B$4:$G$4</c:f>
              <c:numCache>
                <c:formatCode>General</c:formatCode>
                <c:ptCount val="6"/>
                <c:pt idx="0">
                  <c:v>2011</c:v>
                </c:pt>
                <c:pt idx="1">
                  <c:v>2012</c:v>
                </c:pt>
                <c:pt idx="2">
                  <c:v>2013</c:v>
                </c:pt>
                <c:pt idx="3">
                  <c:v>2014</c:v>
                </c:pt>
                <c:pt idx="4">
                  <c:v>2015</c:v>
                </c:pt>
                <c:pt idx="5">
                  <c:v>2016</c:v>
                </c:pt>
              </c:numCache>
            </c:numRef>
          </c:cat>
          <c:val>
            <c:numRef>
              <c:f>Структура!$B$32:$G$32</c:f>
              <c:numCache>
                <c:formatCode>0.0%</c:formatCode>
                <c:ptCount val="6"/>
                <c:pt idx="0">
                  <c:v>3.9074407648607451E-2</c:v>
                </c:pt>
                <c:pt idx="1">
                  <c:v>0.59000991554208471</c:v>
                </c:pt>
                <c:pt idx="2">
                  <c:v>9.0847699624723832E-2</c:v>
                </c:pt>
                <c:pt idx="3">
                  <c:v>0.21617262762076417</c:v>
                </c:pt>
                <c:pt idx="4">
                  <c:v>0.30084173334719388</c:v>
                </c:pt>
                <c:pt idx="5">
                  <c:v>0.36242041624311438</c:v>
                </c:pt>
              </c:numCache>
            </c:numRef>
          </c:val>
          <c:extLst xmlns:c16r2="http://schemas.microsoft.com/office/drawing/2015/06/chart">
            <c:ext xmlns:c16="http://schemas.microsoft.com/office/drawing/2014/chart" uri="{C3380CC4-5D6E-409C-BE32-E72D297353CC}">
              <c16:uniqueId val="{00000000-CF65-4AEA-BF9F-B28AB0577ABB}"/>
            </c:ext>
          </c:extLst>
        </c:ser>
        <c:ser>
          <c:idx val="1"/>
          <c:order val="1"/>
          <c:tx>
            <c:strRef>
              <c:f>Структура!$A$33</c:f>
              <c:strCache>
                <c:ptCount val="1"/>
                <c:pt idx="0">
                  <c:v>- собственные и привлеченные средства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Структура!$B$4:$G$4</c:f>
              <c:numCache>
                <c:formatCode>General</c:formatCode>
                <c:ptCount val="6"/>
                <c:pt idx="0">
                  <c:v>2011</c:v>
                </c:pt>
                <c:pt idx="1">
                  <c:v>2012</c:v>
                </c:pt>
                <c:pt idx="2">
                  <c:v>2013</c:v>
                </c:pt>
                <c:pt idx="3">
                  <c:v>2014</c:v>
                </c:pt>
                <c:pt idx="4">
                  <c:v>2015</c:v>
                </c:pt>
                <c:pt idx="5">
                  <c:v>2016</c:v>
                </c:pt>
              </c:numCache>
            </c:numRef>
          </c:cat>
          <c:val>
            <c:numRef>
              <c:f>Структура!$B$33:$G$33</c:f>
              <c:numCache>
                <c:formatCode>0.0%</c:formatCode>
                <c:ptCount val="6"/>
                <c:pt idx="0">
                  <c:v>0.96092559235140773</c:v>
                </c:pt>
                <c:pt idx="1">
                  <c:v>0.40999008445791518</c:v>
                </c:pt>
                <c:pt idx="2">
                  <c:v>0.90915230037527617</c:v>
                </c:pt>
                <c:pt idx="3">
                  <c:v>0.78382737237923572</c:v>
                </c:pt>
                <c:pt idx="4">
                  <c:v>0.69915826665282121</c:v>
                </c:pt>
                <c:pt idx="5">
                  <c:v>0.63757958375688861</c:v>
                </c:pt>
              </c:numCache>
            </c:numRef>
          </c:val>
          <c:extLst xmlns:c16r2="http://schemas.microsoft.com/office/drawing/2015/06/chart">
            <c:ext xmlns:c16="http://schemas.microsoft.com/office/drawing/2014/chart" uri="{C3380CC4-5D6E-409C-BE32-E72D297353CC}">
              <c16:uniqueId val="{00000001-CF65-4AEA-BF9F-B28AB0577ABB}"/>
            </c:ext>
          </c:extLst>
        </c:ser>
        <c:shape val="box"/>
        <c:axId val="175837952"/>
        <c:axId val="175839488"/>
        <c:axId val="0"/>
      </c:bar3DChart>
      <c:catAx>
        <c:axId val="175837952"/>
        <c:scaling>
          <c:orientation val="minMax"/>
        </c:scaling>
        <c:axPos val="b"/>
        <c:numFmt formatCode="General" sourceLinked="1"/>
        <c:tickLblPos val="nextTo"/>
        <c:crossAx val="175839488"/>
        <c:crosses val="autoZero"/>
        <c:auto val="1"/>
        <c:lblAlgn val="ctr"/>
        <c:lblOffset val="100"/>
      </c:catAx>
      <c:valAx>
        <c:axId val="175839488"/>
        <c:scaling>
          <c:orientation val="minMax"/>
        </c:scaling>
        <c:axPos val="l"/>
        <c:majorGridlines/>
        <c:numFmt formatCode="0.0%" sourceLinked="1"/>
        <c:tickLblPos val="nextTo"/>
        <c:crossAx val="175837952"/>
        <c:crosses val="autoZero"/>
        <c:crossBetween val="between"/>
      </c:valAx>
    </c:plotArea>
    <c:legend>
      <c:legendPos val="b"/>
      <c:txPr>
        <a:bodyPr/>
        <a:lstStyle/>
        <a:p>
          <a:pPr>
            <a:defRPr baseline="0">
              <a:latin typeface="Times New Roman" pitchFamily="18" charset="0"/>
            </a:defRPr>
          </a:pPr>
          <a:endParaRPr lang="ru-RU"/>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Рисунки!$A$124</c:f>
              <c:strCache>
                <c:ptCount val="1"/>
                <c:pt idx="0">
                  <c:v>Число субъектов малого предпринимательства,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Рисунки!$B$124:$H$124</c:f>
              <c:numCache>
                <c:formatCode>General</c:formatCode>
                <c:ptCount val="7"/>
                <c:pt idx="0">
                  <c:v>986</c:v>
                </c:pt>
                <c:pt idx="1">
                  <c:v>821</c:v>
                </c:pt>
                <c:pt idx="2">
                  <c:v>708</c:v>
                </c:pt>
                <c:pt idx="3">
                  <c:v>853</c:v>
                </c:pt>
                <c:pt idx="4">
                  <c:v>837</c:v>
                </c:pt>
                <c:pt idx="5">
                  <c:v>835</c:v>
                </c:pt>
                <c:pt idx="6">
                  <c:v>865</c:v>
                </c:pt>
              </c:numCache>
            </c:numRef>
          </c:val>
          <c:extLst xmlns:c16r2="http://schemas.microsoft.com/office/drawing/2015/06/chart">
            <c:ext xmlns:c16="http://schemas.microsoft.com/office/drawing/2014/chart" uri="{C3380CC4-5D6E-409C-BE32-E72D297353CC}">
              <c16:uniqueId val="{00000000-21D7-4995-AA26-14B9D01790AB}"/>
            </c:ext>
          </c:extLst>
        </c:ser>
        <c:ser>
          <c:idx val="1"/>
          <c:order val="1"/>
          <c:tx>
            <c:strRef>
              <c:f>Рисунки!$A$125</c:f>
              <c:strCache>
                <c:ptCount val="1"/>
                <c:pt idx="0">
                  <c:v>Число малых  предприятий (включая микропредприятия),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Рисунки!$B$125:$H$125</c:f>
              <c:numCache>
                <c:formatCode>General</c:formatCode>
                <c:ptCount val="7"/>
                <c:pt idx="0">
                  <c:v>251</c:v>
                </c:pt>
                <c:pt idx="1">
                  <c:v>252</c:v>
                </c:pt>
                <c:pt idx="2">
                  <c:v>250</c:v>
                </c:pt>
                <c:pt idx="3">
                  <c:v>253</c:v>
                </c:pt>
                <c:pt idx="4">
                  <c:v>247</c:v>
                </c:pt>
                <c:pt idx="5">
                  <c:v>247</c:v>
                </c:pt>
                <c:pt idx="6">
                  <c:v>284</c:v>
                </c:pt>
              </c:numCache>
            </c:numRef>
          </c:val>
          <c:extLst xmlns:c16r2="http://schemas.microsoft.com/office/drawing/2015/06/chart">
            <c:ext xmlns:c16="http://schemas.microsoft.com/office/drawing/2014/chart" uri="{C3380CC4-5D6E-409C-BE32-E72D297353CC}">
              <c16:uniqueId val="{00000001-21D7-4995-AA26-14B9D01790AB}"/>
            </c:ext>
          </c:extLst>
        </c:ser>
        <c:ser>
          <c:idx val="2"/>
          <c:order val="2"/>
          <c:tx>
            <c:strRef>
              <c:f>Рисунки!$A$126</c:f>
              <c:strCache>
                <c:ptCount val="1"/>
                <c:pt idx="0">
                  <c:v>Число ИП и КФХ зарегистрированных в статрегистре,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Рисунки!$B$126:$H$126</c:f>
              <c:numCache>
                <c:formatCode>General</c:formatCode>
                <c:ptCount val="7"/>
                <c:pt idx="0">
                  <c:v>581</c:v>
                </c:pt>
                <c:pt idx="1">
                  <c:v>584</c:v>
                </c:pt>
                <c:pt idx="2">
                  <c:v>585</c:v>
                </c:pt>
                <c:pt idx="3">
                  <c:v>600</c:v>
                </c:pt>
                <c:pt idx="4">
                  <c:v>590</c:v>
                </c:pt>
                <c:pt idx="5">
                  <c:v>593</c:v>
                </c:pt>
                <c:pt idx="6">
                  <c:v>631</c:v>
                </c:pt>
              </c:numCache>
            </c:numRef>
          </c:val>
          <c:extLst xmlns:c16r2="http://schemas.microsoft.com/office/drawing/2015/06/chart">
            <c:ext xmlns:c16="http://schemas.microsoft.com/office/drawing/2014/chart" uri="{C3380CC4-5D6E-409C-BE32-E72D297353CC}">
              <c16:uniqueId val="{00000002-21D7-4995-AA26-14B9D01790AB}"/>
            </c:ext>
          </c:extLst>
        </c:ser>
        <c:shape val="box"/>
        <c:axId val="176604288"/>
        <c:axId val="176605824"/>
        <c:axId val="0"/>
      </c:bar3DChart>
      <c:catAx>
        <c:axId val="176604288"/>
        <c:scaling>
          <c:orientation val="minMax"/>
        </c:scaling>
        <c:axPos val="b"/>
        <c:numFmt formatCode="General" sourceLinked="0"/>
        <c:tickLblPos val="nextTo"/>
        <c:txPr>
          <a:bodyPr rot="-5400000" vert="horz"/>
          <a:lstStyle/>
          <a:p>
            <a:pPr>
              <a:defRPr/>
            </a:pPr>
            <a:endParaRPr lang="ru-RU"/>
          </a:p>
        </c:txPr>
        <c:crossAx val="176605824"/>
        <c:crosses val="autoZero"/>
        <c:auto val="1"/>
        <c:lblAlgn val="ctr"/>
        <c:lblOffset val="100"/>
      </c:catAx>
      <c:valAx>
        <c:axId val="176605824"/>
        <c:scaling>
          <c:orientation val="minMax"/>
        </c:scaling>
        <c:axPos val="l"/>
        <c:majorGridlines/>
        <c:numFmt formatCode="General" sourceLinked="1"/>
        <c:tickLblPos val="nextTo"/>
        <c:crossAx val="176604288"/>
        <c:crosses val="autoZero"/>
        <c:crossBetween val="between"/>
      </c:valAx>
    </c:plotArea>
    <c:legend>
      <c:legendPos val="b"/>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Рисунки!$B$101:$H$101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Рисунки!$B$102:$H$102</c:f>
              <c:numCache>
                <c:formatCode>General</c:formatCode>
                <c:ptCount val="7"/>
                <c:pt idx="0">
                  <c:v>18687</c:v>
                </c:pt>
                <c:pt idx="1">
                  <c:v>14672</c:v>
                </c:pt>
                <c:pt idx="2">
                  <c:v>13446</c:v>
                </c:pt>
                <c:pt idx="3">
                  <c:v>14177</c:v>
                </c:pt>
                <c:pt idx="4">
                  <c:v>13534</c:v>
                </c:pt>
                <c:pt idx="5">
                  <c:v>13920</c:v>
                </c:pt>
                <c:pt idx="6">
                  <c:v>13937</c:v>
                </c:pt>
              </c:numCache>
            </c:numRef>
          </c:val>
          <c:extLst xmlns:c16r2="http://schemas.microsoft.com/office/drawing/2015/06/chart">
            <c:ext xmlns:c16="http://schemas.microsoft.com/office/drawing/2014/chart" uri="{C3380CC4-5D6E-409C-BE32-E72D297353CC}">
              <c16:uniqueId val="{00000000-CC1B-4190-9560-E31FF2B1E18C}"/>
            </c:ext>
          </c:extLst>
        </c:ser>
        <c:shape val="box"/>
        <c:axId val="176835200"/>
        <c:axId val="176853376"/>
        <c:axId val="0"/>
      </c:bar3DChart>
      <c:catAx>
        <c:axId val="176835200"/>
        <c:scaling>
          <c:orientation val="minMax"/>
        </c:scaling>
        <c:axPos val="b"/>
        <c:numFmt formatCode="General" sourceLinked="0"/>
        <c:tickLblPos val="nextTo"/>
        <c:txPr>
          <a:bodyPr/>
          <a:lstStyle/>
          <a:p>
            <a:pPr>
              <a:defRPr sz="900"/>
            </a:pPr>
            <a:endParaRPr lang="ru-RU"/>
          </a:p>
        </c:txPr>
        <c:crossAx val="176853376"/>
        <c:crosses val="autoZero"/>
        <c:auto val="1"/>
        <c:lblAlgn val="ctr"/>
        <c:lblOffset val="100"/>
      </c:catAx>
      <c:valAx>
        <c:axId val="176853376"/>
        <c:scaling>
          <c:orientation val="minMax"/>
        </c:scaling>
        <c:axPos val="l"/>
        <c:majorGridlines/>
        <c:numFmt formatCode="General" sourceLinked="1"/>
        <c:tickLblPos val="nextTo"/>
        <c:crossAx val="176835200"/>
        <c:crosses val="autoZero"/>
        <c:crossBetween val="between"/>
      </c:valAx>
    </c:plotArea>
    <c:plotVisOnly val="1"/>
    <c:dispBlanksAs val="gap"/>
  </c:chart>
  <c:spPr>
    <a:noFill/>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'с-х'!$B$13</c:f>
              <c:strCache>
                <c:ptCount val="1"/>
                <c:pt idx="0">
                  <c:v>Урожайность посевных площадей под картофель, ц/га</c:v>
                </c:pt>
              </c:strCache>
            </c:strRef>
          </c:tx>
          <c:dLbls>
            <c:dLbl>
              <c:idx val="0"/>
              <c:layout>
                <c:manualLayout>
                  <c:x val="-3.5805626598465499E-2"/>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15-497B-947E-6AA449E743BF}"/>
                </c:ext>
              </c:extLst>
            </c:dLbl>
            <c:dLbl>
              <c:idx val="1"/>
              <c:layout>
                <c:manualLayout>
                  <c:x val="-1.7050298380221938E-3"/>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15-497B-947E-6AA449E743BF}"/>
                </c:ext>
              </c:extLst>
            </c:dLbl>
            <c:dLbl>
              <c:idx val="2"/>
              <c:layout>
                <c:manualLayout>
                  <c:x val="0"/>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15-497B-947E-6AA449E743BF}"/>
                </c:ext>
              </c:extLst>
            </c:dLbl>
            <c:dLbl>
              <c:idx val="3"/>
              <c:layout>
                <c:manualLayout>
                  <c:x val="-5.1150895140664966E-3"/>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15-497B-947E-6AA449E743BF}"/>
                </c:ext>
              </c:extLst>
            </c:dLbl>
            <c:dLbl>
              <c:idx val="4"/>
              <c:layout>
                <c:manualLayout>
                  <c:x val="-3.0690537084399679E-2"/>
                  <c:y val="-4.8014773776546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15-497B-947E-6AA449E743BF}"/>
                </c:ext>
              </c:extLst>
            </c:dLbl>
            <c:dLbl>
              <c:idx val="6"/>
              <c:layout>
                <c:manualLayout>
                  <c:x val="-1.2503407705063684E-16"/>
                  <c:y val="-3.07692183447534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'с-х'!$C$13:$I$13</c:f>
              <c:numCache>
                <c:formatCode>0.0</c:formatCode>
                <c:ptCount val="7"/>
                <c:pt idx="0">
                  <c:v>112.4</c:v>
                </c:pt>
                <c:pt idx="1">
                  <c:v>230</c:v>
                </c:pt>
                <c:pt idx="2">
                  <c:v>125</c:v>
                </c:pt>
                <c:pt idx="3">
                  <c:v>223</c:v>
                </c:pt>
                <c:pt idx="4">
                  <c:v>247</c:v>
                </c:pt>
                <c:pt idx="5">
                  <c:v>243</c:v>
                </c:pt>
                <c:pt idx="6">
                  <c:v>98</c:v>
                </c:pt>
              </c:numCache>
            </c:numRef>
          </c:val>
          <c:extLst xmlns:c16r2="http://schemas.microsoft.com/office/drawing/2015/06/chart">
            <c:ext xmlns:c16="http://schemas.microsoft.com/office/drawing/2014/chart" uri="{C3380CC4-5D6E-409C-BE32-E72D297353CC}">
              <c16:uniqueId val="{00000006-2F15-497B-947E-6AA449E743BF}"/>
            </c:ext>
          </c:extLst>
        </c:ser>
        <c:ser>
          <c:idx val="1"/>
          <c:order val="1"/>
          <c:tx>
            <c:strRef>
              <c:f>'с-х'!$B$14</c:f>
              <c:strCache>
                <c:ptCount val="1"/>
                <c:pt idx="0">
                  <c:v>Урожайность посевных площадей под зерновые и бобовые, ц/га</c:v>
                </c:pt>
              </c:strCache>
            </c:strRef>
          </c:tx>
          <c:dLbls>
            <c:dLbl>
              <c:idx val="0"/>
              <c:layout>
                <c:manualLayout>
                  <c:x val="-5.1150895140664966E-3"/>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F15-497B-947E-6AA449E743BF}"/>
                </c:ext>
              </c:extLst>
            </c:dLbl>
            <c:dLbl>
              <c:idx val="1"/>
              <c:layout>
                <c:manualLayout>
                  <c:x val="-3.1258519262660491E-17"/>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F15-497B-947E-6AA449E743BF}"/>
                </c:ext>
              </c:extLst>
            </c:dLbl>
            <c:dLbl>
              <c:idx val="2"/>
              <c:layout>
                <c:manualLayout>
                  <c:x val="0"/>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F15-497B-947E-6AA449E743BF}"/>
                </c:ext>
              </c:extLst>
            </c:dLbl>
            <c:dLbl>
              <c:idx val="3"/>
              <c:layout>
                <c:manualLayout>
                  <c:x val="0"/>
                  <c:y val="1.84672206832875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F15-497B-947E-6AA449E743BF}"/>
                </c:ext>
              </c:extLst>
            </c:dLbl>
            <c:dLbl>
              <c:idx val="4"/>
              <c:layout>
                <c:manualLayout>
                  <c:x val="0"/>
                  <c:y val="1.4773776546629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F15-497B-947E-6AA449E743BF}"/>
                </c:ext>
              </c:extLst>
            </c:dLbl>
            <c:dLbl>
              <c:idx val="5"/>
              <c:layout>
                <c:manualLayout>
                  <c:x val="-1.7050298380221654E-3"/>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F15-497B-947E-6AA449E743BF}"/>
                </c:ext>
              </c:extLst>
            </c:dLbl>
            <c:dLbl>
              <c:idx val="6"/>
              <c:layout>
                <c:manualLayout>
                  <c:x val="-1.0230313282450948E-2"/>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'с-х'!$C$14:$I$14</c:f>
              <c:numCache>
                <c:formatCode>0.0</c:formatCode>
                <c:ptCount val="7"/>
                <c:pt idx="0">
                  <c:v>5.1678420310296165</c:v>
                </c:pt>
                <c:pt idx="1">
                  <c:v>12.526142251530853</c:v>
                </c:pt>
                <c:pt idx="2">
                  <c:v>8.5</c:v>
                </c:pt>
                <c:pt idx="3">
                  <c:v>6.4</c:v>
                </c:pt>
                <c:pt idx="4">
                  <c:v>16.100000000000001</c:v>
                </c:pt>
                <c:pt idx="5">
                  <c:v>14.6</c:v>
                </c:pt>
                <c:pt idx="6">
                  <c:v>8.5</c:v>
                </c:pt>
              </c:numCache>
            </c:numRef>
          </c:val>
          <c:extLst xmlns:c16r2="http://schemas.microsoft.com/office/drawing/2015/06/chart">
            <c:ext xmlns:c16="http://schemas.microsoft.com/office/drawing/2014/chart" uri="{C3380CC4-5D6E-409C-BE32-E72D297353CC}">
              <c16:uniqueId val="{0000000E-2F15-497B-947E-6AA449E743BF}"/>
            </c:ext>
          </c:extLst>
        </c:ser>
        <c:ser>
          <c:idx val="2"/>
          <c:order val="2"/>
          <c:tx>
            <c:strRef>
              <c:f>'с-х'!$B$15</c:f>
              <c:strCache>
                <c:ptCount val="1"/>
                <c:pt idx="0">
                  <c:v>Урожайность посевных площадей под овощи, ц/га</c:v>
                </c:pt>
              </c:strCache>
            </c:strRef>
          </c:tx>
          <c:dLbls>
            <c:dLbl>
              <c:idx val="5"/>
              <c:layout>
                <c:manualLayout>
                  <c:x val="-3.4100596760443312E-3"/>
                  <c:y val="-2.2160664819944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F15-497B-947E-6AA449E743BF}"/>
                </c:ext>
              </c:extLst>
            </c:dLbl>
            <c:dLbl>
              <c:idx val="6"/>
              <c:layout>
                <c:manualLayout>
                  <c:x val="-1.3425431795450506E-7"/>
                  <c:y val="3.07692183447534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'с-х'!$C$15:$I$15</c:f>
              <c:numCache>
                <c:formatCode>0.0</c:formatCode>
                <c:ptCount val="7"/>
                <c:pt idx="0">
                  <c:v>150.19999999999999</c:v>
                </c:pt>
                <c:pt idx="1">
                  <c:v>124</c:v>
                </c:pt>
                <c:pt idx="2">
                  <c:v>43</c:v>
                </c:pt>
                <c:pt idx="3">
                  <c:v>125.6</c:v>
                </c:pt>
                <c:pt idx="4">
                  <c:v>139</c:v>
                </c:pt>
                <c:pt idx="5">
                  <c:v>138.5</c:v>
                </c:pt>
                <c:pt idx="6">
                  <c:v>84</c:v>
                </c:pt>
              </c:numCache>
            </c:numRef>
          </c:val>
          <c:extLst xmlns:c16r2="http://schemas.microsoft.com/office/drawing/2015/06/chart">
            <c:ext xmlns:c16="http://schemas.microsoft.com/office/drawing/2014/chart" uri="{C3380CC4-5D6E-409C-BE32-E72D297353CC}">
              <c16:uniqueId val="{00000011-2F15-497B-947E-6AA449E743BF}"/>
            </c:ext>
          </c:extLst>
        </c:ser>
        <c:marker val="1"/>
        <c:axId val="176949120"/>
        <c:axId val="176950656"/>
      </c:lineChart>
      <c:catAx>
        <c:axId val="176949120"/>
        <c:scaling>
          <c:orientation val="minMax"/>
        </c:scaling>
        <c:axPos val="b"/>
        <c:numFmt formatCode="General" sourceLinked="1"/>
        <c:tickLblPos val="nextTo"/>
        <c:txPr>
          <a:bodyPr/>
          <a:lstStyle/>
          <a:p>
            <a:pPr>
              <a:defRPr baseline="0">
                <a:latin typeface="Times New Roman" pitchFamily="18" charset="0"/>
              </a:defRPr>
            </a:pPr>
            <a:endParaRPr lang="ru-RU"/>
          </a:p>
        </c:txPr>
        <c:crossAx val="176950656"/>
        <c:crosses val="autoZero"/>
        <c:auto val="1"/>
        <c:lblAlgn val="ctr"/>
        <c:lblOffset val="100"/>
      </c:catAx>
      <c:valAx>
        <c:axId val="176950656"/>
        <c:scaling>
          <c:orientation val="minMax"/>
        </c:scaling>
        <c:axPos val="l"/>
        <c:majorGridlines/>
        <c:numFmt formatCode="0.0" sourceLinked="1"/>
        <c:tickLblPos val="nextTo"/>
        <c:crossAx val="176949120"/>
        <c:crosses val="autoZero"/>
        <c:crossBetween val="between"/>
      </c:valAx>
    </c:plotArea>
    <c:legend>
      <c:legendPos val="b"/>
    </c:legend>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'с-х'!$B$37</c:f>
              <c:strCache>
                <c:ptCount val="1"/>
                <c:pt idx="0">
                  <c:v>Производство скота и птицы на убой (в живом весе) в хозяйствах всех категорий, тн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'с-х'!$C$37:$I$37</c:f>
              <c:numCache>
                <c:formatCode>General</c:formatCode>
                <c:ptCount val="7"/>
                <c:pt idx="0">
                  <c:v>1757</c:v>
                </c:pt>
                <c:pt idx="1">
                  <c:v>1677</c:v>
                </c:pt>
                <c:pt idx="2">
                  <c:v>1580</c:v>
                </c:pt>
                <c:pt idx="3">
                  <c:v>1617</c:v>
                </c:pt>
                <c:pt idx="4">
                  <c:v>1821</c:v>
                </c:pt>
                <c:pt idx="5">
                  <c:v>1591</c:v>
                </c:pt>
                <c:pt idx="6">
                  <c:v>1480</c:v>
                </c:pt>
              </c:numCache>
            </c:numRef>
          </c:val>
          <c:extLst xmlns:c16r2="http://schemas.microsoft.com/office/drawing/2015/06/chart">
            <c:ext xmlns:c16="http://schemas.microsoft.com/office/drawing/2014/chart" uri="{C3380CC4-5D6E-409C-BE32-E72D297353CC}">
              <c16:uniqueId val="{00000000-BBA5-4E03-A036-3342474DB2C1}"/>
            </c:ext>
          </c:extLst>
        </c:ser>
        <c:ser>
          <c:idx val="1"/>
          <c:order val="1"/>
          <c:tx>
            <c:strRef>
              <c:f>'с-х'!$B$38</c:f>
              <c:strCache>
                <c:ptCount val="1"/>
                <c:pt idx="0">
                  <c:v>Производство молока в хозяйствах всех категорий,  тн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'с-х'!$C$38:$I$38</c:f>
              <c:numCache>
                <c:formatCode>General</c:formatCode>
                <c:ptCount val="7"/>
                <c:pt idx="0">
                  <c:v>6125</c:v>
                </c:pt>
                <c:pt idx="1">
                  <c:v>5583</c:v>
                </c:pt>
                <c:pt idx="2">
                  <c:v>5058</c:v>
                </c:pt>
                <c:pt idx="3">
                  <c:v>5169</c:v>
                </c:pt>
                <c:pt idx="4">
                  <c:v>4489</c:v>
                </c:pt>
                <c:pt idx="5">
                  <c:v>4755</c:v>
                </c:pt>
                <c:pt idx="6">
                  <c:v>4764</c:v>
                </c:pt>
              </c:numCache>
            </c:numRef>
          </c:val>
          <c:extLst xmlns:c16r2="http://schemas.microsoft.com/office/drawing/2015/06/chart">
            <c:ext xmlns:c16="http://schemas.microsoft.com/office/drawing/2014/chart" uri="{C3380CC4-5D6E-409C-BE32-E72D297353CC}">
              <c16:uniqueId val="{00000001-BBA5-4E03-A036-3342474DB2C1}"/>
            </c:ext>
          </c:extLst>
        </c:ser>
        <c:ser>
          <c:idx val="2"/>
          <c:order val="2"/>
          <c:tx>
            <c:strRef>
              <c:f>'с-х'!$B$39</c:f>
              <c:strCache>
                <c:ptCount val="1"/>
                <c:pt idx="0">
                  <c:v>Производство яиц в хозяйствах всех категорий, тыс. шт.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'с-х'!$C$39:$I$39</c:f>
              <c:numCache>
                <c:formatCode>General</c:formatCode>
                <c:ptCount val="7"/>
                <c:pt idx="0">
                  <c:v>743</c:v>
                </c:pt>
                <c:pt idx="1">
                  <c:v>791</c:v>
                </c:pt>
                <c:pt idx="2">
                  <c:v>758</c:v>
                </c:pt>
                <c:pt idx="3">
                  <c:v>719</c:v>
                </c:pt>
                <c:pt idx="4">
                  <c:v>1627</c:v>
                </c:pt>
                <c:pt idx="5">
                  <c:v>2251</c:v>
                </c:pt>
                <c:pt idx="6">
                  <c:v>2348</c:v>
                </c:pt>
              </c:numCache>
            </c:numRef>
          </c:val>
          <c:extLst xmlns:c16r2="http://schemas.microsoft.com/office/drawing/2015/06/chart">
            <c:ext xmlns:c16="http://schemas.microsoft.com/office/drawing/2014/chart" uri="{C3380CC4-5D6E-409C-BE32-E72D297353CC}">
              <c16:uniqueId val="{00000002-BBA5-4E03-A036-3342474DB2C1}"/>
            </c:ext>
          </c:extLst>
        </c:ser>
        <c:ser>
          <c:idx val="3"/>
          <c:order val="3"/>
          <c:tx>
            <c:strRef>
              <c:f>'с-х'!$B$40</c:f>
              <c:strCache>
                <c:ptCount val="1"/>
                <c:pt idx="0">
                  <c:v>Поголовье КРС в  хозяйствах всех категорий, голов</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'с-х'!$C$40:$I$40</c:f>
              <c:numCache>
                <c:formatCode>General</c:formatCode>
                <c:ptCount val="7"/>
                <c:pt idx="0">
                  <c:v>6229</c:v>
                </c:pt>
                <c:pt idx="1">
                  <c:v>6085</c:v>
                </c:pt>
                <c:pt idx="2">
                  <c:v>6361</c:v>
                </c:pt>
                <c:pt idx="3">
                  <c:v>6121</c:v>
                </c:pt>
                <c:pt idx="4">
                  <c:v>6173</c:v>
                </c:pt>
                <c:pt idx="5">
                  <c:v>6468</c:v>
                </c:pt>
                <c:pt idx="6">
                  <c:v>6483</c:v>
                </c:pt>
              </c:numCache>
            </c:numRef>
          </c:val>
          <c:extLst xmlns:c16r2="http://schemas.microsoft.com/office/drawing/2015/06/chart">
            <c:ext xmlns:c16="http://schemas.microsoft.com/office/drawing/2014/chart" uri="{C3380CC4-5D6E-409C-BE32-E72D297353CC}">
              <c16:uniqueId val="{00000003-BBA5-4E03-A036-3342474DB2C1}"/>
            </c:ext>
          </c:extLst>
        </c:ser>
        <c:ser>
          <c:idx val="4"/>
          <c:order val="4"/>
          <c:tx>
            <c:strRef>
              <c:f>'с-х'!$B$44</c:f>
              <c:strCache>
                <c:ptCount val="1"/>
                <c:pt idx="0">
                  <c:v>Надои молока от одной коровы в с/х предприятиях, кг</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'с-х'!$C$44:$I$44</c:f>
              <c:numCache>
                <c:formatCode>General</c:formatCode>
                <c:ptCount val="7"/>
                <c:pt idx="0">
                  <c:v>3718</c:v>
                </c:pt>
                <c:pt idx="1">
                  <c:v>3824</c:v>
                </c:pt>
                <c:pt idx="2">
                  <c:v>3648</c:v>
                </c:pt>
                <c:pt idx="3">
                  <c:v>4211</c:v>
                </c:pt>
                <c:pt idx="4">
                  <c:v>3653</c:v>
                </c:pt>
                <c:pt idx="5">
                  <c:v>3131</c:v>
                </c:pt>
                <c:pt idx="6">
                  <c:v>3210</c:v>
                </c:pt>
              </c:numCache>
            </c:numRef>
          </c:val>
          <c:extLst xmlns:c16r2="http://schemas.microsoft.com/office/drawing/2015/06/chart">
            <c:ext xmlns:c16="http://schemas.microsoft.com/office/drawing/2014/chart" uri="{C3380CC4-5D6E-409C-BE32-E72D297353CC}">
              <c16:uniqueId val="{00000004-BBA5-4E03-A036-3342474DB2C1}"/>
            </c:ext>
          </c:extLst>
        </c:ser>
        <c:axId val="177011328"/>
        <c:axId val="177029504"/>
      </c:barChart>
      <c:catAx>
        <c:axId val="177011328"/>
        <c:scaling>
          <c:orientation val="minMax"/>
        </c:scaling>
        <c:axPos val="b"/>
        <c:numFmt formatCode="General" sourceLinked="0"/>
        <c:tickLblPos val="nextTo"/>
        <c:crossAx val="177029504"/>
        <c:crosses val="autoZero"/>
        <c:auto val="1"/>
        <c:lblAlgn val="ctr"/>
        <c:lblOffset val="100"/>
      </c:catAx>
      <c:valAx>
        <c:axId val="177029504"/>
        <c:scaling>
          <c:orientation val="minMax"/>
        </c:scaling>
        <c:axPos val="l"/>
        <c:majorGridlines/>
        <c:numFmt formatCode="General" sourceLinked="1"/>
        <c:tickLblPos val="nextTo"/>
        <c:crossAx val="177011328"/>
        <c:crosses val="autoZero"/>
        <c:crossBetween val="between"/>
      </c:valAx>
    </c:plotArea>
    <c:legend>
      <c:legendPos val="b"/>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Труд!$A$3</c:f>
              <c:strCache>
                <c:ptCount val="1"/>
                <c:pt idx="0">
                  <c:v>Среднесписочная численность работников организаций  в среднегодовом исчислении,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Труд!$B$3:$H$3</c:f>
              <c:numCache>
                <c:formatCode>General</c:formatCode>
                <c:ptCount val="7"/>
                <c:pt idx="0">
                  <c:v>4271</c:v>
                </c:pt>
                <c:pt idx="1">
                  <c:v>4028</c:v>
                </c:pt>
                <c:pt idx="2">
                  <c:v>3874</c:v>
                </c:pt>
                <c:pt idx="3">
                  <c:v>3767</c:v>
                </c:pt>
                <c:pt idx="4">
                  <c:v>3546</c:v>
                </c:pt>
                <c:pt idx="5">
                  <c:v>3338</c:v>
                </c:pt>
                <c:pt idx="6">
                  <c:v>3167</c:v>
                </c:pt>
              </c:numCache>
            </c:numRef>
          </c:val>
          <c:extLst xmlns:c16r2="http://schemas.microsoft.com/office/drawing/2015/06/chart">
            <c:ext xmlns:c16="http://schemas.microsoft.com/office/drawing/2014/chart" uri="{C3380CC4-5D6E-409C-BE32-E72D297353CC}">
              <c16:uniqueId val="{00000000-E59D-440F-AA0B-2DC6A4135994}"/>
            </c:ext>
          </c:extLst>
        </c:ser>
        <c:ser>
          <c:idx val="1"/>
          <c:order val="1"/>
          <c:tx>
            <c:strRef>
              <c:f>Труд!$A$5</c:f>
              <c:strCache>
                <c:ptCount val="1"/>
                <c:pt idx="0">
                  <c:v>Численность безработных зарегистрированных в государственных службах занятости,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Труд!$B$5:$H$5</c:f>
              <c:numCache>
                <c:formatCode>General</c:formatCode>
                <c:ptCount val="7"/>
                <c:pt idx="0">
                  <c:v>5054</c:v>
                </c:pt>
                <c:pt idx="1">
                  <c:v>1650</c:v>
                </c:pt>
                <c:pt idx="2">
                  <c:v>1250</c:v>
                </c:pt>
                <c:pt idx="3">
                  <c:v>1080</c:v>
                </c:pt>
                <c:pt idx="4">
                  <c:v>1105</c:v>
                </c:pt>
                <c:pt idx="5">
                  <c:v>1185</c:v>
                </c:pt>
                <c:pt idx="6">
                  <c:v>984</c:v>
                </c:pt>
              </c:numCache>
            </c:numRef>
          </c:val>
          <c:extLst xmlns:c16r2="http://schemas.microsoft.com/office/drawing/2015/06/chart">
            <c:ext xmlns:c16="http://schemas.microsoft.com/office/drawing/2014/chart" uri="{C3380CC4-5D6E-409C-BE32-E72D297353CC}">
              <c16:uniqueId val="{00000001-E59D-440F-AA0B-2DC6A4135994}"/>
            </c:ext>
          </c:extLst>
        </c:ser>
        <c:shape val="box"/>
        <c:axId val="177068672"/>
        <c:axId val="177078656"/>
        <c:axId val="0"/>
      </c:bar3DChart>
      <c:catAx>
        <c:axId val="177068672"/>
        <c:scaling>
          <c:orientation val="minMax"/>
        </c:scaling>
        <c:axPos val="b"/>
        <c:numFmt formatCode="General" sourceLinked="0"/>
        <c:tickLblPos val="nextTo"/>
        <c:txPr>
          <a:bodyPr/>
          <a:lstStyle/>
          <a:p>
            <a:pPr>
              <a:defRPr sz="800"/>
            </a:pPr>
            <a:endParaRPr lang="ru-RU"/>
          </a:p>
        </c:txPr>
        <c:crossAx val="177078656"/>
        <c:crosses val="autoZero"/>
        <c:auto val="1"/>
        <c:lblAlgn val="ctr"/>
        <c:lblOffset val="100"/>
      </c:catAx>
      <c:valAx>
        <c:axId val="177078656"/>
        <c:scaling>
          <c:orientation val="minMax"/>
        </c:scaling>
        <c:axPos val="l"/>
        <c:majorGridlines/>
        <c:numFmt formatCode="General" sourceLinked="1"/>
        <c:tickLblPos val="nextTo"/>
        <c:crossAx val="177068672"/>
        <c:crosses val="autoZero"/>
        <c:crossBetween val="between"/>
      </c:valAx>
    </c:plotArea>
    <c:legend>
      <c:legendPos val="b"/>
      <c:layout>
        <c:manualLayout>
          <c:xMode val="edge"/>
          <c:yMode val="edge"/>
          <c:x val="1.1605828907371565E-2"/>
          <c:y val="0.84228593367516669"/>
          <c:w val="0.96319424238138773"/>
          <c:h val="0.13196091333793691"/>
        </c:manualLayout>
      </c:layout>
      <c:txPr>
        <a:bodyPr/>
        <a:lstStyle/>
        <a:p>
          <a:pPr>
            <a:defRPr sz="950" baseline="0">
              <a:latin typeface="Times New Roman" pitchFamily="18" charset="0"/>
            </a:defRPr>
          </a:pPr>
          <a:endParaRPr lang="ru-RU"/>
        </a:p>
      </c:txPr>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Труд!$A$6</c:f>
              <c:strCache>
                <c:ptCount val="1"/>
                <c:pt idx="0">
                  <c:v>Уровень зарегистрированной  безработицы,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Труд!$B$6:$H$6</c:f>
              <c:numCache>
                <c:formatCode>0.0%</c:formatCode>
                <c:ptCount val="7"/>
                <c:pt idx="0">
                  <c:v>4.7000000000000014E-2</c:v>
                </c:pt>
                <c:pt idx="1">
                  <c:v>4.3000000000000003E-2</c:v>
                </c:pt>
                <c:pt idx="2">
                  <c:v>5.9000000000000434E-2</c:v>
                </c:pt>
                <c:pt idx="3">
                  <c:v>3.3000000000000002E-2</c:v>
                </c:pt>
                <c:pt idx="4">
                  <c:v>4.3000000000000003E-2</c:v>
                </c:pt>
                <c:pt idx="5">
                  <c:v>3.7999999999999999E-2</c:v>
                </c:pt>
                <c:pt idx="6">
                  <c:v>3.4000000000000002E-2</c:v>
                </c:pt>
              </c:numCache>
            </c:numRef>
          </c:val>
          <c:extLst xmlns:c16r2="http://schemas.microsoft.com/office/drawing/2015/06/chart">
            <c:ext xmlns:c16="http://schemas.microsoft.com/office/drawing/2014/chart" uri="{C3380CC4-5D6E-409C-BE32-E72D297353CC}">
              <c16:uniqueId val="{00000000-994E-44CB-BA02-FDD6785D605F}"/>
            </c:ext>
          </c:extLst>
        </c:ser>
        <c:marker val="1"/>
        <c:axId val="177085056"/>
        <c:axId val="177099136"/>
      </c:lineChart>
      <c:catAx>
        <c:axId val="177085056"/>
        <c:scaling>
          <c:orientation val="minMax"/>
        </c:scaling>
        <c:axPos val="b"/>
        <c:numFmt formatCode="General" sourceLinked="0"/>
        <c:tickLblPos val="nextTo"/>
        <c:crossAx val="177099136"/>
        <c:crosses val="autoZero"/>
        <c:auto val="1"/>
        <c:lblAlgn val="ctr"/>
        <c:lblOffset val="100"/>
      </c:catAx>
      <c:valAx>
        <c:axId val="177099136"/>
        <c:scaling>
          <c:orientation val="minMax"/>
        </c:scaling>
        <c:axPos val="l"/>
        <c:majorGridlines/>
        <c:numFmt formatCode="0.0%" sourceLinked="1"/>
        <c:tickLblPos val="nextTo"/>
        <c:crossAx val="177085056"/>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effectLst/>
          </c:spPr>
          <c:dLbls>
            <c:dLbl>
              <c:idx val="0"/>
              <c:layout>
                <c:manualLayout>
                  <c:x val="-6.3888888888888884E-2"/>
                  <c:y val="6.94444444444445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30-4DBD-B5A2-E5C0643F86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демография!$F$99:$F$102</c:f>
              <c:strCache>
                <c:ptCount val="4"/>
                <c:pt idx="0">
                  <c:v>01.01.2013 г.</c:v>
                </c:pt>
                <c:pt idx="1">
                  <c:v>01.01.2014 г.</c:v>
                </c:pt>
                <c:pt idx="2">
                  <c:v>01.01.2015 г.</c:v>
                </c:pt>
                <c:pt idx="3">
                  <c:v>01.01.2016 г.</c:v>
                </c:pt>
              </c:strCache>
            </c:strRef>
          </c:cat>
          <c:val>
            <c:numRef>
              <c:f>демография!$G$99:$G$102</c:f>
              <c:numCache>
                <c:formatCode>General</c:formatCode>
                <c:ptCount val="4"/>
                <c:pt idx="0">
                  <c:v>-0.4</c:v>
                </c:pt>
                <c:pt idx="1">
                  <c:v>0.70000000000000062</c:v>
                </c:pt>
                <c:pt idx="2">
                  <c:v>-1.4</c:v>
                </c:pt>
                <c:pt idx="3">
                  <c:v>-0.9</c:v>
                </c:pt>
              </c:numCache>
            </c:numRef>
          </c:val>
          <c:extLst xmlns:c16r2="http://schemas.microsoft.com/office/drawing/2015/06/chart">
            <c:ext xmlns:c16="http://schemas.microsoft.com/office/drawing/2014/chart" uri="{C3380CC4-5D6E-409C-BE32-E72D297353CC}">
              <c16:uniqueId val="{00000001-3A30-4DBD-B5A2-E5C0643F868E}"/>
            </c:ext>
          </c:extLst>
        </c:ser>
        <c:marker val="1"/>
        <c:axId val="75511680"/>
        <c:axId val="75513216"/>
      </c:lineChart>
      <c:catAx>
        <c:axId val="75511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5513216"/>
        <c:crosses val="autoZero"/>
        <c:auto val="1"/>
        <c:lblAlgn val="ctr"/>
        <c:lblOffset val="100"/>
      </c:catAx>
      <c:valAx>
        <c:axId val="755132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5116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Труд!$A$4</c:f>
              <c:strCache>
                <c:ptCount val="1"/>
                <c:pt idx="0">
                  <c:v>Заявленная предприятиями и организациями потребность в работниках,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Труд!$B$4:$H$4</c:f>
              <c:numCache>
                <c:formatCode>General</c:formatCode>
                <c:ptCount val="7"/>
                <c:pt idx="0">
                  <c:v>130</c:v>
                </c:pt>
                <c:pt idx="1">
                  <c:v>855</c:v>
                </c:pt>
                <c:pt idx="2">
                  <c:v>644</c:v>
                </c:pt>
                <c:pt idx="3">
                  <c:v>726</c:v>
                </c:pt>
                <c:pt idx="4">
                  <c:v>76</c:v>
                </c:pt>
                <c:pt idx="5">
                  <c:v>450</c:v>
                </c:pt>
                <c:pt idx="6">
                  <c:v>643</c:v>
                </c:pt>
              </c:numCache>
            </c:numRef>
          </c:val>
          <c:extLst xmlns:c16r2="http://schemas.microsoft.com/office/drawing/2015/06/chart">
            <c:ext xmlns:c16="http://schemas.microsoft.com/office/drawing/2014/chart" uri="{C3380CC4-5D6E-409C-BE32-E72D297353CC}">
              <c16:uniqueId val="{00000000-2945-4755-8CE7-40B464588E00}"/>
            </c:ext>
          </c:extLst>
        </c:ser>
        <c:ser>
          <c:idx val="1"/>
          <c:order val="1"/>
          <c:tx>
            <c:strRef>
              <c:f>Труд!$A$5</c:f>
              <c:strCache>
                <c:ptCount val="1"/>
                <c:pt idx="0">
                  <c:v>Численность безработных зарегистрированных в государственных службах занятости,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Труд!$B$5:$H$5</c:f>
              <c:numCache>
                <c:formatCode>General</c:formatCode>
                <c:ptCount val="7"/>
                <c:pt idx="0">
                  <c:v>5054</c:v>
                </c:pt>
                <c:pt idx="1">
                  <c:v>1650</c:v>
                </c:pt>
                <c:pt idx="2">
                  <c:v>1250</c:v>
                </c:pt>
                <c:pt idx="3">
                  <c:v>1080</c:v>
                </c:pt>
                <c:pt idx="4">
                  <c:v>1105</c:v>
                </c:pt>
                <c:pt idx="5">
                  <c:v>1185</c:v>
                </c:pt>
                <c:pt idx="6">
                  <c:v>984</c:v>
                </c:pt>
              </c:numCache>
            </c:numRef>
          </c:val>
          <c:extLst xmlns:c16r2="http://schemas.microsoft.com/office/drawing/2015/06/chart">
            <c:ext xmlns:c16="http://schemas.microsoft.com/office/drawing/2014/chart" uri="{C3380CC4-5D6E-409C-BE32-E72D297353CC}">
              <c16:uniqueId val="{00000001-2945-4755-8CE7-40B464588E00}"/>
            </c:ext>
          </c:extLst>
        </c:ser>
        <c:marker val="1"/>
        <c:axId val="177129344"/>
        <c:axId val="177130880"/>
      </c:lineChart>
      <c:catAx>
        <c:axId val="177129344"/>
        <c:scaling>
          <c:orientation val="minMax"/>
        </c:scaling>
        <c:axPos val="b"/>
        <c:numFmt formatCode="General" sourceLinked="0"/>
        <c:tickLblPos val="nextTo"/>
        <c:crossAx val="177130880"/>
        <c:crosses val="autoZero"/>
        <c:auto val="1"/>
        <c:lblAlgn val="ctr"/>
        <c:lblOffset val="100"/>
      </c:catAx>
      <c:valAx>
        <c:axId val="177130880"/>
        <c:scaling>
          <c:orientation val="minMax"/>
        </c:scaling>
        <c:axPos val="l"/>
        <c:majorGridlines/>
        <c:numFmt formatCode="General" sourceLinked="1"/>
        <c:tickLblPos val="nextTo"/>
        <c:crossAx val="177129344"/>
        <c:crosses val="autoZero"/>
        <c:crossBetween val="between"/>
      </c:valAx>
    </c:plotArea>
    <c:legend>
      <c:legendPos val="b"/>
      <c:layout>
        <c:manualLayout>
          <c:xMode val="edge"/>
          <c:yMode val="edge"/>
          <c:x val="2.0116012863641869E-2"/>
          <c:y val="0.80558219048951596"/>
          <c:w val="0.95011891328020404"/>
          <c:h val="0.17067229412529294"/>
        </c:manualLayout>
      </c:layout>
      <c:txPr>
        <a:bodyPr/>
        <a:lstStyle/>
        <a:p>
          <a:pPr>
            <a:defRPr sz="900" baseline="0"/>
          </a:pPr>
          <a:endParaRPr lang="ru-RU"/>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зп!$A$15:$A$22</c:f>
              <c:strCache>
                <c:ptCount val="8"/>
                <c:pt idx="0">
                  <c:v>Добывающие организации</c:v>
                </c:pt>
                <c:pt idx="1">
                  <c:v>Обрабатывающие организации</c:v>
                </c:pt>
                <c:pt idx="2">
                  <c:v>Организации производства и распределения электричества, газа, воды</c:v>
                </c:pt>
                <c:pt idx="3">
                  <c:v>Организации здравоохранения</c:v>
                </c:pt>
                <c:pt idx="4">
                  <c:v>Организации бюджетной сферы</c:v>
                </c:pt>
                <c:pt idx="5">
                  <c:v>Организации образования</c:v>
                </c:pt>
                <c:pt idx="6">
                  <c:v>Организации прочих отраслей</c:v>
                </c:pt>
                <c:pt idx="7">
                  <c:v>Сельскохозяйственные организации</c:v>
                </c:pt>
              </c:strCache>
            </c:strRef>
          </c:cat>
          <c:val>
            <c:numRef>
              <c:f>зп!$H$15:$H$22</c:f>
              <c:numCache>
                <c:formatCode>0.0</c:formatCode>
                <c:ptCount val="8"/>
                <c:pt idx="0">
                  <c:v>192.01762156726602</c:v>
                </c:pt>
                <c:pt idx="1">
                  <c:v>124.21568862179872</c:v>
                </c:pt>
                <c:pt idx="2">
                  <c:v>111.3989513252089</c:v>
                </c:pt>
                <c:pt idx="3">
                  <c:v>85.569548527146608</c:v>
                </c:pt>
                <c:pt idx="4">
                  <c:v>82.27627872084021</c:v>
                </c:pt>
                <c:pt idx="5">
                  <c:v>78.982609875419982</c:v>
                </c:pt>
                <c:pt idx="6">
                  <c:v>59.928093151690724</c:v>
                </c:pt>
                <c:pt idx="7">
                  <c:v>48.882291442206274</c:v>
                </c:pt>
              </c:numCache>
            </c:numRef>
          </c:val>
          <c:extLst xmlns:c16r2="http://schemas.microsoft.com/office/drawing/2015/06/chart">
            <c:ext xmlns:c16="http://schemas.microsoft.com/office/drawing/2014/chart" uri="{C3380CC4-5D6E-409C-BE32-E72D297353CC}">
              <c16:uniqueId val="{00000000-E1EC-451A-8462-165A62E35C5E}"/>
            </c:ext>
          </c:extLst>
        </c:ser>
        <c:axId val="177638400"/>
        <c:axId val="178045696"/>
      </c:barChart>
      <c:catAx>
        <c:axId val="177638400"/>
        <c:scaling>
          <c:orientation val="minMax"/>
        </c:scaling>
        <c:axPos val="b"/>
        <c:numFmt formatCode="General" sourceLinked="0"/>
        <c:tickLblPos val="nextTo"/>
        <c:crossAx val="178045696"/>
        <c:crossesAt val="100"/>
        <c:auto val="1"/>
        <c:lblAlgn val="ctr"/>
        <c:lblOffset val="100"/>
      </c:catAx>
      <c:valAx>
        <c:axId val="178045696"/>
        <c:scaling>
          <c:orientation val="minMax"/>
        </c:scaling>
        <c:axPos val="l"/>
        <c:majorGridlines>
          <c:spPr>
            <a:ln>
              <a:gradFill>
                <a:gsLst>
                  <a:gs pos="0">
                    <a:sysClr val="window" lastClr="FFFFFF">
                      <a:alpha val="0"/>
                    </a:sysClr>
                  </a:gs>
                  <a:gs pos="50000">
                    <a:srgbClr val="4F81BD">
                      <a:tint val="44500"/>
                      <a:satMod val="160000"/>
                    </a:srgbClr>
                  </a:gs>
                  <a:gs pos="100000">
                    <a:srgbClr val="4F81BD">
                      <a:tint val="23500"/>
                      <a:satMod val="160000"/>
                    </a:srgbClr>
                  </a:gs>
                </a:gsLst>
                <a:lin ang="5400000" scaled="0"/>
              </a:gradFill>
            </a:ln>
          </c:spPr>
        </c:majorGridlines>
        <c:numFmt formatCode="0.0" sourceLinked="1"/>
        <c:tickLblPos val="nextTo"/>
        <c:crossAx val="177638400"/>
        <c:crosses val="autoZero"/>
        <c:crossBetween val="between"/>
      </c:valAx>
    </c:plotArea>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Лист1!$A$2</c:f>
              <c:strCache>
                <c:ptCount val="1"/>
                <c:pt idx="0">
                  <c:v>Налоговые доходы</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Лист1!$B$9:$G$9</c:f>
              <c:numCache>
                <c:formatCode>0%</c:formatCode>
                <c:ptCount val="6"/>
                <c:pt idx="0">
                  <c:v>0.14283777322648095</c:v>
                </c:pt>
                <c:pt idx="1">
                  <c:v>9.4498041188023768E-2</c:v>
                </c:pt>
                <c:pt idx="2">
                  <c:v>0.12975999603210345</c:v>
                </c:pt>
                <c:pt idx="3">
                  <c:v>0.1382728442311692</c:v>
                </c:pt>
                <c:pt idx="4">
                  <c:v>0.15581027433625941</c:v>
                </c:pt>
                <c:pt idx="5">
                  <c:v>0.16943079989533164</c:v>
                </c:pt>
              </c:numCache>
            </c:numRef>
          </c:val>
          <c:extLst xmlns:c16r2="http://schemas.microsoft.com/office/drawing/2015/06/chart">
            <c:ext xmlns:c16="http://schemas.microsoft.com/office/drawing/2014/chart" uri="{C3380CC4-5D6E-409C-BE32-E72D297353CC}">
              <c16:uniqueId val="{00000000-D95F-4A1C-B416-483BF5AE11A1}"/>
            </c:ext>
          </c:extLst>
        </c:ser>
        <c:ser>
          <c:idx val="1"/>
          <c:order val="1"/>
          <c:tx>
            <c:strRef>
              <c:f>Лист1!$A$3</c:f>
              <c:strCache>
                <c:ptCount val="1"/>
                <c:pt idx="0">
                  <c:v>Неналоговые доходы</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Лист1!$B$10:$G$10</c:f>
              <c:numCache>
                <c:formatCode>0%</c:formatCode>
                <c:ptCount val="6"/>
                <c:pt idx="0">
                  <c:v>4.7845230534285792E-2</c:v>
                </c:pt>
                <c:pt idx="1">
                  <c:v>4.0358329327981973E-2</c:v>
                </c:pt>
                <c:pt idx="2">
                  <c:v>4.5760224617577824E-2</c:v>
                </c:pt>
                <c:pt idx="3">
                  <c:v>7.8916265115010514E-2</c:v>
                </c:pt>
                <c:pt idx="4">
                  <c:v>6.2998428745071514E-2</c:v>
                </c:pt>
                <c:pt idx="5">
                  <c:v>7.0158947967291302E-2</c:v>
                </c:pt>
              </c:numCache>
            </c:numRef>
          </c:val>
          <c:extLst xmlns:c16r2="http://schemas.microsoft.com/office/drawing/2015/06/chart">
            <c:ext xmlns:c16="http://schemas.microsoft.com/office/drawing/2014/chart" uri="{C3380CC4-5D6E-409C-BE32-E72D297353CC}">
              <c16:uniqueId val="{00000001-D95F-4A1C-B416-483BF5AE11A1}"/>
            </c:ext>
          </c:extLst>
        </c:ser>
        <c:ser>
          <c:idx val="2"/>
          <c:order val="2"/>
          <c:tx>
            <c:strRef>
              <c:f>Лист1!$A$4</c:f>
              <c:strCache>
                <c:ptCount val="1"/>
                <c:pt idx="0">
                  <c:v>Межбюджетные трансферты</c:v>
                </c:pt>
              </c:strCache>
            </c:strRef>
          </c:tx>
          <c:spPr>
            <a:solidFill>
              <a:schemeClr val="accent3"/>
            </a:solidFill>
            <a:ln>
              <a:noFill/>
            </a:ln>
            <a:effectLst/>
            <a:sp3d/>
          </c:spPr>
          <c:dLbls>
            <c:spPr>
              <a:noFill/>
              <a:ln>
                <a:solidFill>
                  <a:schemeClr val="accent1"/>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Лист1!$B$11:$G$11</c:f>
              <c:numCache>
                <c:formatCode>0%</c:formatCode>
                <c:ptCount val="6"/>
                <c:pt idx="0">
                  <c:v>0.78191692059572826</c:v>
                </c:pt>
                <c:pt idx="1">
                  <c:v>0.8411193275024339</c:v>
                </c:pt>
                <c:pt idx="2">
                  <c:v>0.80218406953311461</c:v>
                </c:pt>
                <c:pt idx="3">
                  <c:v>0.7735286022266129</c:v>
                </c:pt>
                <c:pt idx="4">
                  <c:v>0.77720790963802688</c:v>
                </c:pt>
                <c:pt idx="5">
                  <c:v>0.72994989018544398</c:v>
                </c:pt>
              </c:numCache>
            </c:numRef>
          </c:val>
          <c:extLst xmlns:c16r2="http://schemas.microsoft.com/office/drawing/2015/06/chart">
            <c:ext xmlns:c16="http://schemas.microsoft.com/office/drawing/2014/chart" uri="{C3380CC4-5D6E-409C-BE32-E72D297353CC}">
              <c16:uniqueId val="{00000002-D95F-4A1C-B416-483BF5AE11A1}"/>
            </c:ext>
          </c:extLst>
        </c:ser>
        <c:ser>
          <c:idx val="3"/>
          <c:order val="3"/>
          <c:tx>
            <c:strRef>
              <c:f>Лист1!$A$5</c:f>
              <c:strCache>
                <c:ptCount val="1"/>
                <c:pt idx="0">
                  <c:v>Прочие безвозмездные поступления</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Лист1!$B$12:$G$12</c:f>
              <c:numCache>
                <c:formatCode>0%</c:formatCode>
                <c:ptCount val="6"/>
                <c:pt idx="0">
                  <c:v>2.7400075643505589E-2</c:v>
                </c:pt>
                <c:pt idx="1">
                  <c:v>2.4024301981561632E-2</c:v>
                </c:pt>
                <c:pt idx="2">
                  <c:v>2.2295709817207212E-2</c:v>
                </c:pt>
                <c:pt idx="3">
                  <c:v>9.2822884272169247E-3</c:v>
                </c:pt>
                <c:pt idx="4">
                  <c:v>3.983387280651042E-3</c:v>
                </c:pt>
                <c:pt idx="5">
                  <c:v>3.0460361951952383E-2</c:v>
                </c:pt>
              </c:numCache>
            </c:numRef>
          </c:val>
          <c:extLst xmlns:c16r2="http://schemas.microsoft.com/office/drawing/2015/06/chart">
            <c:ext xmlns:c16="http://schemas.microsoft.com/office/drawing/2014/chart" uri="{C3380CC4-5D6E-409C-BE32-E72D297353CC}">
              <c16:uniqueId val="{00000003-D95F-4A1C-B416-483BF5AE11A1}"/>
            </c:ext>
          </c:extLst>
        </c:ser>
        <c:dLbls>
          <c:showVal val="1"/>
        </c:dLbls>
        <c:gapWidth val="79"/>
        <c:shape val="box"/>
        <c:axId val="178135424"/>
        <c:axId val="178136960"/>
        <c:axId val="0"/>
      </c:bar3DChart>
      <c:catAx>
        <c:axId val="1781354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8136960"/>
        <c:crosses val="autoZero"/>
        <c:auto val="1"/>
        <c:lblAlgn val="ctr"/>
        <c:lblOffset val="100"/>
      </c:catAx>
      <c:valAx>
        <c:axId val="178136960"/>
        <c:scaling>
          <c:orientation val="minMax"/>
        </c:scaling>
        <c:delete val="1"/>
        <c:axPos val="l"/>
        <c:numFmt formatCode="0%" sourceLinked="1"/>
        <c:majorTickMark val="none"/>
        <c:tickLblPos val="none"/>
        <c:crossAx val="178135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Лист1!$A$2</c:f>
              <c:strCache>
                <c:ptCount val="1"/>
                <c:pt idx="0">
                  <c:v>Налоговые доходы</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Лист1!$B$2:$G$2</c:f>
              <c:numCache>
                <c:formatCode>#,##0</c:formatCode>
                <c:ptCount val="6"/>
                <c:pt idx="0">
                  <c:v>100080</c:v>
                </c:pt>
                <c:pt idx="1">
                  <c:v>84738</c:v>
                </c:pt>
                <c:pt idx="2">
                  <c:v>120345</c:v>
                </c:pt>
                <c:pt idx="3">
                  <c:v>111023</c:v>
                </c:pt>
                <c:pt idx="4">
                  <c:v>115624</c:v>
                </c:pt>
                <c:pt idx="5">
                  <c:v>130142</c:v>
                </c:pt>
              </c:numCache>
            </c:numRef>
          </c:val>
          <c:extLst xmlns:c16r2="http://schemas.microsoft.com/office/drawing/2015/06/chart">
            <c:ext xmlns:c16="http://schemas.microsoft.com/office/drawing/2014/chart" uri="{C3380CC4-5D6E-409C-BE32-E72D297353CC}">
              <c16:uniqueId val="{00000000-9042-44C5-BCD8-D138AC6B141B}"/>
            </c:ext>
          </c:extLst>
        </c:ser>
        <c:ser>
          <c:idx val="1"/>
          <c:order val="1"/>
          <c:tx>
            <c:strRef>
              <c:f>Лист1!$A$3</c:f>
              <c:strCache>
                <c:ptCount val="1"/>
                <c:pt idx="0">
                  <c:v>Неналоговые доходы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Лист1!$B$3:$G$3</c:f>
              <c:numCache>
                <c:formatCode>#,##0</c:formatCode>
                <c:ptCount val="6"/>
                <c:pt idx="0">
                  <c:v>33523</c:v>
                </c:pt>
                <c:pt idx="1">
                  <c:v>36190</c:v>
                </c:pt>
                <c:pt idx="2">
                  <c:v>42440</c:v>
                </c:pt>
                <c:pt idx="3">
                  <c:v>63364</c:v>
                </c:pt>
                <c:pt idx="4">
                  <c:v>46750</c:v>
                </c:pt>
                <c:pt idx="5">
                  <c:v>53890</c:v>
                </c:pt>
              </c:numCache>
            </c:numRef>
          </c:val>
          <c:extLst xmlns:c16r2="http://schemas.microsoft.com/office/drawing/2015/06/chart">
            <c:ext xmlns:c16="http://schemas.microsoft.com/office/drawing/2014/chart" uri="{C3380CC4-5D6E-409C-BE32-E72D297353CC}">
              <c16:uniqueId val="{00000001-9042-44C5-BCD8-D138AC6B141B}"/>
            </c:ext>
          </c:extLst>
        </c:ser>
        <c:ser>
          <c:idx val="2"/>
          <c:order val="2"/>
          <c:tx>
            <c:strRef>
              <c:f>Лист1!$A$4</c:f>
              <c:strCache>
                <c:ptCount val="1"/>
                <c:pt idx="0">
                  <c:v>Межбюджетные трансферты</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Лист1!$B$4:$G$4</c:f>
              <c:numCache>
                <c:formatCode>#,##0</c:formatCode>
                <c:ptCount val="6"/>
                <c:pt idx="0">
                  <c:v>547854</c:v>
                </c:pt>
                <c:pt idx="1">
                  <c:v>754246</c:v>
                </c:pt>
                <c:pt idx="2">
                  <c:v>743980</c:v>
                </c:pt>
                <c:pt idx="3">
                  <c:v>621087</c:v>
                </c:pt>
                <c:pt idx="4">
                  <c:v>576752</c:v>
                </c:pt>
                <c:pt idx="5">
                  <c:v>560684</c:v>
                </c:pt>
              </c:numCache>
            </c:numRef>
          </c:val>
          <c:extLst xmlns:c16r2="http://schemas.microsoft.com/office/drawing/2015/06/chart">
            <c:ext xmlns:c16="http://schemas.microsoft.com/office/drawing/2014/chart" uri="{C3380CC4-5D6E-409C-BE32-E72D297353CC}">
              <c16:uniqueId val="{00000002-9042-44C5-BCD8-D138AC6B141B}"/>
            </c:ext>
          </c:extLst>
        </c:ser>
        <c:ser>
          <c:idx val="3"/>
          <c:order val="3"/>
          <c:tx>
            <c:strRef>
              <c:f>Лист1!$A$5</c:f>
              <c:strCache>
                <c:ptCount val="1"/>
                <c:pt idx="0">
                  <c:v>Прочие безвозмездные поступления</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Лист1!$B$5:$G$5</c:f>
              <c:numCache>
                <c:formatCode>#,##0</c:formatCode>
                <c:ptCount val="6"/>
                <c:pt idx="0">
                  <c:v>19198</c:v>
                </c:pt>
                <c:pt idx="1">
                  <c:v>21543</c:v>
                </c:pt>
                <c:pt idx="2" formatCode="General">
                  <c:v>20678</c:v>
                </c:pt>
                <c:pt idx="3">
                  <c:v>7453</c:v>
                </c:pt>
                <c:pt idx="4">
                  <c:v>2956</c:v>
                </c:pt>
                <c:pt idx="5">
                  <c:v>23397</c:v>
                </c:pt>
              </c:numCache>
            </c:numRef>
          </c:val>
          <c:extLst xmlns:c16r2="http://schemas.microsoft.com/office/drawing/2015/06/chart">
            <c:ext xmlns:c16="http://schemas.microsoft.com/office/drawing/2014/chart" uri="{C3380CC4-5D6E-409C-BE32-E72D297353CC}">
              <c16:uniqueId val="{00000003-9042-44C5-BCD8-D138AC6B141B}"/>
            </c:ext>
          </c:extLst>
        </c:ser>
        <c:dLbls>
          <c:showVal val="1"/>
        </c:dLbls>
        <c:marker val="1"/>
        <c:axId val="178193536"/>
        <c:axId val="178195072"/>
      </c:lineChart>
      <c:catAx>
        <c:axId val="178193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95072"/>
        <c:crosses val="autoZero"/>
        <c:auto val="1"/>
        <c:lblAlgn val="ctr"/>
        <c:lblOffset val="100"/>
      </c:catAx>
      <c:valAx>
        <c:axId val="1781950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935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1342996539846968E-2"/>
          <c:y val="4.3411611671708192E-2"/>
          <c:w val="0.88663498143813102"/>
          <c:h val="0.55589104147906065"/>
        </c:manualLayout>
      </c:layout>
      <c:bar3DChart>
        <c:barDir val="col"/>
        <c:grouping val="clustered"/>
        <c:ser>
          <c:idx val="0"/>
          <c:order val="0"/>
          <c:tx>
            <c:strRef>
              <c:f>Лист5!$A$2</c:f>
              <c:strCache>
                <c:ptCount val="1"/>
                <c:pt idx="0">
                  <c:v>Акцизы</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Лист5!$B$2:$G$2</c:f>
              <c:numCache>
                <c:formatCode>General</c:formatCode>
                <c:ptCount val="6"/>
                <c:pt idx="3">
                  <c:v>12074</c:v>
                </c:pt>
                <c:pt idx="4">
                  <c:v>12049</c:v>
                </c:pt>
                <c:pt idx="5">
                  <c:v>16766</c:v>
                </c:pt>
              </c:numCache>
            </c:numRef>
          </c:val>
          <c:extLst xmlns:c16r2="http://schemas.microsoft.com/office/drawing/2015/06/chart">
            <c:ext xmlns:c16="http://schemas.microsoft.com/office/drawing/2014/chart" uri="{C3380CC4-5D6E-409C-BE32-E72D297353CC}">
              <c16:uniqueId val="{00000000-F8C3-45C5-B351-CDA149B0E618}"/>
            </c:ext>
          </c:extLst>
        </c:ser>
        <c:ser>
          <c:idx val="1"/>
          <c:order val="1"/>
          <c:tx>
            <c:strRef>
              <c:f>Лист5!$A$3</c:f>
              <c:strCache>
                <c:ptCount val="1"/>
                <c:pt idx="0">
                  <c:v>Госпошлина</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Лист5!$B$3:$G$3</c:f>
              <c:numCache>
                <c:formatCode>General</c:formatCode>
                <c:ptCount val="6"/>
                <c:pt idx="0">
                  <c:v>6161</c:v>
                </c:pt>
                <c:pt idx="1">
                  <c:v>1573</c:v>
                </c:pt>
                <c:pt idx="2">
                  <c:v>1890</c:v>
                </c:pt>
                <c:pt idx="3">
                  <c:v>2308</c:v>
                </c:pt>
                <c:pt idx="4">
                  <c:v>3282</c:v>
                </c:pt>
                <c:pt idx="5">
                  <c:v>2680</c:v>
                </c:pt>
              </c:numCache>
            </c:numRef>
          </c:val>
          <c:extLst xmlns:c16r2="http://schemas.microsoft.com/office/drawing/2015/06/chart">
            <c:ext xmlns:c16="http://schemas.microsoft.com/office/drawing/2014/chart" uri="{C3380CC4-5D6E-409C-BE32-E72D297353CC}">
              <c16:uniqueId val="{00000001-F8C3-45C5-B351-CDA149B0E618}"/>
            </c:ext>
          </c:extLst>
        </c:ser>
        <c:ser>
          <c:idx val="2"/>
          <c:order val="2"/>
          <c:tx>
            <c:strRef>
              <c:f>Лист5!$A$4</c:f>
              <c:strCache>
                <c:ptCount val="1"/>
                <c:pt idx="0">
                  <c:v>ЕНВД</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Лист5!$B$4:$G$4</c:f>
              <c:numCache>
                <c:formatCode>General</c:formatCode>
                <c:ptCount val="6"/>
                <c:pt idx="0">
                  <c:v>6387</c:v>
                </c:pt>
                <c:pt idx="1">
                  <c:v>7414</c:v>
                </c:pt>
                <c:pt idx="2">
                  <c:v>7556</c:v>
                </c:pt>
                <c:pt idx="3">
                  <c:v>7697</c:v>
                </c:pt>
                <c:pt idx="4">
                  <c:v>8500</c:v>
                </c:pt>
                <c:pt idx="5">
                  <c:v>8057</c:v>
                </c:pt>
              </c:numCache>
            </c:numRef>
          </c:val>
          <c:extLst xmlns:c16r2="http://schemas.microsoft.com/office/drawing/2015/06/chart">
            <c:ext xmlns:c16="http://schemas.microsoft.com/office/drawing/2014/chart" uri="{C3380CC4-5D6E-409C-BE32-E72D297353CC}">
              <c16:uniqueId val="{00000002-F8C3-45C5-B351-CDA149B0E618}"/>
            </c:ext>
          </c:extLst>
        </c:ser>
        <c:ser>
          <c:idx val="3"/>
          <c:order val="3"/>
          <c:tx>
            <c:strRef>
              <c:f>Лист5!$A$5</c:f>
              <c:strCache>
                <c:ptCount val="1"/>
                <c:pt idx="0">
                  <c:v>ЕСХН</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Лист5!$B$5:$G$5</c:f>
              <c:numCache>
                <c:formatCode>General</c:formatCode>
                <c:ptCount val="6"/>
                <c:pt idx="0">
                  <c:v>155</c:v>
                </c:pt>
                <c:pt idx="1">
                  <c:v>293</c:v>
                </c:pt>
                <c:pt idx="2">
                  <c:v>128</c:v>
                </c:pt>
                <c:pt idx="3">
                  <c:v>183</c:v>
                </c:pt>
                <c:pt idx="4">
                  <c:v>153</c:v>
                </c:pt>
                <c:pt idx="5">
                  <c:v>182</c:v>
                </c:pt>
              </c:numCache>
            </c:numRef>
          </c:val>
          <c:extLst xmlns:c16r2="http://schemas.microsoft.com/office/drawing/2015/06/chart">
            <c:ext xmlns:c16="http://schemas.microsoft.com/office/drawing/2014/chart" uri="{C3380CC4-5D6E-409C-BE32-E72D297353CC}">
              <c16:uniqueId val="{00000003-F8C3-45C5-B351-CDA149B0E618}"/>
            </c:ext>
          </c:extLst>
        </c:ser>
        <c:ser>
          <c:idx val="4"/>
          <c:order val="4"/>
          <c:tx>
            <c:strRef>
              <c:f>Лист5!$A$6</c:f>
              <c:strCache>
                <c:ptCount val="1"/>
                <c:pt idx="0">
                  <c:v>Земельный налог</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Лист5!$B$6:$G$6</c:f>
              <c:numCache>
                <c:formatCode>General</c:formatCode>
                <c:ptCount val="6"/>
                <c:pt idx="0">
                  <c:v>1108</c:v>
                </c:pt>
                <c:pt idx="1">
                  <c:v>2336</c:v>
                </c:pt>
                <c:pt idx="2">
                  <c:v>5971</c:v>
                </c:pt>
                <c:pt idx="3">
                  <c:v>9365</c:v>
                </c:pt>
                <c:pt idx="4">
                  <c:v>9420</c:v>
                </c:pt>
                <c:pt idx="5">
                  <c:v>10606</c:v>
                </c:pt>
              </c:numCache>
            </c:numRef>
          </c:val>
          <c:extLst xmlns:c16r2="http://schemas.microsoft.com/office/drawing/2015/06/chart">
            <c:ext xmlns:c16="http://schemas.microsoft.com/office/drawing/2014/chart" uri="{C3380CC4-5D6E-409C-BE32-E72D297353CC}">
              <c16:uniqueId val="{00000004-F8C3-45C5-B351-CDA149B0E618}"/>
            </c:ext>
          </c:extLst>
        </c:ser>
        <c:ser>
          <c:idx val="5"/>
          <c:order val="5"/>
          <c:tx>
            <c:strRef>
              <c:f>Лист5!$A$7</c:f>
              <c:strCache>
                <c:ptCount val="1"/>
                <c:pt idx="0">
                  <c:v>Налог на имущество организаций</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Лист5!$B$7:$G$7</c:f>
              <c:numCache>
                <c:formatCode>General</c:formatCode>
                <c:ptCount val="6"/>
                <c:pt idx="0">
                  <c:v>26493</c:v>
                </c:pt>
              </c:numCache>
            </c:numRef>
          </c:val>
          <c:extLst xmlns:c16r2="http://schemas.microsoft.com/office/drawing/2015/06/chart">
            <c:ext xmlns:c16="http://schemas.microsoft.com/office/drawing/2014/chart" uri="{C3380CC4-5D6E-409C-BE32-E72D297353CC}">
              <c16:uniqueId val="{00000005-F8C3-45C5-B351-CDA149B0E618}"/>
            </c:ext>
          </c:extLst>
        </c:ser>
        <c:ser>
          <c:idx val="6"/>
          <c:order val="6"/>
          <c:tx>
            <c:strRef>
              <c:f>Лист5!$A$8</c:f>
              <c:strCache>
                <c:ptCount val="1"/>
                <c:pt idx="0">
                  <c:v>Налог на имущество физических лиц</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Лист5!$B$8:$G$8</c:f>
              <c:numCache>
                <c:formatCode>General</c:formatCode>
                <c:ptCount val="6"/>
                <c:pt idx="0">
                  <c:v>515</c:v>
                </c:pt>
                <c:pt idx="1">
                  <c:v>3853</c:v>
                </c:pt>
                <c:pt idx="2">
                  <c:v>4277</c:v>
                </c:pt>
                <c:pt idx="3">
                  <c:v>4700</c:v>
                </c:pt>
                <c:pt idx="4">
                  <c:v>4721</c:v>
                </c:pt>
                <c:pt idx="5">
                  <c:v>5454</c:v>
                </c:pt>
              </c:numCache>
            </c:numRef>
          </c:val>
          <c:extLst xmlns:c16r2="http://schemas.microsoft.com/office/drawing/2015/06/chart">
            <c:ext xmlns:c16="http://schemas.microsoft.com/office/drawing/2014/chart" uri="{C3380CC4-5D6E-409C-BE32-E72D297353CC}">
              <c16:uniqueId val="{00000006-F8C3-45C5-B351-CDA149B0E618}"/>
            </c:ext>
          </c:extLst>
        </c:ser>
        <c:ser>
          <c:idx val="7"/>
          <c:order val="7"/>
          <c:tx>
            <c:strRef>
              <c:f>Лист5!$A$9</c:f>
              <c:strCache>
                <c:ptCount val="1"/>
                <c:pt idx="0">
                  <c:v>НДФЛ</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Лист5!$B$9:$G$9</c:f>
              <c:numCache>
                <c:formatCode>General</c:formatCode>
                <c:ptCount val="6"/>
                <c:pt idx="0">
                  <c:v>49526</c:v>
                </c:pt>
                <c:pt idx="1">
                  <c:v>50305</c:v>
                </c:pt>
                <c:pt idx="2">
                  <c:v>78422</c:v>
                </c:pt>
                <c:pt idx="3">
                  <c:v>54473</c:v>
                </c:pt>
                <c:pt idx="4">
                  <c:v>54232</c:v>
                </c:pt>
                <c:pt idx="5">
                  <c:v>63290</c:v>
                </c:pt>
              </c:numCache>
            </c:numRef>
          </c:val>
          <c:extLst xmlns:c16r2="http://schemas.microsoft.com/office/drawing/2015/06/chart">
            <c:ext xmlns:c16="http://schemas.microsoft.com/office/drawing/2014/chart" uri="{C3380CC4-5D6E-409C-BE32-E72D297353CC}">
              <c16:uniqueId val="{00000007-F8C3-45C5-B351-CDA149B0E618}"/>
            </c:ext>
          </c:extLst>
        </c:ser>
        <c:ser>
          <c:idx val="8"/>
          <c:order val="8"/>
          <c:tx>
            <c:strRef>
              <c:f>Лист5!$A$10</c:f>
              <c:strCache>
                <c:ptCount val="1"/>
                <c:pt idx="0">
                  <c:v>Патент</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Лист5!$B$10:$G$10</c:f>
              <c:numCache>
                <c:formatCode>General</c:formatCode>
                <c:ptCount val="6"/>
                <c:pt idx="2">
                  <c:v>12</c:v>
                </c:pt>
                <c:pt idx="3">
                  <c:v>8</c:v>
                </c:pt>
                <c:pt idx="4">
                  <c:v>11</c:v>
                </c:pt>
                <c:pt idx="5">
                  <c:v>34</c:v>
                </c:pt>
              </c:numCache>
            </c:numRef>
          </c:val>
          <c:extLst xmlns:c16r2="http://schemas.microsoft.com/office/drawing/2015/06/chart">
            <c:ext xmlns:c16="http://schemas.microsoft.com/office/drawing/2014/chart" uri="{C3380CC4-5D6E-409C-BE32-E72D297353CC}">
              <c16:uniqueId val="{00000008-F8C3-45C5-B351-CDA149B0E618}"/>
            </c:ext>
          </c:extLst>
        </c:ser>
        <c:ser>
          <c:idx val="9"/>
          <c:order val="9"/>
          <c:tx>
            <c:strRef>
              <c:f>Лист5!$A$11</c:f>
              <c:strCache>
                <c:ptCount val="1"/>
                <c:pt idx="0">
                  <c:v>Прочие местные налоги</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Лист5!$B$11:$G$11</c:f>
              <c:numCache>
                <c:formatCode>General</c:formatCode>
                <c:ptCount val="6"/>
                <c:pt idx="0">
                  <c:v>57</c:v>
                </c:pt>
                <c:pt idx="1">
                  <c:v>47</c:v>
                </c:pt>
                <c:pt idx="2">
                  <c:v>54</c:v>
                </c:pt>
                <c:pt idx="3">
                  <c:v>60</c:v>
                </c:pt>
              </c:numCache>
            </c:numRef>
          </c:val>
          <c:extLst xmlns:c16r2="http://schemas.microsoft.com/office/drawing/2015/06/chart">
            <c:ext xmlns:c16="http://schemas.microsoft.com/office/drawing/2014/chart" uri="{C3380CC4-5D6E-409C-BE32-E72D297353CC}">
              <c16:uniqueId val="{00000009-F8C3-45C5-B351-CDA149B0E618}"/>
            </c:ext>
          </c:extLst>
        </c:ser>
        <c:ser>
          <c:idx val="10"/>
          <c:order val="10"/>
          <c:tx>
            <c:strRef>
              <c:f>Лист5!$A$12</c:f>
              <c:strCache>
                <c:ptCount val="1"/>
                <c:pt idx="0">
                  <c:v>Транспортный налог</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Лист5!$B$12:$G$12</c:f>
              <c:numCache>
                <c:formatCode>General</c:formatCode>
                <c:ptCount val="6"/>
                <c:pt idx="0">
                  <c:v>9678</c:v>
                </c:pt>
                <c:pt idx="1">
                  <c:v>18917</c:v>
                </c:pt>
                <c:pt idx="2">
                  <c:v>22035</c:v>
                </c:pt>
                <c:pt idx="3">
                  <c:v>20155</c:v>
                </c:pt>
                <c:pt idx="4">
                  <c:v>23256</c:v>
                </c:pt>
                <c:pt idx="5">
                  <c:v>23073</c:v>
                </c:pt>
              </c:numCache>
            </c:numRef>
          </c:val>
          <c:extLst xmlns:c16r2="http://schemas.microsoft.com/office/drawing/2015/06/chart">
            <c:ext xmlns:c16="http://schemas.microsoft.com/office/drawing/2014/chart" uri="{C3380CC4-5D6E-409C-BE32-E72D297353CC}">
              <c16:uniqueId val="{0000000A-F8C3-45C5-B351-CDA149B0E618}"/>
            </c:ext>
          </c:extLst>
        </c:ser>
        <c:shape val="box"/>
        <c:axId val="178439296"/>
        <c:axId val="178440832"/>
        <c:axId val="0"/>
      </c:bar3DChart>
      <c:catAx>
        <c:axId val="178439296"/>
        <c:scaling>
          <c:orientation val="minMax"/>
        </c:scaling>
        <c:axPos val="b"/>
        <c:numFmt formatCode="General" sourceLinked="0"/>
        <c:tickLblPos val="nextTo"/>
        <c:crossAx val="178440832"/>
        <c:crosses val="autoZero"/>
        <c:auto val="1"/>
        <c:lblAlgn val="ctr"/>
        <c:lblOffset val="100"/>
      </c:catAx>
      <c:valAx>
        <c:axId val="178440832"/>
        <c:scaling>
          <c:orientation val="minMax"/>
        </c:scaling>
        <c:axPos val="l"/>
        <c:majorGridlines/>
        <c:numFmt formatCode="General" sourceLinked="1"/>
        <c:tickLblPos val="nextTo"/>
        <c:crossAx val="178439296"/>
        <c:crosses val="autoZero"/>
        <c:crossBetween val="between"/>
      </c:valAx>
    </c:plotArea>
    <c:legend>
      <c:legendPos val="b"/>
      <c:layout>
        <c:manualLayout>
          <c:xMode val="edge"/>
          <c:yMode val="edge"/>
          <c:x val="1.1882906528575808E-2"/>
          <c:y val="0.69893458332371261"/>
          <c:w val="0.98424219495084453"/>
          <c:h val="0.27760500611910316"/>
        </c:manualLayout>
      </c:layout>
    </c:legend>
    <c:plotVisOnly val="1"/>
    <c:dispBlanksAs val="gap"/>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1083468117574281"/>
          <c:y val="4.1529721162803915E-2"/>
          <c:w val="0.86412350329443377"/>
          <c:h val="0.63640744143140615"/>
        </c:manualLayout>
      </c:layout>
      <c:bar3DChart>
        <c:barDir val="col"/>
        <c:grouping val="clustered"/>
        <c:ser>
          <c:idx val="0"/>
          <c:order val="0"/>
          <c:tx>
            <c:strRef>
              <c:f>Лист6!$A$2</c:f>
              <c:strCache>
                <c:ptCount val="1"/>
                <c:pt idx="0">
                  <c:v>% от ссуд</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Лист6!$B$2:$G$2</c:f>
            </c:numRef>
          </c:val>
          <c:extLst xmlns:c16r2="http://schemas.microsoft.com/office/drawing/2015/06/chart">
            <c:ext xmlns:c16="http://schemas.microsoft.com/office/drawing/2014/chart" uri="{C3380CC4-5D6E-409C-BE32-E72D297353CC}">
              <c16:uniqueId val="{00000000-DAFC-49DC-BDF0-1226EF40D192}"/>
            </c:ext>
          </c:extLst>
        </c:ser>
        <c:ser>
          <c:idx val="1"/>
          <c:order val="1"/>
          <c:tx>
            <c:strRef>
              <c:f>Лист6!$A$3</c:f>
              <c:strCache>
                <c:ptCount val="1"/>
                <c:pt idx="0">
                  <c:v>Аренда земли</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Лист6!$B$3:$G$3</c:f>
              <c:numCache>
                <c:formatCode>General</c:formatCode>
                <c:ptCount val="6"/>
                <c:pt idx="0">
                  <c:v>28845</c:v>
                </c:pt>
                <c:pt idx="1">
                  <c:v>30901</c:v>
                </c:pt>
                <c:pt idx="2">
                  <c:v>35706</c:v>
                </c:pt>
                <c:pt idx="3">
                  <c:v>37772</c:v>
                </c:pt>
                <c:pt idx="4">
                  <c:v>37378</c:v>
                </c:pt>
                <c:pt idx="5">
                  <c:v>44961</c:v>
                </c:pt>
              </c:numCache>
            </c:numRef>
          </c:val>
          <c:extLst xmlns:c16r2="http://schemas.microsoft.com/office/drawing/2015/06/chart">
            <c:ext xmlns:c16="http://schemas.microsoft.com/office/drawing/2014/chart" uri="{C3380CC4-5D6E-409C-BE32-E72D297353CC}">
              <c16:uniqueId val="{00000001-DAFC-49DC-BDF0-1226EF40D192}"/>
            </c:ext>
          </c:extLst>
        </c:ser>
        <c:ser>
          <c:idx val="2"/>
          <c:order val="2"/>
          <c:tx>
            <c:strRef>
              <c:f>Лист6!$A$4</c:f>
              <c:strCache>
                <c:ptCount val="1"/>
                <c:pt idx="0">
                  <c:v>Аренда имущества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Лист6!$B$4:$G$4</c:f>
              <c:numCache>
                <c:formatCode>General</c:formatCode>
                <c:ptCount val="6"/>
                <c:pt idx="0">
                  <c:v>1272</c:v>
                </c:pt>
                <c:pt idx="1">
                  <c:v>733</c:v>
                </c:pt>
                <c:pt idx="2">
                  <c:v>1578</c:v>
                </c:pt>
                <c:pt idx="3">
                  <c:v>1910</c:v>
                </c:pt>
                <c:pt idx="4">
                  <c:v>1469</c:v>
                </c:pt>
                <c:pt idx="5">
                  <c:v>1652</c:v>
                </c:pt>
              </c:numCache>
            </c:numRef>
          </c:val>
          <c:extLst xmlns:c16r2="http://schemas.microsoft.com/office/drawing/2015/06/chart">
            <c:ext xmlns:c16="http://schemas.microsoft.com/office/drawing/2014/chart" uri="{C3380CC4-5D6E-409C-BE32-E72D297353CC}">
              <c16:uniqueId val="{00000002-DAFC-49DC-BDF0-1226EF40D192}"/>
            </c:ext>
          </c:extLst>
        </c:ser>
        <c:ser>
          <c:idx val="3"/>
          <c:order val="3"/>
          <c:tx>
            <c:strRef>
              <c:f>Лист6!$A$5</c:f>
              <c:strCache>
                <c:ptCount val="1"/>
                <c:pt idx="0">
                  <c:v>возврат остатков</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Лист6!$B$5:$G$5</c:f>
            </c:numRef>
          </c:val>
          <c:extLst xmlns:c16r2="http://schemas.microsoft.com/office/drawing/2015/06/chart">
            <c:ext xmlns:c16="http://schemas.microsoft.com/office/drawing/2014/chart" uri="{C3380CC4-5D6E-409C-BE32-E72D297353CC}">
              <c16:uniqueId val="{00000003-DAFC-49DC-BDF0-1226EF40D192}"/>
            </c:ext>
          </c:extLst>
        </c:ser>
        <c:ser>
          <c:idx val="4"/>
          <c:order val="4"/>
          <c:tx>
            <c:strRef>
              <c:f>Лист6!$A$6</c:f>
              <c:strCache>
                <c:ptCount val="1"/>
                <c:pt idx="0">
                  <c:v>Возмещене потерь с/х пр-ва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Лист6!$B$6:$G$6</c:f>
            </c:numRef>
          </c:val>
          <c:extLst xmlns:c16r2="http://schemas.microsoft.com/office/drawing/2015/06/chart">
            <c:ext xmlns:c16="http://schemas.microsoft.com/office/drawing/2014/chart" uri="{C3380CC4-5D6E-409C-BE32-E72D297353CC}">
              <c16:uniqueId val="{00000004-DAFC-49DC-BDF0-1226EF40D192}"/>
            </c:ext>
          </c:extLst>
        </c:ser>
        <c:ser>
          <c:idx val="5"/>
          <c:order val="5"/>
          <c:tx>
            <c:strRef>
              <c:f>Лист6!$A$7</c:f>
              <c:strCache>
                <c:ptCount val="1"/>
                <c:pt idx="0">
                  <c:v>Доходы от продажи земли</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Лист6!$B$7:$G$7</c:f>
              <c:numCache>
                <c:formatCode>General</c:formatCode>
                <c:ptCount val="6"/>
                <c:pt idx="0">
                  <c:v>436</c:v>
                </c:pt>
                <c:pt idx="1">
                  <c:v>663</c:v>
                </c:pt>
                <c:pt idx="2">
                  <c:v>340</c:v>
                </c:pt>
                <c:pt idx="3">
                  <c:v>944</c:v>
                </c:pt>
                <c:pt idx="4">
                  <c:v>3569</c:v>
                </c:pt>
                <c:pt idx="5">
                  <c:v>2784</c:v>
                </c:pt>
              </c:numCache>
            </c:numRef>
          </c:val>
          <c:extLst xmlns:c16r2="http://schemas.microsoft.com/office/drawing/2015/06/chart">
            <c:ext xmlns:c16="http://schemas.microsoft.com/office/drawing/2014/chart" uri="{C3380CC4-5D6E-409C-BE32-E72D297353CC}">
              <c16:uniqueId val="{00000005-DAFC-49DC-BDF0-1226EF40D192}"/>
            </c:ext>
          </c:extLst>
        </c:ser>
        <c:ser>
          <c:idx val="6"/>
          <c:order val="6"/>
          <c:tx>
            <c:strRef>
              <c:f>Лист6!$A$8</c:f>
              <c:strCache>
                <c:ptCount val="1"/>
                <c:pt idx="0">
                  <c:v>компенсация затрат</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Лист6!$B$8:$G$8</c:f>
              <c:numCache>
                <c:formatCode>General</c:formatCode>
                <c:ptCount val="6"/>
                <c:pt idx="0">
                  <c:v>95</c:v>
                </c:pt>
                <c:pt idx="1">
                  <c:v>499</c:v>
                </c:pt>
                <c:pt idx="2">
                  <c:v>1593</c:v>
                </c:pt>
                <c:pt idx="3">
                  <c:v>477</c:v>
                </c:pt>
                <c:pt idx="4">
                  <c:v>580</c:v>
                </c:pt>
                <c:pt idx="5">
                  <c:v>996</c:v>
                </c:pt>
              </c:numCache>
            </c:numRef>
          </c:val>
          <c:extLst xmlns:c16r2="http://schemas.microsoft.com/office/drawing/2015/06/chart">
            <c:ext xmlns:c16="http://schemas.microsoft.com/office/drawing/2014/chart" uri="{C3380CC4-5D6E-409C-BE32-E72D297353CC}">
              <c16:uniqueId val="{00000006-DAFC-49DC-BDF0-1226EF40D192}"/>
            </c:ext>
          </c:extLst>
        </c:ser>
        <c:ser>
          <c:idx val="7"/>
          <c:order val="7"/>
          <c:tx>
            <c:strRef>
              <c:f>Лист6!$A$9</c:f>
              <c:strCache>
                <c:ptCount val="1"/>
                <c:pt idx="0">
                  <c:v>невыясненные</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Лист6!$B$9:$G$9</c:f>
              <c:numCache>
                <c:formatCode>General</c:formatCode>
                <c:ptCount val="6"/>
                <c:pt idx="0">
                  <c:v>-142</c:v>
                </c:pt>
                <c:pt idx="1">
                  <c:v>-81</c:v>
                </c:pt>
                <c:pt idx="2">
                  <c:v>-92</c:v>
                </c:pt>
                <c:pt idx="3">
                  <c:v>-52</c:v>
                </c:pt>
                <c:pt idx="4">
                  <c:v>3</c:v>
                </c:pt>
                <c:pt idx="5">
                  <c:v>-7</c:v>
                </c:pt>
              </c:numCache>
            </c:numRef>
          </c:val>
          <c:extLst xmlns:c16r2="http://schemas.microsoft.com/office/drawing/2015/06/chart">
            <c:ext xmlns:c16="http://schemas.microsoft.com/office/drawing/2014/chart" uri="{C3380CC4-5D6E-409C-BE32-E72D297353CC}">
              <c16:uniqueId val="{00000007-DAFC-49DC-BDF0-1226EF40D192}"/>
            </c:ext>
          </c:extLst>
        </c:ser>
        <c:ser>
          <c:idx val="8"/>
          <c:order val="8"/>
          <c:tx>
            <c:strRef>
              <c:f>Лист6!$A$10</c:f>
              <c:strCache>
                <c:ptCount val="1"/>
                <c:pt idx="0">
                  <c:v>Плата за негативное воздействие</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Лист6!$B$10:$G$10</c:f>
              <c:numCache>
                <c:formatCode>General</c:formatCode>
                <c:ptCount val="6"/>
                <c:pt idx="0">
                  <c:v>781</c:v>
                </c:pt>
                <c:pt idx="1">
                  <c:v>573</c:v>
                </c:pt>
                <c:pt idx="2">
                  <c:v>949</c:v>
                </c:pt>
                <c:pt idx="3">
                  <c:v>798</c:v>
                </c:pt>
                <c:pt idx="4">
                  <c:v>547</c:v>
                </c:pt>
                <c:pt idx="5">
                  <c:v>954</c:v>
                </c:pt>
              </c:numCache>
            </c:numRef>
          </c:val>
          <c:extLst xmlns:c16r2="http://schemas.microsoft.com/office/drawing/2015/06/chart">
            <c:ext xmlns:c16="http://schemas.microsoft.com/office/drawing/2014/chart" uri="{C3380CC4-5D6E-409C-BE32-E72D297353CC}">
              <c16:uniqueId val="{00000008-DAFC-49DC-BDF0-1226EF40D192}"/>
            </c:ext>
          </c:extLst>
        </c:ser>
        <c:ser>
          <c:idx val="9"/>
          <c:order val="9"/>
          <c:tx>
            <c:strRef>
              <c:f>Лист6!$A$11</c:f>
              <c:strCache>
                <c:ptCount val="1"/>
                <c:pt idx="0">
                  <c:v>Продажа имущества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Лист6!$B$11:$G$11</c:f>
              <c:numCache>
                <c:formatCode>General</c:formatCode>
                <c:ptCount val="6"/>
                <c:pt idx="0">
                  <c:v>122</c:v>
                </c:pt>
                <c:pt idx="1">
                  <c:v>202</c:v>
                </c:pt>
                <c:pt idx="2">
                  <c:v>456</c:v>
                </c:pt>
                <c:pt idx="3">
                  <c:v>18506</c:v>
                </c:pt>
                <c:pt idx="4">
                  <c:v>1468</c:v>
                </c:pt>
                <c:pt idx="5">
                  <c:v>204</c:v>
                </c:pt>
              </c:numCache>
            </c:numRef>
          </c:val>
          <c:extLst xmlns:c16r2="http://schemas.microsoft.com/office/drawing/2015/06/chart">
            <c:ext xmlns:c16="http://schemas.microsoft.com/office/drawing/2014/chart" uri="{C3380CC4-5D6E-409C-BE32-E72D297353CC}">
              <c16:uniqueId val="{00000009-DAFC-49DC-BDF0-1226EF40D192}"/>
            </c:ext>
          </c:extLst>
        </c:ser>
        <c:ser>
          <c:idx val="10"/>
          <c:order val="10"/>
          <c:tx>
            <c:strRef>
              <c:f>Лист6!$A$12</c:f>
              <c:strCache>
                <c:ptCount val="1"/>
                <c:pt idx="0">
                  <c:v>Прочие неналоговые доходы</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Лист6!$B$12:$G$12</c:f>
              <c:numCache>
                <c:formatCode>General</c:formatCode>
                <c:ptCount val="6"/>
                <c:pt idx="0">
                  <c:v>3</c:v>
                </c:pt>
                <c:pt idx="1">
                  <c:v>1325</c:v>
                </c:pt>
                <c:pt idx="2">
                  <c:v>52</c:v>
                </c:pt>
                <c:pt idx="3">
                  <c:v>62</c:v>
                </c:pt>
                <c:pt idx="4">
                  <c:v>49</c:v>
                </c:pt>
                <c:pt idx="5">
                  <c:v>23</c:v>
                </c:pt>
              </c:numCache>
            </c:numRef>
          </c:val>
          <c:extLst xmlns:c16r2="http://schemas.microsoft.com/office/drawing/2015/06/chart">
            <c:ext xmlns:c16="http://schemas.microsoft.com/office/drawing/2014/chart" uri="{C3380CC4-5D6E-409C-BE32-E72D297353CC}">
              <c16:uniqueId val="{0000000A-DAFC-49DC-BDF0-1226EF40D192}"/>
            </c:ext>
          </c:extLst>
        </c:ser>
        <c:ser>
          <c:idx val="11"/>
          <c:order val="11"/>
          <c:tx>
            <c:strRef>
              <c:f>Лист6!$A$13</c:f>
              <c:strCache>
                <c:ptCount val="1"/>
                <c:pt idx="0">
                  <c:v>средства самообложения</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Лист6!$B$13:$G$13</c:f>
              <c:numCache>
                <c:formatCode>General</c:formatCode>
                <c:ptCount val="6"/>
                <c:pt idx="2">
                  <c:v>143</c:v>
                </c:pt>
                <c:pt idx="3">
                  <c:v>789</c:v>
                </c:pt>
                <c:pt idx="4">
                  <c:v>191</c:v>
                </c:pt>
                <c:pt idx="5">
                  <c:v>350</c:v>
                </c:pt>
              </c:numCache>
            </c:numRef>
          </c:val>
          <c:extLst xmlns:c16r2="http://schemas.microsoft.com/office/drawing/2015/06/chart">
            <c:ext xmlns:c16="http://schemas.microsoft.com/office/drawing/2014/chart" uri="{C3380CC4-5D6E-409C-BE32-E72D297353CC}">
              <c16:uniqueId val="{0000000B-DAFC-49DC-BDF0-1226EF40D192}"/>
            </c:ext>
          </c:extLst>
        </c:ser>
        <c:ser>
          <c:idx val="12"/>
          <c:order val="12"/>
          <c:tx>
            <c:strRef>
              <c:f>Лист6!$A$14</c:f>
              <c:strCache>
                <c:ptCount val="1"/>
                <c:pt idx="0">
                  <c:v>Часть прибыли МУП</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Лист6!$B$14:$G$14</c:f>
              <c:numCache>
                <c:formatCode>General</c:formatCode>
                <c:ptCount val="6"/>
                <c:pt idx="2">
                  <c:v>1</c:v>
                </c:pt>
                <c:pt idx="3">
                  <c:v>42</c:v>
                </c:pt>
              </c:numCache>
            </c:numRef>
          </c:val>
          <c:extLst xmlns:c16r2="http://schemas.microsoft.com/office/drawing/2015/06/chart">
            <c:ext xmlns:c16="http://schemas.microsoft.com/office/drawing/2014/chart" uri="{C3380CC4-5D6E-409C-BE32-E72D297353CC}">
              <c16:uniqueId val="{0000000C-DAFC-49DC-BDF0-1226EF40D192}"/>
            </c:ext>
          </c:extLst>
        </c:ser>
        <c:ser>
          <c:idx val="13"/>
          <c:order val="13"/>
          <c:tx>
            <c:strRef>
              <c:f>Лист6!$A$15</c:f>
              <c:strCache>
                <c:ptCount val="1"/>
                <c:pt idx="0">
                  <c:v>штрафы</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Лист6!$B$15:$G$15</c:f>
              <c:numCache>
                <c:formatCode>General</c:formatCode>
                <c:ptCount val="6"/>
                <c:pt idx="0">
                  <c:v>2111</c:v>
                </c:pt>
                <c:pt idx="1">
                  <c:v>1375</c:v>
                </c:pt>
                <c:pt idx="2">
                  <c:v>1714</c:v>
                </c:pt>
                <c:pt idx="3">
                  <c:v>2116</c:v>
                </c:pt>
                <c:pt idx="4">
                  <c:v>1496</c:v>
                </c:pt>
                <c:pt idx="5">
                  <c:v>1973</c:v>
                </c:pt>
              </c:numCache>
            </c:numRef>
          </c:val>
          <c:extLst xmlns:c16r2="http://schemas.microsoft.com/office/drawing/2015/06/chart">
            <c:ext xmlns:c16="http://schemas.microsoft.com/office/drawing/2014/chart" uri="{C3380CC4-5D6E-409C-BE32-E72D297353CC}">
              <c16:uniqueId val="{0000000D-DAFC-49DC-BDF0-1226EF40D192}"/>
            </c:ext>
          </c:extLst>
        </c:ser>
        <c:shape val="box"/>
        <c:axId val="178582272"/>
        <c:axId val="178583808"/>
        <c:axId val="0"/>
      </c:bar3DChart>
      <c:catAx>
        <c:axId val="178582272"/>
        <c:scaling>
          <c:orientation val="minMax"/>
        </c:scaling>
        <c:axPos val="b"/>
        <c:numFmt formatCode="General" sourceLinked="0"/>
        <c:tickLblPos val="nextTo"/>
        <c:crossAx val="178583808"/>
        <c:crosses val="autoZero"/>
        <c:auto val="1"/>
        <c:lblAlgn val="ctr"/>
        <c:lblOffset val="100"/>
      </c:catAx>
      <c:valAx>
        <c:axId val="178583808"/>
        <c:scaling>
          <c:orientation val="minMax"/>
        </c:scaling>
        <c:axPos val="l"/>
        <c:majorGridlines>
          <c:spPr>
            <a:ln w="0">
              <a:solidFill>
                <a:schemeClr val="bg1"/>
              </a:solidFill>
            </a:ln>
          </c:spPr>
        </c:majorGridlines>
        <c:numFmt formatCode="General" sourceLinked="1"/>
        <c:tickLblPos val="nextTo"/>
        <c:crossAx val="178582272"/>
        <c:crosses val="autoZero"/>
        <c:crossBetween val="between"/>
      </c:valAx>
    </c:plotArea>
    <c:legend>
      <c:legendPos val="b"/>
      <c:layout>
        <c:manualLayout>
          <c:xMode val="edge"/>
          <c:yMode val="edge"/>
          <c:x val="1.8959181840686581E-2"/>
          <c:y val="0.69702348045348894"/>
          <c:w val="0.95525187101081765"/>
          <c:h val="0.28053311624298605"/>
        </c:manualLayout>
      </c:layout>
    </c:legend>
    <c:plotVisOnly val="1"/>
    <c:dispBlanksAs val="gap"/>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Лист1!$A$34</c:f>
              <c:strCache>
                <c:ptCount val="1"/>
                <c:pt idx="0">
                  <c:v>дотации</c:v>
                </c:pt>
              </c:strCache>
            </c:strRef>
          </c:tx>
          <c:spPr>
            <a:solidFill>
              <a:schemeClr val="accent1"/>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Лист1!$B$34:$G$34</c:f>
              <c:numCache>
                <c:formatCode>0.00%</c:formatCode>
                <c:ptCount val="6"/>
                <c:pt idx="0">
                  <c:v>0.38700000000000456</c:v>
                </c:pt>
                <c:pt idx="1">
                  <c:v>0.30200000000000032</c:v>
                </c:pt>
                <c:pt idx="2">
                  <c:v>0.31100000000000338</c:v>
                </c:pt>
                <c:pt idx="3">
                  <c:v>0.35000000000000031</c:v>
                </c:pt>
                <c:pt idx="4">
                  <c:v>0.31100000000000338</c:v>
                </c:pt>
                <c:pt idx="5">
                  <c:v>0.31000000000000238</c:v>
                </c:pt>
              </c:numCache>
            </c:numRef>
          </c:val>
          <c:extLst xmlns:c16r2="http://schemas.microsoft.com/office/drawing/2015/06/chart">
            <c:ext xmlns:c16="http://schemas.microsoft.com/office/drawing/2014/chart" uri="{C3380CC4-5D6E-409C-BE32-E72D297353CC}">
              <c16:uniqueId val="{00000000-12A9-4738-AF19-35B6383AAA0A}"/>
            </c:ext>
          </c:extLst>
        </c:ser>
        <c:ser>
          <c:idx val="1"/>
          <c:order val="1"/>
          <c:tx>
            <c:strRef>
              <c:f>Лист1!$A$35</c:f>
              <c:strCache>
                <c:ptCount val="1"/>
                <c:pt idx="0">
                  <c:v>субвенции</c:v>
                </c:pt>
              </c:strCache>
            </c:strRef>
          </c:tx>
          <c:spPr>
            <a:solidFill>
              <a:schemeClr val="accent2"/>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Лист1!$B$35:$G$35</c:f>
              <c:numCache>
                <c:formatCode>0.00%</c:formatCode>
                <c:ptCount val="6"/>
                <c:pt idx="0">
                  <c:v>0.47800000000000031</c:v>
                </c:pt>
                <c:pt idx="1">
                  <c:v>0.47400000000000031</c:v>
                </c:pt>
                <c:pt idx="2">
                  <c:v>0.54700000000000004</c:v>
                </c:pt>
                <c:pt idx="3">
                  <c:v>0.56499999999999995</c:v>
                </c:pt>
                <c:pt idx="4">
                  <c:v>0.60400000000000065</c:v>
                </c:pt>
                <c:pt idx="5">
                  <c:v>0.62500000000000822</c:v>
                </c:pt>
              </c:numCache>
            </c:numRef>
          </c:val>
          <c:extLst xmlns:c16r2="http://schemas.microsoft.com/office/drawing/2015/06/chart">
            <c:ext xmlns:c16="http://schemas.microsoft.com/office/drawing/2014/chart" uri="{C3380CC4-5D6E-409C-BE32-E72D297353CC}">
              <c16:uniqueId val="{00000001-12A9-4738-AF19-35B6383AAA0A}"/>
            </c:ext>
          </c:extLst>
        </c:ser>
        <c:ser>
          <c:idx val="2"/>
          <c:order val="2"/>
          <c:tx>
            <c:strRef>
              <c:f>Лист1!$A$36</c:f>
              <c:strCache>
                <c:ptCount val="1"/>
                <c:pt idx="0">
                  <c:v>субсидии</c:v>
                </c:pt>
              </c:strCache>
            </c:strRef>
          </c:tx>
          <c:spPr>
            <a:solidFill>
              <a:schemeClr val="accent3"/>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Лист1!$B$36:$G$36</c:f>
              <c:numCache>
                <c:formatCode>0.00%</c:formatCode>
                <c:ptCount val="6"/>
                <c:pt idx="0">
                  <c:v>7.8000000000000014E-2</c:v>
                </c:pt>
                <c:pt idx="1">
                  <c:v>0.16700000000000001</c:v>
                </c:pt>
                <c:pt idx="2">
                  <c:v>5.7000000000000023E-2</c:v>
                </c:pt>
                <c:pt idx="3">
                  <c:v>7.9000000000000514E-2</c:v>
                </c:pt>
                <c:pt idx="4">
                  <c:v>8.6000000000000021E-2</c:v>
                </c:pt>
                <c:pt idx="5">
                  <c:v>6.8000000000000019E-2</c:v>
                </c:pt>
              </c:numCache>
            </c:numRef>
          </c:val>
          <c:extLst xmlns:c16r2="http://schemas.microsoft.com/office/drawing/2015/06/chart">
            <c:ext xmlns:c16="http://schemas.microsoft.com/office/drawing/2014/chart" uri="{C3380CC4-5D6E-409C-BE32-E72D297353CC}">
              <c16:uniqueId val="{00000002-12A9-4738-AF19-35B6383AAA0A}"/>
            </c:ext>
          </c:extLst>
        </c:ser>
        <c:ser>
          <c:idx val="3"/>
          <c:order val="3"/>
          <c:tx>
            <c:strRef>
              <c:f>Лист1!$A$37</c:f>
              <c:strCache>
                <c:ptCount val="1"/>
                <c:pt idx="0">
                  <c:v>доходы от возврата</c:v>
                </c:pt>
              </c:strCache>
            </c:strRef>
          </c:tx>
          <c:spPr>
            <a:solidFill>
              <a:schemeClr val="accent4"/>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Лист1!$B$37:$G$37</c:f>
              <c:numCache>
                <c:formatCode>General</c:formatCode>
                <c:ptCount val="6"/>
                <c:pt idx="0">
                  <c:v>0</c:v>
                </c:pt>
                <c:pt idx="1">
                  <c:v>0</c:v>
                </c:pt>
                <c:pt idx="2" formatCode="0.00%">
                  <c:v>3.0000000000000092E-3</c:v>
                </c:pt>
                <c:pt idx="3" formatCode="0.00%">
                  <c:v>1.2E-2</c:v>
                </c:pt>
                <c:pt idx="4">
                  <c:v>0</c:v>
                </c:pt>
                <c:pt idx="5">
                  <c:v>0</c:v>
                </c:pt>
              </c:numCache>
            </c:numRef>
          </c:val>
          <c:extLst xmlns:c16r2="http://schemas.microsoft.com/office/drawing/2015/06/chart">
            <c:ext xmlns:c16="http://schemas.microsoft.com/office/drawing/2014/chart" uri="{C3380CC4-5D6E-409C-BE32-E72D297353CC}">
              <c16:uniqueId val="{00000003-12A9-4738-AF19-35B6383AAA0A}"/>
            </c:ext>
          </c:extLst>
        </c:ser>
        <c:ser>
          <c:idx val="4"/>
          <c:order val="4"/>
          <c:tx>
            <c:strRef>
              <c:f>Лист1!$A$38</c:f>
              <c:strCache>
                <c:ptCount val="1"/>
                <c:pt idx="0">
                  <c:v>прочие трансферты</c:v>
                </c:pt>
              </c:strCache>
            </c:strRef>
          </c:tx>
          <c:spPr>
            <a:solidFill>
              <a:schemeClr val="accent5"/>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Лист1!$B$38:$G$38</c:f>
              <c:numCache>
                <c:formatCode>0.00%</c:formatCode>
                <c:ptCount val="6"/>
                <c:pt idx="0">
                  <c:v>7.0999999999999994E-2</c:v>
                </c:pt>
                <c:pt idx="1">
                  <c:v>6.2000000000000034E-2</c:v>
                </c:pt>
                <c:pt idx="2">
                  <c:v>0.10500000000000002</c:v>
                </c:pt>
                <c:pt idx="3">
                  <c:v>1.0000000000000005E-2</c:v>
                </c:pt>
                <c:pt idx="4">
                  <c:v>2.0000000000000052E-3</c:v>
                </c:pt>
                <c:pt idx="5">
                  <c:v>1.0000000000000041E-3</c:v>
                </c:pt>
              </c:numCache>
            </c:numRef>
          </c:val>
          <c:extLst xmlns:c16r2="http://schemas.microsoft.com/office/drawing/2015/06/chart">
            <c:ext xmlns:c16="http://schemas.microsoft.com/office/drawing/2014/chart" uri="{C3380CC4-5D6E-409C-BE32-E72D297353CC}">
              <c16:uniqueId val="{00000004-12A9-4738-AF19-35B6383AAA0A}"/>
            </c:ext>
          </c:extLst>
        </c:ser>
        <c:ser>
          <c:idx val="5"/>
          <c:order val="5"/>
          <c:tx>
            <c:strRef>
              <c:f>Лист1!$A$39</c:f>
              <c:strCache>
                <c:ptCount val="1"/>
                <c:pt idx="0">
                  <c:v>возврат остатков</c:v>
                </c:pt>
              </c:strCache>
            </c:strRef>
          </c:tx>
          <c:spPr>
            <a:solidFill>
              <a:schemeClr val="accent6"/>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Лист1!$B$39:$G$39</c:f>
              <c:numCache>
                <c:formatCode>0.00%</c:formatCode>
                <c:ptCount val="6"/>
                <c:pt idx="0">
                  <c:v>-1.4E-2</c:v>
                </c:pt>
                <c:pt idx="1">
                  <c:v>-5.0000000000000114E-3</c:v>
                </c:pt>
                <c:pt idx="2">
                  <c:v>-2.1999999999999999E-2</c:v>
                </c:pt>
                <c:pt idx="3">
                  <c:v>-1.6000000000000021E-2</c:v>
                </c:pt>
                <c:pt idx="4">
                  <c:v>-3.0000000000000092E-3</c:v>
                </c:pt>
                <c:pt idx="5">
                  <c:v>-4.0000000000000114E-3</c:v>
                </c:pt>
              </c:numCache>
            </c:numRef>
          </c:val>
          <c:extLst xmlns:c16r2="http://schemas.microsoft.com/office/drawing/2015/06/chart">
            <c:ext xmlns:c16="http://schemas.microsoft.com/office/drawing/2014/chart" uri="{C3380CC4-5D6E-409C-BE32-E72D297353CC}">
              <c16:uniqueId val="{00000005-12A9-4738-AF19-35B6383AAA0A}"/>
            </c:ext>
          </c:extLst>
        </c:ser>
        <c:shape val="box"/>
        <c:axId val="181279744"/>
        <c:axId val="181289728"/>
        <c:axId val="0"/>
      </c:bar3DChart>
      <c:catAx>
        <c:axId val="1812797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289728"/>
        <c:crosses val="autoZero"/>
        <c:auto val="1"/>
        <c:lblAlgn val="ctr"/>
        <c:lblOffset val="100"/>
      </c:catAx>
      <c:valAx>
        <c:axId val="18128972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279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[БюджетБарда.xlsx]Лист1!$A$19</c:f>
              <c:strCache>
                <c:ptCount val="1"/>
                <c:pt idx="0">
                  <c:v>Жилищно-коммунальное хозяйство</c:v>
                </c:pt>
              </c:strCache>
            </c:strRef>
          </c:tx>
          <c:dLbls>
            <c:dLbl>
              <c:idx val="3"/>
              <c:layout>
                <c:manualLayout>
                  <c:x val="0"/>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E6-4D68-ACED-AE7C721D4F4F}"/>
                </c:ext>
              </c:extLst>
            </c:dLbl>
            <c:dLbl>
              <c:idx val="4"/>
              <c:layout>
                <c:manualLayout>
                  <c:x val="1.7361111111111381E-3"/>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E6-4D68-ACED-AE7C721D4F4F}"/>
                </c:ext>
              </c:extLst>
            </c:dLbl>
            <c:dLbl>
              <c:idx val="5"/>
              <c:layout>
                <c:manualLayout>
                  <c:x val="-3.4722222222222242E-3"/>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[БюджетБарда.xlsx]Лист1!$C$19,[БюджетБарда.xlsx]Лист1!$E$19,[БюджетБарда.xlsx]Лист1!$G$19,[БюджетБарда.xlsx]Лист1!$I$19,[БюджетБарда.xlsx]Лист1!$K$19,[БюджетБарда.xlsx]Лист1!$M$19</c:f>
              <c:numCache>
                <c:formatCode>0.0%</c:formatCode>
                <c:ptCount val="6"/>
                <c:pt idx="0">
                  <c:v>2.1669661913959051E-2</c:v>
                </c:pt>
                <c:pt idx="1">
                  <c:v>5.0805280173615713E-2</c:v>
                </c:pt>
                <c:pt idx="2">
                  <c:v>4.1343981433114074E-2</c:v>
                </c:pt>
                <c:pt idx="3">
                  <c:v>5.0928262575591965E-2</c:v>
                </c:pt>
                <c:pt idx="4">
                  <c:v>3.3864386827149172E-2</c:v>
                </c:pt>
                <c:pt idx="5">
                  <c:v>2.1803258986526238E-2</c:v>
                </c:pt>
              </c:numCache>
            </c:numRef>
          </c:val>
          <c:extLst xmlns:c16r2="http://schemas.microsoft.com/office/drawing/2015/06/chart">
            <c:ext xmlns:c16="http://schemas.microsoft.com/office/drawing/2014/chart" uri="{C3380CC4-5D6E-409C-BE32-E72D297353CC}">
              <c16:uniqueId val="{00000003-DBE6-4D68-ACED-AE7C721D4F4F}"/>
            </c:ext>
          </c:extLst>
        </c:ser>
        <c:ser>
          <c:idx val="1"/>
          <c:order val="1"/>
          <c:tx>
            <c:strRef>
              <c:f>[БюджетБарда.xlsx]Лист1!$A$20</c:f>
              <c:strCache>
                <c:ptCount val="1"/>
                <c:pt idx="0">
                  <c:v>Здравоохранение</c:v>
                </c:pt>
              </c:strCache>
            </c:strRef>
          </c:tx>
          <c:dLbls>
            <c:dLbl>
              <c:idx val="3"/>
              <c:layout>
                <c:manualLayout>
                  <c:x val="0"/>
                  <c:y val="1.19402985074629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E6-4D68-ACED-AE7C721D4F4F}"/>
                </c:ext>
              </c:extLst>
            </c:dLbl>
            <c:dLbl>
              <c:idx val="4"/>
              <c:layout>
                <c:manualLayout>
                  <c:x val="3.4722222222222242E-3"/>
                  <c:y val="5.970149253731468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E6-4D68-ACED-AE7C721D4F4F}"/>
                </c:ext>
              </c:extLst>
            </c:dLbl>
            <c:dLbl>
              <c:idx val="5"/>
              <c:layout>
                <c:manualLayout>
                  <c:x val="5.2083333333334562E-3"/>
                  <c:y val="7.96019900497521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[БюджетБарда.xlsx]Лист1!$C$20,[БюджетБарда.xlsx]Лист1!$E$20,[БюджетБарда.xlsx]Лист1!$G$20,[БюджетБарда.xlsx]Лист1!$I$20,[БюджетБарда.xlsx]Лист1!$K$20,[БюджетБарда.xlsx]Лист1!$M$20</c:f>
              <c:numCache>
                <c:formatCode>0.0%</c:formatCode>
                <c:ptCount val="6"/>
                <c:pt idx="0">
                  <c:v>4.3656082216541804E-2</c:v>
                </c:pt>
                <c:pt idx="1">
                  <c:v>4.1561768310610495E-2</c:v>
                </c:pt>
                <c:pt idx="2">
                  <c:v>2.8239245184274835E-2</c:v>
                </c:pt>
                <c:pt idx="3">
                  <c:v>9.7583619287960137E-5</c:v>
                </c:pt>
                <c:pt idx="4">
                  <c:v>0</c:v>
                </c:pt>
                <c:pt idx="5">
                  <c:v>0</c:v>
                </c:pt>
              </c:numCache>
            </c:numRef>
          </c:val>
          <c:extLst xmlns:c16r2="http://schemas.microsoft.com/office/drawing/2015/06/chart">
            <c:ext xmlns:c16="http://schemas.microsoft.com/office/drawing/2014/chart" uri="{C3380CC4-5D6E-409C-BE32-E72D297353CC}">
              <c16:uniqueId val="{00000007-DBE6-4D68-ACED-AE7C721D4F4F}"/>
            </c:ext>
          </c:extLst>
        </c:ser>
        <c:ser>
          <c:idx val="2"/>
          <c:order val="2"/>
          <c:tx>
            <c:strRef>
              <c:f>[БюджетБарда.xlsx]Лист1!$A$21</c:f>
              <c:strCache>
                <c:ptCount val="1"/>
                <c:pt idx="0">
                  <c:v>Культура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[БюджетБарда.xlsx]Лист1!$C$21,[БюджетБарда.xlsx]Лист1!$E$21,[БюджетБарда.xlsx]Лист1!$G$21,[БюджетБарда.xlsx]Лист1!$I$21,[БюджетБарда.xlsx]Лист1!$K$21,[БюджетБарда.xlsx]Лист1!$M$21</c:f>
              <c:numCache>
                <c:formatCode>0.0%</c:formatCode>
                <c:ptCount val="6"/>
                <c:pt idx="0">
                  <c:v>1.2998600797329764E-2</c:v>
                </c:pt>
                <c:pt idx="1">
                  <c:v>2.2476601174830992E-2</c:v>
                </c:pt>
                <c:pt idx="2">
                  <c:v>2.1350415437776552E-2</c:v>
                </c:pt>
                <c:pt idx="3">
                  <c:v>2.3452767476572652E-2</c:v>
                </c:pt>
                <c:pt idx="4">
                  <c:v>2.470891526756765E-2</c:v>
                </c:pt>
                <c:pt idx="5">
                  <c:v>2.3982524026629586E-2</c:v>
                </c:pt>
              </c:numCache>
            </c:numRef>
          </c:val>
          <c:extLst xmlns:c16r2="http://schemas.microsoft.com/office/drawing/2015/06/chart">
            <c:ext xmlns:c16="http://schemas.microsoft.com/office/drawing/2014/chart" uri="{C3380CC4-5D6E-409C-BE32-E72D297353CC}">
              <c16:uniqueId val="{00000008-DBE6-4D68-ACED-AE7C721D4F4F}"/>
            </c:ext>
          </c:extLst>
        </c:ser>
        <c:ser>
          <c:idx val="3"/>
          <c:order val="3"/>
          <c:tx>
            <c:strRef>
              <c:f>[БюджетБарда.xlsx]Лист1!$A$22</c:f>
              <c:strCache>
                <c:ptCount val="1"/>
                <c:pt idx="0">
                  <c:v>Межбюдж. трансф</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[БюджетБарда.xlsx]Лист1!$C$22,[БюджетБарда.xlsx]Лист1!$E$22,[БюджетБарда.xlsx]Лист1!$G$22,[БюджетБарда.xlsx]Лист1!$I$22,[БюджетБарда.xlsx]Лист1!$K$22,[БюджетБарда.xlsx]Лист1!$M$22</c:f>
              <c:numCache>
                <c:formatCode>0.0%</c:formatCode>
                <c:ptCount val="6"/>
                <c:pt idx="0">
                  <c:v>8.6412071978629212E-2</c:v>
                </c:pt>
                <c:pt idx="1">
                  <c:v>9.267428400727569E-2</c:v>
                </c:pt>
                <c:pt idx="2">
                  <c:v>0.1099195117564386</c:v>
                </c:pt>
                <c:pt idx="3">
                  <c:v>8.6030282979673064E-2</c:v>
                </c:pt>
                <c:pt idx="4">
                  <c:v>8.0279182066799792E-2</c:v>
                </c:pt>
                <c:pt idx="5">
                  <c:v>7.6216437814289842E-2</c:v>
                </c:pt>
              </c:numCache>
            </c:numRef>
          </c:val>
          <c:extLst xmlns:c16r2="http://schemas.microsoft.com/office/drawing/2015/06/chart">
            <c:ext xmlns:c16="http://schemas.microsoft.com/office/drawing/2014/chart" uri="{C3380CC4-5D6E-409C-BE32-E72D297353CC}">
              <c16:uniqueId val="{00000009-DBE6-4D68-ACED-AE7C721D4F4F}"/>
            </c:ext>
          </c:extLst>
        </c:ser>
        <c:ser>
          <c:idx val="4"/>
          <c:order val="4"/>
          <c:tx>
            <c:strRef>
              <c:f>[БюджетБарда.xlsx]Лист1!$A$23</c:f>
              <c:strCache>
                <c:ptCount val="1"/>
                <c:pt idx="0">
                  <c:v>Национальная экономика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[БюджетБарда.xlsx]Лист1!$C$23,[БюджетБарда.xlsx]Лист1!$E$23,[БюджетБарда.xlsx]Лист1!$G$23,[БюджетБарда.xlsx]Лист1!$I$23,[БюджетБарда.xlsx]Лист1!$K$23,[БюджетБарда.xlsx]Лист1!$M$23</c:f>
              <c:numCache>
                <c:formatCode>0.0%</c:formatCode>
                <c:ptCount val="6"/>
                <c:pt idx="0">
                  <c:v>6.3982477603567803E-2</c:v>
                </c:pt>
                <c:pt idx="1">
                  <c:v>7.2374087765184669E-2</c:v>
                </c:pt>
                <c:pt idx="2">
                  <c:v>7.9658664396063714E-2</c:v>
                </c:pt>
                <c:pt idx="3">
                  <c:v>7.8023296967085723E-2</c:v>
                </c:pt>
                <c:pt idx="4">
                  <c:v>8.5217081949393633E-2</c:v>
                </c:pt>
                <c:pt idx="5">
                  <c:v>7.7306360980519184E-2</c:v>
                </c:pt>
              </c:numCache>
            </c:numRef>
          </c:val>
          <c:extLst xmlns:c16r2="http://schemas.microsoft.com/office/drawing/2015/06/chart">
            <c:ext xmlns:c16="http://schemas.microsoft.com/office/drawing/2014/chart" uri="{C3380CC4-5D6E-409C-BE32-E72D297353CC}">
              <c16:uniqueId val="{0000000A-DBE6-4D68-ACED-AE7C721D4F4F}"/>
            </c:ext>
          </c:extLst>
        </c:ser>
        <c:ser>
          <c:idx val="5"/>
          <c:order val="5"/>
          <c:tx>
            <c:strRef>
              <c:f>[БюджетБарда.xlsx]Лист1!$A$24</c:f>
              <c:strCache>
                <c:ptCount val="1"/>
                <c:pt idx="0">
                  <c:v>Образование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[БюджетБарда.xlsx]Лист1!$C$24,[БюджетБарда.xlsx]Лист1!$E$24,[БюджетБарда.xlsx]Лист1!$G$24,[БюджетБарда.xlsx]Лист1!$I$24,[БюджетБарда.xlsx]Лист1!$K$24,[БюджетБарда.xlsx]Лист1!$M$24</c:f>
              <c:numCache>
                <c:formatCode>0.0%</c:formatCode>
                <c:ptCount val="6"/>
                <c:pt idx="0">
                  <c:v>0.45824838364523068</c:v>
                </c:pt>
                <c:pt idx="1">
                  <c:v>0.42171582530855384</c:v>
                </c:pt>
                <c:pt idx="2">
                  <c:v>0.44927458394944203</c:v>
                </c:pt>
                <c:pt idx="3">
                  <c:v>0.54787008683788063</c:v>
                </c:pt>
                <c:pt idx="4">
                  <c:v>0.60354542466133165</c:v>
                </c:pt>
                <c:pt idx="5">
                  <c:v>0.6107569022291085</c:v>
                </c:pt>
              </c:numCache>
            </c:numRef>
          </c:val>
          <c:extLst xmlns:c16r2="http://schemas.microsoft.com/office/drawing/2015/06/chart">
            <c:ext xmlns:c16="http://schemas.microsoft.com/office/drawing/2014/chart" uri="{C3380CC4-5D6E-409C-BE32-E72D297353CC}">
              <c16:uniqueId val="{0000000B-DBE6-4D68-ACED-AE7C721D4F4F}"/>
            </c:ext>
          </c:extLst>
        </c:ser>
        <c:ser>
          <c:idx val="6"/>
          <c:order val="6"/>
          <c:tx>
            <c:strRef>
              <c:f>[БюджетБарда.xlsx]Лист1!$A$25</c:f>
              <c:strCache>
                <c:ptCount val="1"/>
                <c:pt idx="0">
                  <c:v>Общегосударственные вопросы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[БюджетБарда.xlsx]Лист1!$C$25,[БюджетБарда.xlsx]Лист1!$E$25,[БюджетБарда.xlsx]Лист1!$G$25,[БюджетБарда.xlsx]Лист1!$I$25,[БюджетБарда.xlsx]Лист1!$K$25,[БюджетБарда.xlsx]Лист1!$M$25</c:f>
              <c:numCache>
                <c:formatCode>0.0%</c:formatCode>
                <c:ptCount val="6"/>
                <c:pt idx="0">
                  <c:v>5.5225914096467467E-2</c:v>
                </c:pt>
                <c:pt idx="1">
                  <c:v>4.4892146188457036E-2</c:v>
                </c:pt>
                <c:pt idx="2">
                  <c:v>5.9269536752753704E-2</c:v>
                </c:pt>
                <c:pt idx="3">
                  <c:v>5.7328645216222732E-2</c:v>
                </c:pt>
                <c:pt idx="4">
                  <c:v>7.2842461697372837E-2</c:v>
                </c:pt>
                <c:pt idx="5">
                  <c:v>6.5257333039393184E-2</c:v>
                </c:pt>
              </c:numCache>
            </c:numRef>
          </c:val>
          <c:extLst xmlns:c16r2="http://schemas.microsoft.com/office/drawing/2015/06/chart">
            <c:ext xmlns:c16="http://schemas.microsoft.com/office/drawing/2014/chart" uri="{C3380CC4-5D6E-409C-BE32-E72D297353CC}">
              <c16:uniqueId val="{0000000C-DBE6-4D68-ACED-AE7C721D4F4F}"/>
            </c:ext>
          </c:extLst>
        </c:ser>
        <c:ser>
          <c:idx val="7"/>
          <c:order val="7"/>
          <c:tx>
            <c:strRef>
              <c:f>[БюджетБарда.xlsx]Лист1!$A$26</c:f>
              <c:strCache>
                <c:ptCount val="1"/>
                <c:pt idx="0">
                  <c:v>Социальная политика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[БюджетБарда.xlsx]Лист1!$C$26,[БюджетБарда.xlsx]Лист1!$E$26,[БюджетБарда.xlsx]Лист1!$G$26,[БюджетБарда.xlsx]Лист1!$I$26,[БюджетБарда.xlsx]Лист1!$K$26,[БюджетБарда.xlsx]Лист1!$M$26</c:f>
              <c:numCache>
                <c:formatCode>0.0%</c:formatCode>
                <c:ptCount val="6"/>
                <c:pt idx="0">
                  <c:v>0.17059564800823379</c:v>
                </c:pt>
                <c:pt idx="1">
                  <c:v>0.20930983426184321</c:v>
                </c:pt>
                <c:pt idx="2">
                  <c:v>0.16884490660725221</c:v>
                </c:pt>
                <c:pt idx="3">
                  <c:v>4.7934330455834832E-2</c:v>
                </c:pt>
                <c:pt idx="4">
                  <c:v>6.7223961434737023E-2</c:v>
                </c:pt>
                <c:pt idx="5">
                  <c:v>7.3468959496856584E-2</c:v>
                </c:pt>
              </c:numCache>
            </c:numRef>
          </c:val>
          <c:extLst xmlns:c16r2="http://schemas.microsoft.com/office/drawing/2015/06/chart">
            <c:ext xmlns:c16="http://schemas.microsoft.com/office/drawing/2014/chart" uri="{C3380CC4-5D6E-409C-BE32-E72D297353CC}">
              <c16:uniqueId val="{0000000D-DBE6-4D68-ACED-AE7C721D4F4F}"/>
            </c:ext>
          </c:extLst>
        </c:ser>
        <c:ser>
          <c:idx val="8"/>
          <c:order val="8"/>
          <c:tx>
            <c:strRef>
              <c:f>[БюджетБарда.xlsx]Лист1!$A$27</c:f>
              <c:strCache>
                <c:ptCount val="1"/>
                <c:pt idx="0">
                  <c:v>Спорт и физ.культура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[БюджетБарда.xlsx]Лист1!$C$27,[БюджетБарда.xlsx]Лист1!$E$27,[БюджетБарда.xlsx]Лист1!$G$27,[БюджетБарда.xlsx]Лист1!$I$27,[БюджетБарда.xlsx]Лист1!$K$27,[БюджетБарда.xlsx]Лист1!$M$27</c:f>
              <c:numCache>
                <c:formatCode>0.0%</c:formatCode>
                <c:ptCount val="6"/>
                <c:pt idx="0">
                  <c:v>3.3084151133066488E-2</c:v>
                </c:pt>
                <c:pt idx="1">
                  <c:v>3.4097968807545592E-2</c:v>
                </c:pt>
                <c:pt idx="2">
                  <c:v>3.1261244665065802E-2</c:v>
                </c:pt>
                <c:pt idx="3">
                  <c:v>2.0117356804694272E-2</c:v>
                </c:pt>
                <c:pt idx="4">
                  <c:v>1.8593966538118775E-2</c:v>
                </c:pt>
                <c:pt idx="5">
                  <c:v>3.7262293207061196E-2</c:v>
                </c:pt>
              </c:numCache>
            </c:numRef>
          </c:val>
          <c:extLst xmlns:c16r2="http://schemas.microsoft.com/office/drawing/2015/06/chart">
            <c:ext xmlns:c16="http://schemas.microsoft.com/office/drawing/2014/chart" uri="{C3380CC4-5D6E-409C-BE32-E72D297353CC}">
              <c16:uniqueId val="{0000000E-DBE6-4D68-ACED-AE7C721D4F4F}"/>
            </c:ext>
          </c:extLst>
        </c:ser>
        <c:ser>
          <c:idx val="9"/>
          <c:order val="9"/>
          <c:tx>
            <c:strRef>
              <c:f>[БюджетБарда.xlsx]Лист1!$A$28</c:f>
              <c:strCache>
                <c:ptCount val="1"/>
                <c:pt idx="0">
                  <c:v>СМИ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[БюджетБарда.xlsx]Лист1!$C$28,[БюджетБарда.xlsx]Лист1!$E$28,[БюджетБарда.xlsx]Лист1!$G$28,[БюджетБарда.xlsx]Лист1!$I$28,[БюджетБарда.xlsx]Лист1!$K$28,[БюджетБарда.xlsx]Лист1!$M$28</c:f>
              <c:numCache>
                <c:formatCode>0.0%</c:formatCode>
                <c:ptCount val="6"/>
                <c:pt idx="0">
                  <c:v>8.3367227972546542E-3</c:v>
                </c:pt>
                <c:pt idx="1">
                  <c:v>8.0407859756183764E-4</c:v>
                </c:pt>
                <c:pt idx="2">
                  <c:v>9.3001108030163707E-3</c:v>
                </c:pt>
                <c:pt idx="3">
                  <c:v>1.0194090100071196E-2</c:v>
                </c:pt>
                <c:pt idx="4">
                  <c:v>1.1728072293889433E-2</c:v>
                </c:pt>
                <c:pt idx="5">
                  <c:v>1.1226353935254786E-2</c:v>
                </c:pt>
              </c:numCache>
            </c:numRef>
          </c:val>
          <c:extLst xmlns:c16r2="http://schemas.microsoft.com/office/drawing/2015/06/chart">
            <c:ext xmlns:c16="http://schemas.microsoft.com/office/drawing/2014/chart" uri="{C3380CC4-5D6E-409C-BE32-E72D297353CC}">
              <c16:uniqueId val="{0000000F-DBE6-4D68-ACED-AE7C721D4F4F}"/>
            </c:ext>
          </c:extLst>
        </c:ser>
        <c:ser>
          <c:idx val="10"/>
          <c:order val="10"/>
          <c:tx>
            <c:strRef>
              <c:f>[БюджетБарда.xlsx]Лист1!$A$29</c:f>
              <c:strCache>
                <c:ptCount val="1"/>
                <c:pt idx="0">
                  <c:v>Национальная безопасность</c:v>
                </c:pt>
              </c:strCache>
            </c:strRef>
          </c:tx>
          <c:dLbls>
            <c:dLbl>
              <c:idx val="0"/>
              <c:layout>
                <c:manualLayout>
                  <c:x val="5.2083333333334675E-3"/>
                  <c:y val="-3.18407960199004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BE6-4D68-ACED-AE7C721D4F4F}"/>
                </c:ext>
              </c:extLst>
            </c:dLbl>
            <c:dLbl>
              <c:idx val="1"/>
              <c:layout>
                <c:manualLayout>
                  <c:x val="1.7361111111111381E-3"/>
                  <c:y val="-2.3880597014925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BE6-4D68-ACED-AE7C721D4F4F}"/>
                </c:ext>
              </c:extLst>
            </c:dLbl>
            <c:dLbl>
              <c:idx val="2"/>
              <c:layout>
                <c:manualLayout>
                  <c:x val="3.4722222222222242E-3"/>
                  <c:y val="-1.79104477611940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BE6-4D68-ACED-AE7C721D4F4F}"/>
                </c:ext>
              </c:extLst>
            </c:dLbl>
            <c:dLbl>
              <c:idx val="3"/>
              <c:layout>
                <c:manualLayout>
                  <c:x val="0"/>
                  <c:y val="-1.59203980099503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BE6-4D68-ACED-AE7C721D4F4F}"/>
                </c:ext>
              </c:extLst>
            </c:dLbl>
            <c:dLbl>
              <c:idx val="4"/>
              <c:layout>
                <c:manualLayout>
                  <c:x val="3.4722222222222242E-3"/>
                  <c:y val="-2.18905472636816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BE6-4D68-ACED-AE7C721D4F4F}"/>
                </c:ext>
              </c:extLst>
            </c:dLbl>
            <c:dLbl>
              <c:idx val="5"/>
              <c:layout>
                <c:manualLayout>
                  <c:x val="0"/>
                  <c:y val="-2.3880597014925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[БюджетБарда.xlsx]Лист1!$C$29,[БюджетБарда.xlsx]Лист1!$E$29,[БюджетБарда.xlsx]Лист1!$G$29,[БюджетБарда.xlsx]Лист1!$I$29,[БюджетБарда.xlsx]Лист1!$K$29,[БюджетБарда.xlsx]Лист1!$M$29</c:f>
              <c:numCache>
                <c:formatCode>0.0%</c:formatCode>
                <c:ptCount val="6"/>
                <c:pt idx="0">
                  <c:v>4.5790285809720874E-2</c:v>
                </c:pt>
                <c:pt idx="1">
                  <c:v>2.3892391217985392E-3</c:v>
                </c:pt>
                <c:pt idx="2">
                  <c:v>1.5420476802668239E-3</c:v>
                </c:pt>
                <c:pt idx="3">
                  <c:v>7.8023296967085723E-2</c:v>
                </c:pt>
                <c:pt idx="4">
                  <c:v>1.9966966163691485E-3</c:v>
                </c:pt>
                <c:pt idx="5">
                  <c:v>2.7195762843764109E-3</c:v>
                </c:pt>
              </c:numCache>
            </c:numRef>
          </c:val>
          <c:extLst xmlns:c16r2="http://schemas.microsoft.com/office/drawing/2015/06/chart">
            <c:ext xmlns:c16="http://schemas.microsoft.com/office/drawing/2014/chart" uri="{C3380CC4-5D6E-409C-BE32-E72D297353CC}">
              <c16:uniqueId val="{00000016-DBE6-4D68-ACED-AE7C721D4F4F}"/>
            </c:ext>
          </c:extLst>
        </c:ser>
        <c:shape val="box"/>
        <c:axId val="181968896"/>
        <c:axId val="181970432"/>
        <c:axId val="0"/>
      </c:bar3DChart>
      <c:catAx>
        <c:axId val="181968896"/>
        <c:scaling>
          <c:orientation val="minMax"/>
        </c:scaling>
        <c:axPos val="b"/>
        <c:numFmt formatCode="General" sourceLinked="1"/>
        <c:tickLblPos val="nextTo"/>
        <c:crossAx val="181970432"/>
        <c:crosses val="autoZero"/>
        <c:auto val="1"/>
        <c:lblAlgn val="ctr"/>
        <c:lblOffset val="100"/>
      </c:catAx>
      <c:valAx>
        <c:axId val="181970432"/>
        <c:scaling>
          <c:orientation val="minMax"/>
        </c:scaling>
        <c:axPos val="l"/>
        <c:majorGridlines/>
        <c:numFmt formatCode="0.0%" sourceLinked="1"/>
        <c:tickLblPos val="nextTo"/>
        <c:crossAx val="181968896"/>
        <c:crosses val="autoZero"/>
        <c:crossBetween val="between"/>
      </c:valAx>
    </c:plotArea>
    <c:legend>
      <c:legendPos val="r"/>
    </c:legend>
    <c:plotVisOnly val="1"/>
    <c:dispBlanksAs val="gap"/>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[БюджетБарда.xlsx]ЖКХ!$B$1</c:f>
              <c:strCache>
                <c:ptCount val="1"/>
                <c:pt idx="0">
                  <c:v>План</c:v>
                </c:pt>
              </c:strCache>
            </c:strRef>
          </c:tx>
          <c:dLbls>
            <c:dLbl>
              <c:idx val="0"/>
              <c:layout>
                <c:manualLayout>
                  <c:x val="-3.1907887062590082E-2"/>
                  <c:y val="-3.5063754948527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D0-4127-833F-8F9F5A7B95CA}"/>
                </c:ext>
              </c:extLst>
            </c:dLbl>
            <c:dLbl>
              <c:idx val="1"/>
              <c:layout>
                <c:manualLayout>
                  <c:x val="-9.1165391607400548E-3"/>
                  <c:y val="-2.6297816211395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D0-4127-833F-8F9F5A7B95CA}"/>
                </c:ext>
              </c:extLst>
            </c:dLbl>
            <c:dLbl>
              <c:idx val="2"/>
              <c:layout>
                <c:manualLayout>
                  <c:x val="-9.1165391607400548E-3"/>
                  <c:y val="-1.75318774742638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D0-4127-833F-8F9F5A7B95CA}"/>
                </c:ext>
              </c:extLst>
            </c:dLbl>
            <c:dLbl>
              <c:idx val="3"/>
              <c:layout>
                <c:manualLayout>
                  <c:x val="-6.8374043705550095E-3"/>
                  <c:y val="-4.382969368565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D0-4127-833F-8F9F5A7B95CA}"/>
                </c:ext>
              </c:extLst>
            </c:dLbl>
            <c:dLbl>
              <c:idx val="4"/>
              <c:layout>
                <c:manualLayout>
                  <c:x val="-2.279134790185077E-3"/>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D0-4127-833F-8F9F5A7B95CA}"/>
                </c:ext>
              </c:extLst>
            </c:dLbl>
            <c:dLbl>
              <c:idx val="5"/>
              <c:layout>
                <c:manualLayout>
                  <c:x val="-2.0512213111665081E-2"/>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D0-4127-833F-8F9F5A7B95C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[БюджетБарда.xlsx]ЖКХ!$A$2:$A$7</c:f>
              <c:strCache>
                <c:ptCount val="6"/>
                <c:pt idx="0">
                  <c:v>2011 год</c:v>
                </c:pt>
                <c:pt idx="1">
                  <c:v>2012 год</c:v>
                </c:pt>
                <c:pt idx="2">
                  <c:v>2013 год</c:v>
                </c:pt>
                <c:pt idx="3">
                  <c:v>2014 год</c:v>
                </c:pt>
                <c:pt idx="4">
                  <c:v>2015 год</c:v>
                </c:pt>
                <c:pt idx="5">
                  <c:v>2016 год</c:v>
                </c:pt>
              </c:strCache>
            </c:strRef>
          </c:cat>
          <c:val>
            <c:numRef>
              <c:f>[БюджетБарда.xlsx]ЖКХ!$B$2:$B$7</c:f>
              <c:numCache>
                <c:formatCode>General</c:formatCode>
                <c:ptCount val="6"/>
                <c:pt idx="0">
                  <c:v>41286.699999999997</c:v>
                </c:pt>
                <c:pt idx="1">
                  <c:v>63179.3</c:v>
                </c:pt>
                <c:pt idx="2">
                  <c:v>50654.7</c:v>
                </c:pt>
                <c:pt idx="3">
                  <c:v>43731.5</c:v>
                </c:pt>
                <c:pt idx="4">
                  <c:v>24007</c:v>
                </c:pt>
                <c:pt idx="5">
                  <c:v>27650.5</c:v>
                </c:pt>
              </c:numCache>
            </c:numRef>
          </c:val>
          <c:extLst xmlns:c16r2="http://schemas.microsoft.com/office/drawing/2015/06/chart">
            <c:ext xmlns:c16="http://schemas.microsoft.com/office/drawing/2014/chart" uri="{C3380CC4-5D6E-409C-BE32-E72D297353CC}">
              <c16:uniqueId val="{00000006-79D0-4127-833F-8F9F5A7B95CA}"/>
            </c:ext>
          </c:extLst>
        </c:ser>
        <c:ser>
          <c:idx val="1"/>
          <c:order val="1"/>
          <c:tx>
            <c:strRef>
              <c:f>[БюджетБарда.xlsx]ЖКХ!$C$1</c:f>
              <c:strCache>
                <c:ptCount val="1"/>
                <c:pt idx="0">
                  <c:v>Факт</c:v>
                </c:pt>
              </c:strCache>
            </c:strRef>
          </c:tx>
          <c:dLbls>
            <c:dLbl>
              <c:idx val="0"/>
              <c:layout>
                <c:manualLayout>
                  <c:x val="0"/>
                  <c:y val="3.5063754948527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D0-4127-833F-8F9F5A7B95CA}"/>
                </c:ext>
              </c:extLst>
            </c:dLbl>
            <c:dLbl>
              <c:idx val="1"/>
              <c:layout>
                <c:manualLayout>
                  <c:x val="-2.279134790185077E-3"/>
                  <c:y val="4.382969368565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9D0-4127-833F-8F9F5A7B95CA}"/>
                </c:ext>
              </c:extLst>
            </c:dLbl>
            <c:dLbl>
              <c:idx val="2"/>
              <c:layout>
                <c:manualLayout>
                  <c:x val="-1.3674808741110359E-2"/>
                  <c:y val="3.94467243170936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D0-4127-833F-8F9F5A7B95CA}"/>
                </c:ext>
              </c:extLst>
            </c:dLbl>
            <c:dLbl>
              <c:idx val="3"/>
              <c:layout>
                <c:manualLayout>
                  <c:x val="-1.3674808741110359E-2"/>
                  <c:y val="7.45104792656220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9D0-4127-833F-8F9F5A7B95CA}"/>
                </c:ext>
              </c:extLst>
            </c:dLbl>
            <c:dLbl>
              <c:idx val="4"/>
              <c:layout>
                <c:manualLayout>
                  <c:x val="-5.0140965384069647E-2"/>
                  <c:y val="6.57445405284894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D0-4127-833F-8F9F5A7B95CA}"/>
                </c:ext>
              </c:extLst>
            </c:dLbl>
            <c:dLbl>
              <c:idx val="5"/>
              <c:layout>
                <c:manualLayout>
                  <c:x val="-6.8374043705550095E-3"/>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9D0-4127-833F-8F9F5A7B95C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[БюджетБарда.xlsx]ЖКХ!$A$2:$A$7</c:f>
              <c:strCache>
                <c:ptCount val="6"/>
                <c:pt idx="0">
                  <c:v>2011 год</c:v>
                </c:pt>
                <c:pt idx="1">
                  <c:v>2012 год</c:v>
                </c:pt>
                <c:pt idx="2">
                  <c:v>2013 год</c:v>
                </c:pt>
                <c:pt idx="3">
                  <c:v>2014 год</c:v>
                </c:pt>
                <c:pt idx="4">
                  <c:v>2015 год</c:v>
                </c:pt>
                <c:pt idx="5">
                  <c:v>2016 год</c:v>
                </c:pt>
              </c:strCache>
            </c:strRef>
          </c:cat>
          <c:val>
            <c:numRef>
              <c:f>[БюджетБарда.xlsx]ЖКХ!$C$2:$C$7</c:f>
              <c:numCache>
                <c:formatCode>General</c:formatCode>
                <c:ptCount val="6"/>
                <c:pt idx="0">
                  <c:v>13559</c:v>
                </c:pt>
                <c:pt idx="1">
                  <c:v>44184.9</c:v>
                </c:pt>
                <c:pt idx="2">
                  <c:v>37951.1</c:v>
                </c:pt>
                <c:pt idx="3">
                  <c:v>39716.1</c:v>
                </c:pt>
                <c:pt idx="4">
                  <c:v>22674.1</c:v>
                </c:pt>
                <c:pt idx="5">
                  <c:v>15003.3</c:v>
                </c:pt>
              </c:numCache>
            </c:numRef>
          </c:val>
          <c:extLst xmlns:c16r2="http://schemas.microsoft.com/office/drawing/2015/06/chart">
            <c:ext xmlns:c16="http://schemas.microsoft.com/office/drawing/2014/chart" uri="{C3380CC4-5D6E-409C-BE32-E72D297353CC}">
              <c16:uniqueId val="{0000000D-79D0-4127-833F-8F9F5A7B95CA}"/>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85080448"/>
        <c:axId val="185131392"/>
      </c:lineChart>
      <c:catAx>
        <c:axId val="185080448"/>
        <c:scaling>
          <c:orientation val="minMax"/>
        </c:scaling>
        <c:axPos val="b"/>
        <c:numFmt formatCode="General" sourceLinked="0"/>
        <c:tickLblPos val="nextTo"/>
        <c:crossAx val="185131392"/>
        <c:crosses val="autoZero"/>
        <c:auto val="1"/>
        <c:lblAlgn val="ctr"/>
        <c:lblOffset val="100"/>
      </c:catAx>
      <c:valAx>
        <c:axId val="185131392"/>
        <c:scaling>
          <c:orientation val="minMax"/>
        </c:scaling>
        <c:axPos val="l"/>
        <c:majorGridlines>
          <c:spPr>
            <a:ln w="0">
              <a:solidFill>
                <a:schemeClr val="bg1"/>
              </a:solidFill>
            </a:ln>
          </c:spPr>
        </c:majorGridlines>
        <c:numFmt formatCode="General" sourceLinked="1"/>
        <c:tickLblPos val="nextTo"/>
        <c:crossAx val="185080448"/>
        <c:crosses val="autoZero"/>
        <c:crossBetween val="between"/>
      </c:valAx>
    </c:plotArea>
    <c:legend>
      <c:legendPos val="b"/>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[БюджетБарда.xlsx]Здоровье!$B$1</c:f>
              <c:strCache>
                <c:ptCount val="1"/>
                <c:pt idx="0">
                  <c:v>План</c:v>
                </c:pt>
              </c:strCache>
            </c:strRef>
          </c:tx>
          <c:dLbls>
            <c:dLbl>
              <c:idx val="1"/>
              <c:layout>
                <c:manualLayout>
                  <c:x val="-4.6598886690220505E-3"/>
                  <c:y val="-2.06456462558714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24-436F-8C80-C35ED6721FBE}"/>
                </c:ext>
              </c:extLst>
            </c:dLbl>
            <c:dLbl>
              <c:idx val="2"/>
              <c:layout>
                <c:manualLayout>
                  <c:x val="6.9898330035332518E-3"/>
                  <c:y val="-1.2387387753522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24-436F-8C80-C35ED6721F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[БюджетБарда.xlsx]Здоровье!$A$2:$A$7</c:f>
              <c:strCache>
                <c:ptCount val="6"/>
                <c:pt idx="0">
                  <c:v>2011 год</c:v>
                </c:pt>
                <c:pt idx="1">
                  <c:v>2012 год</c:v>
                </c:pt>
                <c:pt idx="2">
                  <c:v>2013 год</c:v>
                </c:pt>
                <c:pt idx="3">
                  <c:v>2014 год</c:v>
                </c:pt>
                <c:pt idx="4">
                  <c:v>2015 год</c:v>
                </c:pt>
                <c:pt idx="5">
                  <c:v>2016 год</c:v>
                </c:pt>
              </c:strCache>
            </c:strRef>
          </c:cat>
          <c:val>
            <c:numRef>
              <c:f>[БюджетБарда.xlsx]Здоровье!$B$2:$B$7</c:f>
              <c:numCache>
                <c:formatCode>General</c:formatCode>
                <c:ptCount val="6"/>
                <c:pt idx="0">
                  <c:v>31646.400000000001</c:v>
                </c:pt>
                <c:pt idx="1">
                  <c:v>38025</c:v>
                </c:pt>
                <c:pt idx="2">
                  <c:v>28604.2</c:v>
                </c:pt>
                <c:pt idx="3">
                  <c:v>76.099999999999994</c:v>
                </c:pt>
                <c:pt idx="4">
                  <c:v>0</c:v>
                </c:pt>
                <c:pt idx="5">
                  <c:v>0</c:v>
                </c:pt>
              </c:numCache>
            </c:numRef>
          </c:val>
          <c:extLst xmlns:c16r2="http://schemas.microsoft.com/office/drawing/2015/06/chart">
            <c:ext xmlns:c16="http://schemas.microsoft.com/office/drawing/2014/chart" uri="{C3380CC4-5D6E-409C-BE32-E72D297353CC}">
              <c16:uniqueId val="{00000002-9524-436F-8C80-C35ED6721FBE}"/>
            </c:ext>
          </c:extLst>
        </c:ser>
        <c:ser>
          <c:idx val="1"/>
          <c:order val="1"/>
          <c:tx>
            <c:strRef>
              <c:f>[БюджетБарда.xlsx]Здоровье!$C$1</c:f>
              <c:strCache>
                <c:ptCount val="1"/>
                <c:pt idx="0">
                  <c:v>Факт</c:v>
                </c:pt>
              </c:strCache>
            </c:strRef>
          </c:tx>
          <c:dLbls>
            <c:dLbl>
              <c:idx val="1"/>
              <c:layout>
                <c:manualLayout>
                  <c:x val="-1.3979666007066153E-2"/>
                  <c:y val="3.71621632605685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24-436F-8C80-C35ED6721FBE}"/>
                </c:ext>
              </c:extLst>
            </c:dLbl>
            <c:dLbl>
              <c:idx val="2"/>
              <c:layout>
                <c:manualLayout>
                  <c:x val="0"/>
                  <c:y val="2.47747755070456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24-436F-8C80-C35ED6721F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[БюджетБарда.xlsx]Здоровье!$A$2:$A$7</c:f>
              <c:strCache>
                <c:ptCount val="6"/>
                <c:pt idx="0">
                  <c:v>2011 год</c:v>
                </c:pt>
                <c:pt idx="1">
                  <c:v>2012 год</c:v>
                </c:pt>
                <c:pt idx="2">
                  <c:v>2013 год</c:v>
                </c:pt>
                <c:pt idx="3">
                  <c:v>2014 год</c:v>
                </c:pt>
                <c:pt idx="4">
                  <c:v>2015 год</c:v>
                </c:pt>
                <c:pt idx="5">
                  <c:v>2016 год</c:v>
                </c:pt>
              </c:strCache>
            </c:strRef>
          </c:cat>
          <c:val>
            <c:numRef>
              <c:f>[БюджетБарда.xlsx]Здоровье!$C$2:$C$7</c:f>
              <c:numCache>
                <c:formatCode>General</c:formatCode>
                <c:ptCount val="6"/>
                <c:pt idx="0">
                  <c:v>27316.2</c:v>
                </c:pt>
                <c:pt idx="1">
                  <c:v>36145.9</c:v>
                </c:pt>
                <c:pt idx="2">
                  <c:v>25921.8</c:v>
                </c:pt>
                <c:pt idx="3">
                  <c:v>76.099999999999994</c:v>
                </c:pt>
                <c:pt idx="4">
                  <c:v>0</c:v>
                </c:pt>
                <c:pt idx="5">
                  <c:v>0</c:v>
                </c:pt>
              </c:numCache>
            </c:numRef>
          </c:val>
          <c:extLst xmlns:c16r2="http://schemas.microsoft.com/office/drawing/2015/06/chart">
            <c:ext xmlns:c16="http://schemas.microsoft.com/office/drawing/2014/chart" uri="{C3380CC4-5D6E-409C-BE32-E72D297353CC}">
              <c16:uniqueId val="{00000005-9524-436F-8C80-C35ED6721FBE}"/>
            </c:ext>
          </c:extLst>
        </c:ser>
        <c:upDownBars>
          <c:gapWidth val="150"/>
          <c:upBars>
            <c:spPr>
              <a:gradFill>
                <a:gsLst>
                  <a:gs pos="0">
                    <a:srgbClr val="FFFF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85206656"/>
        <c:axId val="185208192"/>
      </c:lineChart>
      <c:catAx>
        <c:axId val="185206656"/>
        <c:scaling>
          <c:orientation val="minMax"/>
        </c:scaling>
        <c:axPos val="b"/>
        <c:numFmt formatCode="General" sourceLinked="0"/>
        <c:tickLblPos val="nextTo"/>
        <c:crossAx val="185208192"/>
        <c:crosses val="autoZero"/>
        <c:auto val="1"/>
        <c:lblAlgn val="ctr"/>
        <c:lblOffset val="100"/>
      </c:catAx>
      <c:valAx>
        <c:axId val="185208192"/>
        <c:scaling>
          <c:orientation val="minMax"/>
        </c:scaling>
        <c:axPos val="l"/>
        <c:majorGridlines>
          <c:spPr>
            <a:ln w="0">
              <a:solidFill>
                <a:schemeClr val="bg1"/>
              </a:solidFill>
            </a:ln>
          </c:spPr>
        </c:majorGridlines>
        <c:numFmt formatCode="General" sourceLinked="1"/>
        <c:tickLblPos val="nextTo"/>
        <c:crossAx val="185206656"/>
        <c:crosses val="autoZero"/>
        <c:crossBetween val="between"/>
      </c:valAx>
      <c:spPr>
        <a:ln>
          <a:noFill/>
        </a:ln>
      </c:spPr>
    </c:plotArea>
    <c:legend>
      <c:legendPos val="b"/>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демография!$G$216</c:f>
              <c:strCache>
                <c:ptCount val="1"/>
                <c:pt idx="0">
                  <c:v>Число родившихся, человек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демография!$F$217:$F$223</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демография!$G$217:$G$223</c:f>
              <c:numCache>
                <c:formatCode>General</c:formatCode>
                <c:ptCount val="7"/>
                <c:pt idx="0">
                  <c:v>414</c:v>
                </c:pt>
                <c:pt idx="1">
                  <c:v>477</c:v>
                </c:pt>
                <c:pt idx="2">
                  <c:v>459</c:v>
                </c:pt>
                <c:pt idx="3">
                  <c:v>495</c:v>
                </c:pt>
                <c:pt idx="4">
                  <c:v>441</c:v>
                </c:pt>
                <c:pt idx="5">
                  <c:v>411</c:v>
                </c:pt>
                <c:pt idx="6">
                  <c:v>350</c:v>
                </c:pt>
              </c:numCache>
            </c:numRef>
          </c:val>
          <c:extLst xmlns:c16r2="http://schemas.microsoft.com/office/drawing/2015/06/chart">
            <c:ext xmlns:c16="http://schemas.microsoft.com/office/drawing/2014/chart" uri="{C3380CC4-5D6E-409C-BE32-E72D297353CC}">
              <c16:uniqueId val="{00000000-0D46-47F4-9C15-F93E582E4736}"/>
            </c:ext>
          </c:extLst>
        </c:ser>
        <c:ser>
          <c:idx val="1"/>
          <c:order val="1"/>
          <c:tx>
            <c:strRef>
              <c:f>демография!$H$216</c:f>
              <c:strCache>
                <c:ptCount val="1"/>
                <c:pt idx="0">
                  <c:v>Число умерших, человек</c:v>
                </c:pt>
              </c:strCache>
            </c:strRef>
          </c:tx>
          <c:spPr>
            <a:solidFill>
              <a:schemeClr val="accent2"/>
            </a:solidFill>
            <a:ln>
              <a:noFill/>
            </a:ln>
            <a:effectLst/>
          </c:spPr>
          <c:dLbls>
            <c:dLbl>
              <c:idx val="1"/>
              <c:layout>
                <c:manualLayout>
                  <c:x val="1.1111111111111125E-2"/>
                  <c:y val="-9.259259259259555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46-47F4-9C15-F93E582E4736}"/>
                </c:ext>
              </c:extLst>
            </c:dLbl>
            <c:dLbl>
              <c:idx val="2"/>
              <c:layout>
                <c:manualLayout>
                  <c:x val="1.3888888888889162E-2"/>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46-47F4-9C15-F93E582E4736}"/>
                </c:ext>
              </c:extLst>
            </c:dLbl>
            <c:dLbl>
              <c:idx val="3"/>
              <c:layout>
                <c:manualLayout>
                  <c:x val="1.66666666666667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46-47F4-9C15-F93E582E47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демография!$F$217:$F$223</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демография!$H$217:$H$223</c:f>
              <c:numCache>
                <c:formatCode>General</c:formatCode>
                <c:ptCount val="7"/>
                <c:pt idx="0">
                  <c:v>469</c:v>
                </c:pt>
                <c:pt idx="1">
                  <c:v>465</c:v>
                </c:pt>
                <c:pt idx="2">
                  <c:v>470</c:v>
                </c:pt>
                <c:pt idx="3">
                  <c:v>477</c:v>
                </c:pt>
                <c:pt idx="4">
                  <c:v>477</c:v>
                </c:pt>
                <c:pt idx="5">
                  <c:v>432</c:v>
                </c:pt>
                <c:pt idx="6">
                  <c:v>440</c:v>
                </c:pt>
              </c:numCache>
            </c:numRef>
          </c:val>
          <c:extLst xmlns:c16r2="http://schemas.microsoft.com/office/drawing/2015/06/chart">
            <c:ext xmlns:c16="http://schemas.microsoft.com/office/drawing/2014/chart" uri="{C3380CC4-5D6E-409C-BE32-E72D297353CC}">
              <c16:uniqueId val="{00000004-0D46-47F4-9C15-F93E582E4736}"/>
            </c:ext>
          </c:extLst>
        </c:ser>
        <c:gapWidth val="219"/>
        <c:overlap val="-27"/>
        <c:axId val="86810624"/>
        <c:axId val="86812160"/>
      </c:barChart>
      <c:catAx>
        <c:axId val="86810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812160"/>
        <c:crosses val="autoZero"/>
        <c:auto val="1"/>
        <c:lblAlgn val="ctr"/>
        <c:lblOffset val="100"/>
      </c:catAx>
      <c:valAx>
        <c:axId val="86812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8106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18285214348209"/>
          <c:y val="5.1400554097404488E-2"/>
          <c:w val="0.68310870516185451"/>
          <c:h val="0.79822506561679785"/>
        </c:manualLayout>
      </c:layout>
      <c:lineChart>
        <c:grouping val="standard"/>
        <c:ser>
          <c:idx val="0"/>
          <c:order val="0"/>
          <c:tx>
            <c:strRef>
              <c:f>Культура!$B$1</c:f>
              <c:strCache>
                <c:ptCount val="1"/>
                <c:pt idx="0">
                  <c:v>План</c:v>
                </c:pt>
              </c:strCache>
            </c:strRef>
          </c:tx>
          <c:dLbls>
            <c:dLbl>
              <c:idx val="0"/>
              <c:layout>
                <c:manualLayout>
                  <c:x val="-4.5988292083478884E-2"/>
                  <c:y val="-4.06091095554223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B6-46B3-86B8-ADF85EB28B04}"/>
                </c:ext>
              </c:extLst>
            </c:dLbl>
            <c:dLbl>
              <c:idx val="2"/>
              <c:layout>
                <c:manualLayout>
                  <c:x val="0"/>
                  <c:y val="-3.3840947546531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B6-46B3-86B8-ADF85EB28B04}"/>
                </c:ext>
              </c:extLst>
            </c:dLbl>
            <c:dLbl>
              <c:idx val="3"/>
              <c:layout>
                <c:manualLayout>
                  <c:x val="0"/>
                  <c:y val="-2.030456852791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B6-46B3-86B8-ADF85EB28B04}"/>
                </c:ext>
              </c:extLst>
            </c:dLbl>
            <c:dLbl>
              <c:idx val="4"/>
              <c:layout>
                <c:manualLayout>
                  <c:x val="0"/>
                  <c:y val="-2.030456852791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B6-46B3-86B8-ADF85EB28B04}"/>
                </c:ext>
              </c:extLst>
            </c:dLbl>
            <c:dLbl>
              <c:idx val="5"/>
              <c:layout>
                <c:manualLayout>
                  <c:x val="0"/>
                  <c:y val="-3.72250423011844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B6-46B3-86B8-ADF85EB28B0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Культура!$A$2:$A$7</c:f>
              <c:strCache>
                <c:ptCount val="6"/>
                <c:pt idx="0">
                  <c:v>2011 год</c:v>
                </c:pt>
                <c:pt idx="1">
                  <c:v>2012 год</c:v>
                </c:pt>
                <c:pt idx="2">
                  <c:v>2013 год</c:v>
                </c:pt>
                <c:pt idx="3">
                  <c:v>2014 год</c:v>
                </c:pt>
                <c:pt idx="4">
                  <c:v>2015 год</c:v>
                </c:pt>
                <c:pt idx="5">
                  <c:v>2016 год</c:v>
                </c:pt>
              </c:strCache>
            </c:strRef>
          </c:cat>
          <c:val>
            <c:numRef>
              <c:f>Культура!$B$2:$B$7</c:f>
              <c:numCache>
                <c:formatCode>General</c:formatCode>
                <c:ptCount val="6"/>
                <c:pt idx="0">
                  <c:v>8159</c:v>
                </c:pt>
                <c:pt idx="1">
                  <c:v>26223.1</c:v>
                </c:pt>
                <c:pt idx="2">
                  <c:v>20267.5</c:v>
                </c:pt>
                <c:pt idx="3">
                  <c:v>18533.400000000001</c:v>
                </c:pt>
                <c:pt idx="4">
                  <c:v>16602.8</c:v>
                </c:pt>
                <c:pt idx="5">
                  <c:v>52480.4</c:v>
                </c:pt>
              </c:numCache>
            </c:numRef>
          </c:val>
          <c:extLst xmlns:c16r2="http://schemas.microsoft.com/office/drawing/2015/06/chart">
            <c:ext xmlns:c16="http://schemas.microsoft.com/office/drawing/2014/chart" uri="{C3380CC4-5D6E-409C-BE32-E72D297353CC}">
              <c16:uniqueId val="{00000005-D0B6-46B3-86B8-ADF85EB28B04}"/>
            </c:ext>
          </c:extLst>
        </c:ser>
        <c:ser>
          <c:idx val="1"/>
          <c:order val="1"/>
          <c:tx>
            <c:strRef>
              <c:f>Культура!$C$1</c:f>
              <c:strCache>
                <c:ptCount val="1"/>
                <c:pt idx="0">
                  <c:v>Факт</c:v>
                </c:pt>
              </c:strCache>
            </c:strRef>
          </c:tx>
          <c:dLbls>
            <c:dLbl>
              <c:idx val="0"/>
              <c:layout>
                <c:manualLayout>
                  <c:x val="-4.2862421459745767E-2"/>
                  <c:y val="3.40091405439902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B6-46B3-86B8-ADF85EB28B04}"/>
                </c:ext>
              </c:extLst>
            </c:dLbl>
            <c:dLbl>
              <c:idx val="1"/>
              <c:layout>
                <c:manualLayout>
                  <c:x val="-6.3091482649843336E-3"/>
                  <c:y val="4.0609137055837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B6-46B3-86B8-ADF85EB28B04}"/>
                </c:ext>
              </c:extLst>
            </c:dLbl>
            <c:dLbl>
              <c:idx val="2"/>
              <c:layout>
                <c:manualLayout>
                  <c:x val="0"/>
                  <c:y val="4.0609137055837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0B6-46B3-86B8-ADF85EB28B04}"/>
                </c:ext>
              </c:extLst>
            </c:dLbl>
            <c:dLbl>
              <c:idx val="3"/>
              <c:layout>
                <c:manualLayout>
                  <c:x val="0"/>
                  <c:y val="4.39932318104921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B6-46B3-86B8-ADF85EB28B04}"/>
                </c:ext>
              </c:extLst>
            </c:dLbl>
            <c:dLbl>
              <c:idx val="4"/>
              <c:layout>
                <c:manualLayout>
                  <c:x val="0"/>
                  <c:y val="3.3840947546531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0B6-46B3-86B8-ADF85EB28B04}"/>
                </c:ext>
              </c:extLst>
            </c:dLbl>
            <c:dLbl>
              <c:idx val="5"/>
              <c:layout>
                <c:manualLayout>
                  <c:x val="2.1030494216614211E-3"/>
                  <c:y val="2.7072758037225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B6-46B3-86B8-ADF85EB28B0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Культура!$A$2:$A$7</c:f>
              <c:strCache>
                <c:ptCount val="6"/>
                <c:pt idx="0">
                  <c:v>2011 год</c:v>
                </c:pt>
                <c:pt idx="1">
                  <c:v>2012 год</c:v>
                </c:pt>
                <c:pt idx="2">
                  <c:v>2013 год</c:v>
                </c:pt>
                <c:pt idx="3">
                  <c:v>2014 год</c:v>
                </c:pt>
                <c:pt idx="4">
                  <c:v>2015 год</c:v>
                </c:pt>
                <c:pt idx="5">
                  <c:v>2016 год</c:v>
                </c:pt>
              </c:strCache>
            </c:strRef>
          </c:cat>
          <c:val>
            <c:numRef>
              <c:f>Культура!$C$2:$C$7</c:f>
              <c:numCache>
                <c:formatCode>General</c:formatCode>
                <c:ptCount val="6"/>
                <c:pt idx="0">
                  <c:v>8133.4</c:v>
                </c:pt>
                <c:pt idx="1">
                  <c:v>19547.7</c:v>
                </c:pt>
                <c:pt idx="2">
                  <c:v>19598.3</c:v>
                </c:pt>
                <c:pt idx="3">
                  <c:v>18289.5</c:v>
                </c:pt>
                <c:pt idx="4">
                  <c:v>16544</c:v>
                </c:pt>
                <c:pt idx="5">
                  <c:v>52446.2</c:v>
                </c:pt>
              </c:numCache>
            </c:numRef>
          </c:val>
          <c:extLst xmlns:c16r2="http://schemas.microsoft.com/office/drawing/2015/06/chart">
            <c:ext xmlns:c16="http://schemas.microsoft.com/office/drawing/2014/chart" uri="{C3380CC4-5D6E-409C-BE32-E72D297353CC}">
              <c16:uniqueId val="{0000000C-D0B6-46B3-86B8-ADF85EB28B04}"/>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90207104"/>
        <c:axId val="190208640"/>
      </c:lineChart>
      <c:catAx>
        <c:axId val="190207104"/>
        <c:scaling>
          <c:orientation val="minMax"/>
        </c:scaling>
        <c:axPos val="b"/>
        <c:numFmt formatCode="General" sourceLinked="0"/>
        <c:tickLblPos val="nextTo"/>
        <c:crossAx val="190208640"/>
        <c:crosses val="autoZero"/>
        <c:auto val="1"/>
        <c:lblAlgn val="ctr"/>
        <c:lblOffset val="100"/>
      </c:catAx>
      <c:valAx>
        <c:axId val="190208640"/>
        <c:scaling>
          <c:orientation val="minMax"/>
        </c:scaling>
        <c:axPos val="l"/>
        <c:majorGridlines>
          <c:spPr>
            <a:ln w="0">
              <a:solidFill>
                <a:schemeClr val="bg1"/>
              </a:solidFill>
            </a:ln>
          </c:spPr>
        </c:majorGridlines>
        <c:numFmt formatCode="General" sourceLinked="1"/>
        <c:tickLblPos val="nextTo"/>
        <c:crossAx val="190207104"/>
        <c:crosses val="autoZero"/>
        <c:crossBetween val="between"/>
      </c:valAx>
    </c:plotArea>
    <c:legend>
      <c:legendPos val="b"/>
    </c:legend>
    <c:plotVisOnly val="1"/>
    <c:dispBlanksAs val="gap"/>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Безопасность!$B$1</c:f>
              <c:strCache>
                <c:ptCount val="1"/>
                <c:pt idx="0">
                  <c:v>План</c:v>
                </c:pt>
              </c:strCache>
            </c:strRef>
          </c:tx>
          <c:dLbls>
            <c:dLbl>
              <c:idx val="0"/>
              <c:layout>
                <c:manualLayout>
                  <c:x val="-5.5555555555555455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9C-41E0-BFD2-32DF5800B4E3}"/>
                </c:ext>
              </c:extLst>
            </c:dLbl>
            <c:dLbl>
              <c:idx val="1"/>
              <c:layout>
                <c:manualLayout>
                  <c:x val="-2.7777777777778585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9C-41E0-BFD2-32DF5800B4E3}"/>
                </c:ext>
              </c:extLst>
            </c:dLbl>
            <c:dLbl>
              <c:idx val="2"/>
              <c:layout>
                <c:manualLayout>
                  <c:x val="-2.2222222222222251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9C-41E0-BFD2-32DF5800B4E3}"/>
                </c:ext>
              </c:extLst>
            </c:dLbl>
            <c:dLbl>
              <c:idx val="3"/>
              <c:layout>
                <c:manualLayout>
                  <c:x val="-1.9444444444444445E-2"/>
                  <c:y val="3.24074074074080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9C-41E0-BFD2-32DF5800B4E3}"/>
                </c:ext>
              </c:extLst>
            </c:dLbl>
            <c:dLbl>
              <c:idx val="4"/>
              <c:layout>
                <c:manualLayout>
                  <c:x val="-3.055577427821525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9C-41E0-BFD2-32DF5800B4E3}"/>
                </c:ext>
              </c:extLst>
            </c:dLbl>
            <c:dLbl>
              <c:idx val="5"/>
              <c:layout>
                <c:manualLayout>
                  <c:x val="-3.888888888888889E-2"/>
                  <c:y val="-6.48148148148161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9C-41E0-BFD2-32DF5800B4E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Безопасность!$A$2:$A$7</c:f>
              <c:strCache>
                <c:ptCount val="6"/>
                <c:pt idx="0">
                  <c:v>2011 год</c:v>
                </c:pt>
                <c:pt idx="1">
                  <c:v>2012 год</c:v>
                </c:pt>
                <c:pt idx="2">
                  <c:v>2013 год</c:v>
                </c:pt>
                <c:pt idx="3">
                  <c:v>2014 год</c:v>
                </c:pt>
                <c:pt idx="4">
                  <c:v>2015 год</c:v>
                </c:pt>
                <c:pt idx="5">
                  <c:v>2016 год</c:v>
                </c:pt>
              </c:strCache>
            </c:strRef>
          </c:cat>
          <c:val>
            <c:numRef>
              <c:f>Безопасность!$B$2:$B$7</c:f>
              <c:numCache>
                <c:formatCode>General</c:formatCode>
                <c:ptCount val="6"/>
                <c:pt idx="0">
                  <c:v>28651.599999999897</c:v>
                </c:pt>
                <c:pt idx="1">
                  <c:v>2110.4</c:v>
                </c:pt>
                <c:pt idx="2">
                  <c:v>1418.7</c:v>
                </c:pt>
                <c:pt idx="3">
                  <c:v>1248.9000000000001</c:v>
                </c:pt>
                <c:pt idx="4">
                  <c:v>1395.8</c:v>
                </c:pt>
                <c:pt idx="5">
                  <c:v>1876.7</c:v>
                </c:pt>
              </c:numCache>
            </c:numRef>
          </c:val>
          <c:extLst xmlns:c16r2="http://schemas.microsoft.com/office/drawing/2015/06/chart">
            <c:ext xmlns:c16="http://schemas.microsoft.com/office/drawing/2014/chart" uri="{C3380CC4-5D6E-409C-BE32-E72D297353CC}">
              <c16:uniqueId val="{00000006-889C-41E0-BFD2-32DF5800B4E3}"/>
            </c:ext>
          </c:extLst>
        </c:ser>
        <c:ser>
          <c:idx val="1"/>
          <c:order val="1"/>
          <c:tx>
            <c:strRef>
              <c:f>Безопасность!$C$1</c:f>
              <c:strCache>
                <c:ptCount val="1"/>
                <c:pt idx="0">
                  <c:v>Факт</c:v>
                </c:pt>
              </c:strCache>
            </c:strRef>
          </c:tx>
          <c:dLbls>
            <c:dLbl>
              <c:idx val="0"/>
              <c:layout>
                <c:manualLayout>
                  <c:x val="-0.05"/>
                  <c:y val="-6.0185185185185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9C-41E0-BFD2-32DF5800B4E3}"/>
                </c:ext>
              </c:extLst>
            </c:dLbl>
            <c:dLbl>
              <c:idx val="1"/>
              <c:layout>
                <c:manualLayout>
                  <c:x val="-4.4444444444444502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9C-41E0-BFD2-32DF5800B4E3}"/>
                </c:ext>
              </c:extLst>
            </c:dLbl>
            <c:dLbl>
              <c:idx val="2"/>
              <c:layout>
                <c:manualLayout>
                  <c:x val="-3.0555555555555582E-2"/>
                  <c:y val="6.4814450277049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9C-41E0-BFD2-32DF5800B4E3}"/>
                </c:ext>
              </c:extLst>
            </c:dLbl>
            <c:dLbl>
              <c:idx val="3"/>
              <c:layout>
                <c:manualLayout>
                  <c:x val="-1.9444444444444445E-2"/>
                  <c:y val="-7.87037037037038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9C-41E0-BFD2-32DF5800B4E3}"/>
                </c:ext>
              </c:extLst>
            </c:dLbl>
            <c:dLbl>
              <c:idx val="4"/>
              <c:layout>
                <c:manualLayout>
                  <c:x val="-3.333355205599300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9C-41E0-BFD2-32DF5800B4E3}"/>
                </c:ext>
              </c:extLst>
            </c:dLbl>
            <c:dLbl>
              <c:idx val="5"/>
              <c:layout>
                <c:manualLayout>
                  <c:x val="-3.888888888888889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9C-41E0-BFD2-32DF5800B4E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Безопасность!$A$2:$A$7</c:f>
              <c:strCache>
                <c:ptCount val="6"/>
                <c:pt idx="0">
                  <c:v>2011 год</c:v>
                </c:pt>
                <c:pt idx="1">
                  <c:v>2012 год</c:v>
                </c:pt>
                <c:pt idx="2">
                  <c:v>2013 год</c:v>
                </c:pt>
                <c:pt idx="3">
                  <c:v>2014 год</c:v>
                </c:pt>
                <c:pt idx="4">
                  <c:v>2015 год</c:v>
                </c:pt>
                <c:pt idx="5">
                  <c:v>2016 год</c:v>
                </c:pt>
              </c:strCache>
            </c:strRef>
          </c:cat>
          <c:val>
            <c:numRef>
              <c:f>Безопасность!$C$2:$C$7</c:f>
              <c:numCache>
                <c:formatCode>General</c:formatCode>
                <c:ptCount val="6"/>
                <c:pt idx="0">
                  <c:v>28651.599999999897</c:v>
                </c:pt>
                <c:pt idx="1">
                  <c:v>2077.9</c:v>
                </c:pt>
                <c:pt idx="2">
                  <c:v>1415.5</c:v>
                </c:pt>
                <c:pt idx="3">
                  <c:v>1248.9000000000001</c:v>
                </c:pt>
                <c:pt idx="4">
                  <c:v>1336.9</c:v>
                </c:pt>
                <c:pt idx="5">
                  <c:v>1871.4</c:v>
                </c:pt>
              </c:numCache>
            </c:numRef>
          </c:val>
          <c:extLst xmlns:c16r2="http://schemas.microsoft.com/office/drawing/2015/06/chart">
            <c:ext xmlns:c16="http://schemas.microsoft.com/office/drawing/2014/chart" uri="{C3380CC4-5D6E-409C-BE32-E72D297353CC}">
              <c16:uniqueId val="{0000000D-889C-41E0-BFD2-32DF5800B4E3}"/>
            </c:ext>
          </c:extLst>
        </c:ser>
        <c:upDownBars>
          <c:gapWidth val="150"/>
          <c:upBars/>
          <c:downBars>
            <c:spPr>
              <a:solidFill>
                <a:srgbClr val="92D050"/>
              </a:solidFill>
            </c:spPr>
          </c:downBars>
        </c:upDownBars>
        <c:marker val="1"/>
        <c:axId val="190267776"/>
        <c:axId val="190269312"/>
      </c:lineChart>
      <c:catAx>
        <c:axId val="190267776"/>
        <c:scaling>
          <c:orientation val="minMax"/>
        </c:scaling>
        <c:axPos val="b"/>
        <c:numFmt formatCode="General" sourceLinked="0"/>
        <c:tickLblPos val="nextTo"/>
        <c:crossAx val="190269312"/>
        <c:crosses val="autoZero"/>
        <c:auto val="1"/>
        <c:lblAlgn val="ctr"/>
        <c:lblOffset val="100"/>
      </c:catAx>
      <c:valAx>
        <c:axId val="190269312"/>
        <c:scaling>
          <c:orientation val="minMax"/>
        </c:scaling>
        <c:axPos val="l"/>
        <c:majorGridlines/>
        <c:numFmt formatCode="General" sourceLinked="1"/>
        <c:tickLblPos val="nextTo"/>
        <c:crossAx val="190267776"/>
        <c:crosses val="autoZero"/>
        <c:crossBetween val="between"/>
      </c:valAx>
    </c:plotArea>
    <c:legend>
      <c:legendPos val="b"/>
    </c:legend>
    <c:plotVisOnly val="1"/>
    <c:dispBlanksAs val="gap"/>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[БюджетБарда.xlsx]Экономика!$B$1</c:f>
              <c:strCache>
                <c:ptCount val="1"/>
                <c:pt idx="0">
                  <c:v>План</c:v>
                </c:pt>
              </c:strCache>
            </c:strRef>
          </c:tx>
          <c:dLbls>
            <c:dLbl>
              <c:idx val="0"/>
              <c:layout>
                <c:manualLayout>
                  <c:x val="-4.1809562209007257E-2"/>
                  <c:y val="-3.96598371547222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CA-411E-B7E6-51E584D83D0B}"/>
                </c:ext>
              </c:extLst>
            </c:dLbl>
            <c:dLbl>
              <c:idx val="1"/>
              <c:layout>
                <c:manualLayout>
                  <c:x val="4.4769527588645604E-17"/>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CA-411E-B7E6-51E584D83D0B}"/>
                </c:ext>
              </c:extLst>
            </c:dLbl>
            <c:dLbl>
              <c:idx val="2"/>
              <c:layout>
                <c:manualLayout>
                  <c:x val="-5.2060615375072332E-2"/>
                  <c:y val="-3.09639761655476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CA-411E-B7E6-51E584D83D0B}"/>
                </c:ext>
              </c:extLst>
            </c:dLbl>
            <c:dLbl>
              <c:idx val="3"/>
              <c:layout>
                <c:manualLayout>
                  <c:x val="-2.6406039289899416E-2"/>
                  <c:y val="-3.55935079613602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CA-411E-B7E6-51E584D83D0B}"/>
                </c:ext>
              </c:extLst>
            </c:dLbl>
            <c:dLbl>
              <c:idx val="4"/>
              <c:layout>
                <c:manualLayout>
                  <c:x val="-3.7408555660690755E-2"/>
                  <c:y val="-4.47296211269826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CA-411E-B7E6-51E584D83D0B}"/>
                </c:ext>
              </c:extLst>
            </c:dLbl>
            <c:dLbl>
              <c:idx val="5"/>
              <c:layout>
                <c:manualLayout>
                  <c:x val="-3.0055582633489546E-2"/>
                  <c:y val="-4.77924955414480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CA-411E-B7E6-51E584D83D0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[БюджетБарда.xlsx]Экономика!$A$2:$A$7</c:f>
              <c:strCache>
                <c:ptCount val="6"/>
                <c:pt idx="0">
                  <c:v>2011 год</c:v>
                </c:pt>
                <c:pt idx="1">
                  <c:v>2012 год</c:v>
                </c:pt>
                <c:pt idx="2">
                  <c:v>2013 год</c:v>
                </c:pt>
                <c:pt idx="3">
                  <c:v>2014 год</c:v>
                </c:pt>
                <c:pt idx="4">
                  <c:v>2015 год</c:v>
                </c:pt>
                <c:pt idx="5">
                  <c:v>2016 год</c:v>
                </c:pt>
              </c:strCache>
            </c:strRef>
          </c:cat>
          <c:val>
            <c:numRef>
              <c:f>[БюджетБарда.xlsx]Экономика!$B$2:$B$7</c:f>
              <c:numCache>
                <c:formatCode>General</c:formatCode>
                <c:ptCount val="6"/>
                <c:pt idx="0">
                  <c:v>42700</c:v>
                </c:pt>
                <c:pt idx="1">
                  <c:v>80814.8</c:v>
                </c:pt>
                <c:pt idx="2">
                  <c:v>79461.600000000006</c:v>
                </c:pt>
                <c:pt idx="3">
                  <c:v>73895.7</c:v>
                </c:pt>
                <c:pt idx="4">
                  <c:v>66562.600000000006</c:v>
                </c:pt>
                <c:pt idx="5">
                  <c:v>55492</c:v>
                </c:pt>
              </c:numCache>
            </c:numRef>
          </c:val>
          <c:extLst xmlns:c16r2="http://schemas.microsoft.com/office/drawing/2015/06/chart">
            <c:ext xmlns:c16="http://schemas.microsoft.com/office/drawing/2014/chart" uri="{C3380CC4-5D6E-409C-BE32-E72D297353CC}">
              <c16:uniqueId val="{00000006-56CA-411E-B7E6-51E584D83D0B}"/>
            </c:ext>
          </c:extLst>
        </c:ser>
        <c:ser>
          <c:idx val="1"/>
          <c:order val="1"/>
          <c:tx>
            <c:strRef>
              <c:f>[БюджетБарда.xlsx]Экономика!$C$1</c:f>
              <c:strCache>
                <c:ptCount val="1"/>
                <c:pt idx="0">
                  <c:v>Факт</c:v>
                </c:pt>
              </c:strCache>
            </c:strRef>
          </c:tx>
          <c:dLbls>
            <c:dLbl>
              <c:idx val="0"/>
              <c:layout>
                <c:manualLayout>
                  <c:x val="-4.1809562209007257E-2"/>
                  <c:y val="5.69286087070673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CA-411E-B7E6-51E584D83D0B}"/>
                </c:ext>
              </c:extLst>
            </c:dLbl>
            <c:dLbl>
              <c:idx val="1"/>
              <c:layout>
                <c:manualLayout>
                  <c:x val="0"/>
                  <c:y val="-4.16666666666666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6CA-411E-B7E6-51E584D83D0B}"/>
                </c:ext>
              </c:extLst>
            </c:dLbl>
            <c:dLbl>
              <c:idx val="2"/>
              <c:layout>
                <c:manualLayout>
                  <c:x val="-4.9925780663190096E-2"/>
                  <c:y val="6.75609389058063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6CA-411E-B7E6-51E584D83D0B}"/>
                </c:ext>
              </c:extLst>
            </c:dLbl>
            <c:dLbl>
              <c:idx val="3"/>
              <c:layout>
                <c:manualLayout>
                  <c:x val="-4.2746941950204828E-2"/>
                  <c:y val="5.59251539281700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6CA-411E-B7E6-51E584D83D0B}"/>
                </c:ext>
              </c:extLst>
            </c:dLbl>
            <c:dLbl>
              <c:idx val="4"/>
              <c:layout>
                <c:manualLayout>
                  <c:x val="-3.9609058934848985E-2"/>
                  <c:y val="4.47296211269826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6CA-411E-B7E6-51E584D83D0B}"/>
                </c:ext>
              </c:extLst>
            </c:dLbl>
            <c:dLbl>
              <c:idx val="5"/>
              <c:layout>
                <c:manualLayout>
                  <c:x val="-3.5208052386532435E-2"/>
                  <c:y val="5.28622795137065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6CA-411E-B7E6-51E584D83D0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[БюджетБарда.xlsx]Экономика!$A$2:$A$7</c:f>
              <c:strCache>
                <c:ptCount val="6"/>
                <c:pt idx="0">
                  <c:v>2011 год</c:v>
                </c:pt>
                <c:pt idx="1">
                  <c:v>2012 год</c:v>
                </c:pt>
                <c:pt idx="2">
                  <c:v>2013 год</c:v>
                </c:pt>
                <c:pt idx="3">
                  <c:v>2014 год</c:v>
                </c:pt>
                <c:pt idx="4">
                  <c:v>2015 год</c:v>
                </c:pt>
                <c:pt idx="5">
                  <c:v>2016 год</c:v>
                </c:pt>
              </c:strCache>
            </c:strRef>
          </c:cat>
          <c:val>
            <c:numRef>
              <c:f>[БюджетБарда.xlsx]Экономика!$C$2:$C$7</c:f>
              <c:numCache>
                <c:formatCode>General</c:formatCode>
                <c:ptCount val="6"/>
                <c:pt idx="0">
                  <c:v>40034.699999999997</c:v>
                </c:pt>
                <c:pt idx="1">
                  <c:v>62943.1</c:v>
                </c:pt>
                <c:pt idx="2">
                  <c:v>73121.5</c:v>
                </c:pt>
                <c:pt idx="3">
                  <c:v>60846</c:v>
                </c:pt>
                <c:pt idx="4">
                  <c:v>57057.599999999999</c:v>
                </c:pt>
                <c:pt idx="5">
                  <c:v>53196.2</c:v>
                </c:pt>
              </c:numCache>
            </c:numRef>
          </c:val>
          <c:extLst xmlns:c16r2="http://schemas.microsoft.com/office/drawing/2015/06/chart">
            <c:ext xmlns:c16="http://schemas.microsoft.com/office/drawing/2014/chart" uri="{C3380CC4-5D6E-409C-BE32-E72D297353CC}">
              <c16:uniqueId val="{0000000D-56CA-411E-B7E6-51E584D83D0B}"/>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90307712"/>
        <c:axId val="190329984"/>
      </c:lineChart>
      <c:catAx>
        <c:axId val="190307712"/>
        <c:scaling>
          <c:orientation val="minMax"/>
        </c:scaling>
        <c:axPos val="b"/>
        <c:numFmt formatCode="General" sourceLinked="0"/>
        <c:tickLblPos val="nextTo"/>
        <c:crossAx val="190329984"/>
        <c:crosses val="autoZero"/>
        <c:auto val="1"/>
        <c:lblAlgn val="ctr"/>
        <c:lblOffset val="100"/>
      </c:catAx>
      <c:valAx>
        <c:axId val="190329984"/>
        <c:scaling>
          <c:orientation val="minMax"/>
        </c:scaling>
        <c:axPos val="l"/>
        <c:majorGridlines>
          <c:spPr>
            <a:ln w="0">
              <a:solidFill>
                <a:schemeClr val="bg1"/>
              </a:solidFill>
            </a:ln>
          </c:spPr>
        </c:majorGridlines>
        <c:numFmt formatCode="General" sourceLinked="1"/>
        <c:tickLblPos val="nextTo"/>
        <c:crossAx val="190307712"/>
        <c:crosses val="autoZero"/>
        <c:crossBetween val="between"/>
      </c:valAx>
    </c:plotArea>
    <c:legend>
      <c:legendPos val="b"/>
    </c:legend>
    <c:plotVisOnly val="1"/>
    <c:dispBlanksAs val="gap"/>
  </c:chart>
  <c:spPr>
    <a:noFill/>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[БюджетБарда.xlsx]Образование!$B$1</c:f>
              <c:strCache>
                <c:ptCount val="1"/>
                <c:pt idx="0">
                  <c:v>План</c:v>
                </c:pt>
              </c:strCache>
            </c:strRef>
          </c:tx>
          <c:dLbls>
            <c:dLbl>
              <c:idx val="0"/>
              <c:layout>
                <c:manualLayout>
                  <c:x val="-6.9266301668402419E-2"/>
                  <c:y val="-6.33902782387471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38-404A-A10D-31BEEDED6D6B}"/>
                </c:ext>
              </c:extLst>
            </c:dLbl>
            <c:dLbl>
              <c:idx val="1"/>
              <c:layout>
                <c:manualLayout>
                  <c:x val="-5.4077693241679124E-2"/>
                  <c:y val="-5.62677438737752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38-404A-A10D-31BEEDED6D6B}"/>
                </c:ext>
              </c:extLst>
            </c:dLbl>
            <c:dLbl>
              <c:idx val="2"/>
              <c:layout>
                <c:manualLayout>
                  <c:x val="-5.4392214553917996E-2"/>
                  <c:y val="-4.0598229961837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38-404A-A10D-31BEEDED6D6B}"/>
                </c:ext>
              </c:extLst>
            </c:dLbl>
            <c:dLbl>
              <c:idx val="3"/>
              <c:layout>
                <c:manualLayout>
                  <c:x val="-6.0933106283013044E-2"/>
                  <c:y val="-4.84329869178078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38-404A-A10D-31BEEDED6D6B}"/>
                </c:ext>
              </c:extLst>
            </c:dLbl>
            <c:dLbl>
              <c:idx val="4"/>
              <c:layout>
                <c:manualLayout>
                  <c:x val="-5.2777777777777792E-2"/>
                  <c:y val="-4.1666666666666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38-404A-A10D-31BEEDED6D6B}"/>
                </c:ext>
              </c:extLst>
            </c:dLbl>
            <c:dLbl>
              <c:idx val="5"/>
              <c:layout>
                <c:manualLayout>
                  <c:x val="-2.1058893216055991E-2"/>
                  <c:y val="-5.05696546907985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38-404A-A10D-31BEEDED6D6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[БюджетБарда.xlsx]Образование!$A$2:$A$7</c:f>
              <c:strCache>
                <c:ptCount val="6"/>
                <c:pt idx="0">
                  <c:v>2011 год</c:v>
                </c:pt>
                <c:pt idx="1">
                  <c:v>2012 год</c:v>
                </c:pt>
                <c:pt idx="2">
                  <c:v>2013 год</c:v>
                </c:pt>
                <c:pt idx="3">
                  <c:v>2014 год</c:v>
                </c:pt>
                <c:pt idx="4">
                  <c:v>2015 год</c:v>
                </c:pt>
                <c:pt idx="5">
                  <c:v>2016 год</c:v>
                </c:pt>
              </c:strCache>
            </c:strRef>
          </c:cat>
          <c:val>
            <c:numRef>
              <c:f>[БюджетБарда.xlsx]Образование!$B$2:$B$7</c:f>
              <c:numCache>
                <c:formatCode>General</c:formatCode>
                <c:ptCount val="6"/>
                <c:pt idx="0">
                  <c:v>293065.2</c:v>
                </c:pt>
                <c:pt idx="1">
                  <c:v>368269</c:v>
                </c:pt>
                <c:pt idx="2">
                  <c:v>413770.7</c:v>
                </c:pt>
                <c:pt idx="3">
                  <c:v>432789.1</c:v>
                </c:pt>
                <c:pt idx="4">
                  <c:v>409907.4</c:v>
                </c:pt>
                <c:pt idx="5">
                  <c:v>423533.1</c:v>
                </c:pt>
              </c:numCache>
            </c:numRef>
          </c:val>
          <c:extLst xmlns:c16r2="http://schemas.microsoft.com/office/drawing/2015/06/chart">
            <c:ext xmlns:c16="http://schemas.microsoft.com/office/drawing/2014/chart" uri="{C3380CC4-5D6E-409C-BE32-E72D297353CC}">
              <c16:uniqueId val="{00000006-DC38-404A-A10D-31BEEDED6D6B}"/>
            </c:ext>
          </c:extLst>
        </c:ser>
        <c:ser>
          <c:idx val="1"/>
          <c:order val="1"/>
          <c:tx>
            <c:strRef>
              <c:f>[БюджетБарда.xlsx]Образование!$C$1</c:f>
              <c:strCache>
                <c:ptCount val="1"/>
                <c:pt idx="0">
                  <c:v>Факт</c:v>
                </c:pt>
              </c:strCache>
            </c:strRef>
          </c:tx>
          <c:dLbls>
            <c:dLbl>
              <c:idx val="0"/>
              <c:layout>
                <c:manualLayout>
                  <c:x val="-5.6855485014175054E-2"/>
                  <c:y val="6.6951699648731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38-404A-A10D-31BEEDED6D6B}"/>
                </c:ext>
              </c:extLst>
            </c:dLbl>
            <c:dLbl>
              <c:idx val="1"/>
              <c:layout>
                <c:manualLayout>
                  <c:x val="-5.0136460505263734E-2"/>
                  <c:y val="6.80198793077282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C38-404A-A10D-31BEEDED6D6B}"/>
                </c:ext>
              </c:extLst>
            </c:dLbl>
            <c:dLbl>
              <c:idx val="2"/>
              <c:layout>
                <c:manualLayout>
                  <c:x val="-4.1981217967587754E-2"/>
                  <c:y val="6.9088058966725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C38-404A-A10D-31BEEDED6D6B}"/>
                </c:ext>
              </c:extLst>
            </c:dLbl>
            <c:dLbl>
              <c:idx val="3"/>
              <c:layout>
                <c:manualLayout>
                  <c:x val="-5.9455144006857565E-2"/>
                  <c:y val="6.37465437617444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C38-404A-A10D-31BEEDED6D6B}"/>
                </c:ext>
              </c:extLst>
            </c:dLbl>
            <c:dLbl>
              <c:idx val="4"/>
              <c:layout>
                <c:manualLayout>
                  <c:x val="-3.6111111111111212E-2"/>
                  <c:y val="5.09259259259259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C38-404A-A10D-31BEEDED6D6B}"/>
                </c:ext>
              </c:extLst>
            </c:dLbl>
            <c:dLbl>
              <c:idx val="5"/>
              <c:layout>
                <c:manualLayout>
                  <c:x val="-2.5314647264708192E-2"/>
                  <c:y val="5.73362319877721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C38-404A-A10D-31BEEDED6D6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[БюджетБарда.xlsx]Образование!$A$2:$A$7</c:f>
              <c:strCache>
                <c:ptCount val="6"/>
                <c:pt idx="0">
                  <c:v>2011 год</c:v>
                </c:pt>
                <c:pt idx="1">
                  <c:v>2012 год</c:v>
                </c:pt>
                <c:pt idx="2">
                  <c:v>2013 год</c:v>
                </c:pt>
                <c:pt idx="3">
                  <c:v>2014 год</c:v>
                </c:pt>
                <c:pt idx="4">
                  <c:v>2015 год</c:v>
                </c:pt>
                <c:pt idx="5">
                  <c:v>2016 год</c:v>
                </c:pt>
              </c:strCache>
            </c:strRef>
          </c:cat>
          <c:val>
            <c:numRef>
              <c:f>[БюджетБарда.xlsx]Образование!$C$2:$C$7</c:f>
              <c:numCache>
                <c:formatCode>General</c:formatCode>
                <c:ptCount val="6"/>
                <c:pt idx="0">
                  <c:v>286732.2</c:v>
                </c:pt>
                <c:pt idx="1">
                  <c:v>366762.5</c:v>
                </c:pt>
                <c:pt idx="2">
                  <c:v>412405</c:v>
                </c:pt>
                <c:pt idx="3">
                  <c:v>427253.2</c:v>
                </c:pt>
                <c:pt idx="4">
                  <c:v>404107.4</c:v>
                </c:pt>
                <c:pt idx="5">
                  <c:v>420275.20000000001</c:v>
                </c:pt>
              </c:numCache>
            </c:numRef>
          </c:val>
          <c:extLst xmlns:c16r2="http://schemas.microsoft.com/office/drawing/2015/06/chart">
            <c:ext xmlns:c16="http://schemas.microsoft.com/office/drawing/2014/chart" uri="{C3380CC4-5D6E-409C-BE32-E72D297353CC}">
              <c16:uniqueId val="{0000000D-DC38-404A-A10D-31BEEDED6D6B}"/>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90392960"/>
        <c:axId val="190419328"/>
      </c:lineChart>
      <c:catAx>
        <c:axId val="190392960"/>
        <c:scaling>
          <c:orientation val="minMax"/>
        </c:scaling>
        <c:axPos val="b"/>
        <c:numFmt formatCode="General" sourceLinked="0"/>
        <c:tickLblPos val="nextTo"/>
        <c:crossAx val="190419328"/>
        <c:crosses val="autoZero"/>
        <c:auto val="1"/>
        <c:lblAlgn val="ctr"/>
        <c:lblOffset val="100"/>
      </c:catAx>
      <c:valAx>
        <c:axId val="190419328"/>
        <c:scaling>
          <c:orientation val="minMax"/>
        </c:scaling>
        <c:axPos val="l"/>
        <c:majorGridlines>
          <c:spPr>
            <a:ln w="0">
              <a:solidFill>
                <a:schemeClr val="bg1"/>
              </a:solidFill>
            </a:ln>
          </c:spPr>
        </c:majorGridlines>
        <c:numFmt formatCode="General" sourceLinked="1"/>
        <c:tickLblPos val="nextTo"/>
        <c:crossAx val="190392960"/>
        <c:crosses val="autoZero"/>
        <c:crossBetween val="between"/>
      </c:valAx>
    </c:plotArea>
    <c:legend>
      <c:legendPos val="b"/>
    </c:legend>
    <c:plotVisOnly val="1"/>
    <c:dispBlanksAs val="gap"/>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'[БюджетБарда.xlsx]Общие вопросы'!$B$1</c:f>
              <c:strCache>
                <c:ptCount val="1"/>
                <c:pt idx="0">
                  <c:v>План</c:v>
                </c:pt>
              </c:strCache>
            </c:strRef>
          </c:tx>
          <c:dLbls>
            <c:dLbl>
              <c:idx val="0"/>
              <c:layout>
                <c:manualLayout>
                  <c:x val="-6.1111111111111123E-2"/>
                  <c:y val="-3.70370370370370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DD-4FD7-A8D1-627FF38177D1}"/>
                </c:ext>
              </c:extLst>
            </c:dLbl>
            <c:dLbl>
              <c:idx val="1"/>
              <c:layout>
                <c:manualLayout>
                  <c:x val="-8.3333333333333343E-2"/>
                  <c:y val="-8.3333333333333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DD-4FD7-A8D1-627FF38177D1}"/>
                </c:ext>
              </c:extLst>
            </c:dLbl>
            <c:dLbl>
              <c:idx val="2"/>
              <c:layout>
                <c:manualLayout>
                  <c:x val="-5.5555555555555455E-2"/>
                  <c:y val="-3.24074074074080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DD-4FD7-A8D1-627FF38177D1}"/>
                </c:ext>
              </c:extLst>
            </c:dLbl>
            <c:dLbl>
              <c:idx val="3"/>
              <c:layout>
                <c:manualLayout>
                  <c:x val="-4.166666666666666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DD-4FD7-A8D1-627FF38177D1}"/>
                </c:ext>
              </c:extLst>
            </c:dLbl>
            <c:dLbl>
              <c:idx val="4"/>
              <c:layout>
                <c:manualLayout>
                  <c:x val="-5.833333333333441E-2"/>
                  <c:y val="-4.6296660834062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DD-4FD7-A8D1-627FF38177D1}"/>
                </c:ext>
              </c:extLst>
            </c:dLbl>
            <c:dLbl>
              <c:idx val="5"/>
              <c:layout>
                <c:manualLayout>
                  <c:x val="-3.8889107611548616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DD-4FD7-A8D1-627FF38177D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'[БюджетБарда.xlsx]Общие вопросы'!$A$2:$A$7</c:f>
              <c:strCache>
                <c:ptCount val="6"/>
                <c:pt idx="0">
                  <c:v>2011 год</c:v>
                </c:pt>
                <c:pt idx="1">
                  <c:v>2012 год</c:v>
                </c:pt>
                <c:pt idx="2">
                  <c:v>2013 год</c:v>
                </c:pt>
                <c:pt idx="3">
                  <c:v>2014 год</c:v>
                </c:pt>
                <c:pt idx="4">
                  <c:v>2015 год</c:v>
                </c:pt>
                <c:pt idx="5">
                  <c:v>2016 год</c:v>
                </c:pt>
              </c:strCache>
            </c:strRef>
          </c:cat>
          <c:val>
            <c:numRef>
              <c:f>'[БюджетБарда.xlsx]Общие вопросы'!$B$2:$B$7</c:f>
              <c:numCache>
                <c:formatCode>General</c:formatCode>
                <c:ptCount val="6"/>
                <c:pt idx="0">
                  <c:v>68196.2</c:v>
                </c:pt>
                <c:pt idx="1">
                  <c:v>43095.4</c:v>
                </c:pt>
                <c:pt idx="2">
                  <c:v>71748</c:v>
                </c:pt>
                <c:pt idx="3">
                  <c:v>46605</c:v>
                </c:pt>
                <c:pt idx="4">
                  <c:v>49587.5</c:v>
                </c:pt>
                <c:pt idx="5">
                  <c:v>46427</c:v>
                </c:pt>
              </c:numCache>
            </c:numRef>
          </c:val>
          <c:extLst xmlns:c16r2="http://schemas.microsoft.com/office/drawing/2015/06/chart">
            <c:ext xmlns:c16="http://schemas.microsoft.com/office/drawing/2014/chart" uri="{C3380CC4-5D6E-409C-BE32-E72D297353CC}">
              <c16:uniqueId val="{00000006-D2DD-4FD7-A8D1-627FF38177D1}"/>
            </c:ext>
          </c:extLst>
        </c:ser>
        <c:ser>
          <c:idx val="1"/>
          <c:order val="1"/>
          <c:tx>
            <c:strRef>
              <c:f>'[БюджетБарда.xlsx]Общие вопросы'!$C$1</c:f>
              <c:strCache>
                <c:ptCount val="1"/>
                <c:pt idx="0">
                  <c:v>Факт</c:v>
                </c:pt>
              </c:strCache>
            </c:strRef>
          </c:tx>
          <c:dLbls>
            <c:dLbl>
              <c:idx val="0"/>
              <c:layout>
                <c:manualLayout>
                  <c:x val="-6.1111111111111123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DD-4FD7-A8D1-627FF38177D1}"/>
                </c:ext>
              </c:extLst>
            </c:dLbl>
            <c:dLbl>
              <c:idx val="1"/>
              <c:layout>
                <c:manualLayout>
                  <c:x val="-5.833333333333441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DD-4FD7-A8D1-627FF38177D1}"/>
                </c:ext>
              </c:extLst>
            </c:dLbl>
            <c:dLbl>
              <c:idx val="2"/>
              <c:layout>
                <c:manualLayout>
                  <c:x val="-5.2777777777777792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DD-4FD7-A8D1-627FF38177D1}"/>
                </c:ext>
              </c:extLst>
            </c:dLbl>
            <c:dLbl>
              <c:idx val="3"/>
              <c:layout>
                <c:manualLayout>
                  <c:x val="-5.2777777777777792E-2"/>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DD-4FD7-A8D1-627FF38177D1}"/>
                </c:ext>
              </c:extLst>
            </c:dLbl>
            <c:dLbl>
              <c:idx val="4"/>
              <c:layout>
                <c:manualLayout>
                  <c:x val="-6.1111111111111123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DD-4FD7-A8D1-627FF38177D1}"/>
                </c:ext>
              </c:extLst>
            </c:dLbl>
            <c:dLbl>
              <c:idx val="5"/>
              <c:layout>
                <c:manualLayout>
                  <c:x val="-3.3333552055993004E-2"/>
                  <c:y val="6.48148148148163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DD-4FD7-A8D1-627FF38177D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'[БюджетБарда.xlsx]Общие вопросы'!$A$2:$A$7</c:f>
              <c:strCache>
                <c:ptCount val="6"/>
                <c:pt idx="0">
                  <c:v>2011 год</c:v>
                </c:pt>
                <c:pt idx="1">
                  <c:v>2012 год</c:v>
                </c:pt>
                <c:pt idx="2">
                  <c:v>2013 год</c:v>
                </c:pt>
                <c:pt idx="3">
                  <c:v>2014 год</c:v>
                </c:pt>
                <c:pt idx="4">
                  <c:v>2015 год</c:v>
                </c:pt>
                <c:pt idx="5">
                  <c:v>2016 год</c:v>
                </c:pt>
              </c:strCache>
            </c:strRef>
          </c:cat>
          <c:val>
            <c:numRef>
              <c:f>'[БюджетБарда.xlsx]Общие вопросы'!$C$2:$C$7</c:f>
              <c:numCache>
                <c:formatCode>General</c:formatCode>
                <c:ptCount val="6"/>
                <c:pt idx="0">
                  <c:v>34555.599999999999</c:v>
                </c:pt>
                <c:pt idx="1">
                  <c:v>39042.300000000003</c:v>
                </c:pt>
                <c:pt idx="2">
                  <c:v>54405.599999999999</c:v>
                </c:pt>
                <c:pt idx="3">
                  <c:v>44707.4</c:v>
                </c:pt>
                <c:pt idx="4">
                  <c:v>48772.1</c:v>
                </c:pt>
                <c:pt idx="5">
                  <c:v>44905</c:v>
                </c:pt>
              </c:numCache>
            </c:numRef>
          </c:val>
          <c:extLst xmlns:c16r2="http://schemas.microsoft.com/office/drawing/2015/06/chart">
            <c:ext xmlns:c16="http://schemas.microsoft.com/office/drawing/2014/chart" uri="{C3380CC4-5D6E-409C-BE32-E72D297353CC}">
              <c16:uniqueId val="{0000000D-D2DD-4FD7-A8D1-627FF38177D1}"/>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90461824"/>
        <c:axId val="190463360"/>
      </c:lineChart>
      <c:catAx>
        <c:axId val="190461824"/>
        <c:scaling>
          <c:orientation val="minMax"/>
        </c:scaling>
        <c:axPos val="b"/>
        <c:numFmt formatCode="General" sourceLinked="0"/>
        <c:tickLblPos val="nextTo"/>
        <c:crossAx val="190463360"/>
        <c:crosses val="autoZero"/>
        <c:auto val="1"/>
        <c:lblAlgn val="ctr"/>
        <c:lblOffset val="100"/>
      </c:catAx>
      <c:valAx>
        <c:axId val="190463360"/>
        <c:scaling>
          <c:orientation val="minMax"/>
        </c:scaling>
        <c:axPos val="l"/>
        <c:majorGridlines>
          <c:spPr>
            <a:ln w="0">
              <a:solidFill>
                <a:schemeClr val="bg1"/>
              </a:solidFill>
            </a:ln>
          </c:spPr>
        </c:majorGridlines>
        <c:numFmt formatCode="General" sourceLinked="1"/>
        <c:tickLblPos val="nextTo"/>
        <c:crossAx val="190461824"/>
        <c:crosses val="autoZero"/>
        <c:crossBetween val="between"/>
      </c:valAx>
    </c:plotArea>
    <c:legend>
      <c:legendPos val="b"/>
    </c:legend>
    <c:plotVisOnly val="1"/>
    <c:dispBlanksAs val="gap"/>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'[БюджетБарда.xlsx]Социальная политика'!$B$1</c:f>
              <c:strCache>
                <c:ptCount val="1"/>
                <c:pt idx="0">
                  <c:v>План</c:v>
                </c:pt>
              </c:strCache>
            </c:strRef>
          </c:tx>
          <c:dLbls>
            <c:dLbl>
              <c:idx val="0"/>
              <c:layout>
                <c:manualLayout>
                  <c:x val="-5.4595844775683515E-2"/>
                  <c:y val="-4.56155442892646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DC-4A88-9F26-BAB3F1C9B3AE}"/>
                </c:ext>
              </c:extLst>
            </c:dLbl>
            <c:dLbl>
              <c:idx val="1"/>
              <c:layout>
                <c:manualLayout>
                  <c:x val="-5.8941423057622483E-2"/>
                  <c:y val="-2.4646043355131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DC-4A88-9F26-BAB3F1C9B3AE}"/>
                </c:ext>
              </c:extLst>
            </c:dLbl>
            <c:dLbl>
              <c:idx val="2"/>
              <c:layout>
                <c:manualLayout>
                  <c:x val="-5.7492896963644187E-2"/>
                  <c:y val="-3.99419458541072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DC-4A88-9F26-BAB3F1C9B3AE}"/>
                </c:ext>
              </c:extLst>
            </c:dLbl>
            <c:dLbl>
              <c:idx val="3"/>
              <c:layout>
                <c:manualLayout>
                  <c:x val="-4.2513048209572225E-2"/>
                  <c:y val="-5.16523939217069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DC-4A88-9F26-BAB3F1C9B3AE}"/>
                </c:ext>
              </c:extLst>
            </c:dLbl>
            <c:dLbl>
              <c:idx val="4"/>
              <c:layout>
                <c:manualLayout>
                  <c:x val="-6.0026371993282902E-2"/>
                  <c:y val="-4.60239266959083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DC-4A88-9F26-BAB3F1C9B3AE}"/>
                </c:ext>
              </c:extLst>
            </c:dLbl>
            <c:dLbl>
              <c:idx val="5"/>
              <c:layout>
                <c:manualLayout>
                  <c:x val="-4.9642377050114032E-2"/>
                  <c:y val="-3.6356216232430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DC-4A88-9F26-BAB3F1C9B3A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'[БюджетБарда.xlsx]Социальная политика'!$A$2:$A$7</c:f>
              <c:strCache>
                <c:ptCount val="6"/>
                <c:pt idx="0">
                  <c:v>2011 год</c:v>
                </c:pt>
                <c:pt idx="1">
                  <c:v>2012 год</c:v>
                </c:pt>
                <c:pt idx="2">
                  <c:v>2013 год</c:v>
                </c:pt>
                <c:pt idx="3">
                  <c:v>2014 год</c:v>
                </c:pt>
                <c:pt idx="4">
                  <c:v>2015 год</c:v>
                </c:pt>
                <c:pt idx="5">
                  <c:v>2016 год</c:v>
                </c:pt>
              </c:strCache>
            </c:strRef>
          </c:cat>
          <c:val>
            <c:numRef>
              <c:f>'[БюджетБарда.xlsx]Социальная политика'!$B$2:$B$7</c:f>
              <c:numCache>
                <c:formatCode>General</c:formatCode>
                <c:ptCount val="6"/>
                <c:pt idx="0">
                  <c:v>157709.29999999999</c:v>
                </c:pt>
                <c:pt idx="1">
                  <c:v>207296.1</c:v>
                </c:pt>
                <c:pt idx="2">
                  <c:v>172551.8</c:v>
                </c:pt>
                <c:pt idx="3">
                  <c:v>51642.8</c:v>
                </c:pt>
                <c:pt idx="4">
                  <c:v>46603.199999999997</c:v>
                </c:pt>
                <c:pt idx="5">
                  <c:v>50860</c:v>
                </c:pt>
              </c:numCache>
            </c:numRef>
          </c:val>
          <c:extLst xmlns:c16r2="http://schemas.microsoft.com/office/drawing/2015/06/chart">
            <c:ext xmlns:c16="http://schemas.microsoft.com/office/drawing/2014/chart" uri="{C3380CC4-5D6E-409C-BE32-E72D297353CC}">
              <c16:uniqueId val="{00000006-B3DC-4A88-9F26-BAB3F1C9B3AE}"/>
            </c:ext>
          </c:extLst>
        </c:ser>
        <c:ser>
          <c:idx val="1"/>
          <c:order val="1"/>
          <c:tx>
            <c:strRef>
              <c:f>'[БюджетБарда.xlsx]Социальная политика'!$C$1</c:f>
              <c:strCache>
                <c:ptCount val="1"/>
                <c:pt idx="0">
                  <c:v>Факт</c:v>
                </c:pt>
              </c:strCache>
            </c:strRef>
          </c:tx>
          <c:dLbls>
            <c:dLbl>
              <c:idx val="0"/>
              <c:layout>
                <c:manualLayout>
                  <c:x val="-4.8432199997795522E-2"/>
                  <c:y val="3.1908040207504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DC-4A88-9F26-BAB3F1C9B3AE}"/>
                </c:ext>
              </c:extLst>
            </c:dLbl>
            <c:dLbl>
              <c:idx val="1"/>
              <c:layout>
                <c:manualLayout>
                  <c:x val="-5.7129319805323583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3DC-4A88-9F26-BAB3F1C9B3AE}"/>
                </c:ext>
              </c:extLst>
            </c:dLbl>
            <c:dLbl>
              <c:idx val="2"/>
              <c:layout>
                <c:manualLayout>
                  <c:x val="-7.7181720453619013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DC-4A88-9F26-BAB3F1C9B3AE}"/>
                </c:ext>
              </c:extLst>
            </c:dLbl>
            <c:dLbl>
              <c:idx val="3"/>
              <c:layout>
                <c:manualLayout>
                  <c:x val="-5.3987774627699339E-2"/>
                  <c:y val="4.23927906745721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3DC-4A88-9F26-BAB3F1C9B3AE}"/>
                </c:ext>
              </c:extLst>
            </c:dLbl>
            <c:dLbl>
              <c:idx val="4"/>
              <c:layout>
                <c:manualLayout>
                  <c:x val="-4.1666666666666664E-2"/>
                  <c:y val="6.48148148148165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DC-4A88-9F26-BAB3F1C9B3AE}"/>
                </c:ext>
              </c:extLst>
            </c:dLbl>
            <c:dLbl>
              <c:idx val="5"/>
              <c:layout>
                <c:manualLayout>
                  <c:x val="-4.2513048209572225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3DC-4A88-9F26-BAB3F1C9B3A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'[БюджетБарда.xlsx]Социальная политика'!$A$2:$A$7</c:f>
              <c:strCache>
                <c:ptCount val="6"/>
                <c:pt idx="0">
                  <c:v>2011 год</c:v>
                </c:pt>
                <c:pt idx="1">
                  <c:v>2012 год</c:v>
                </c:pt>
                <c:pt idx="2">
                  <c:v>2013 год</c:v>
                </c:pt>
                <c:pt idx="3">
                  <c:v>2014 год</c:v>
                </c:pt>
                <c:pt idx="4">
                  <c:v>2015 год</c:v>
                </c:pt>
                <c:pt idx="5">
                  <c:v>2016 год</c:v>
                </c:pt>
              </c:strCache>
            </c:strRef>
          </c:cat>
          <c:val>
            <c:numRef>
              <c:f>'[БюджетБарда.xlsx]Социальная политика'!$C$2:$C$7</c:f>
              <c:numCache>
                <c:formatCode>General</c:formatCode>
                <c:ptCount val="6"/>
                <c:pt idx="0">
                  <c:v>106744</c:v>
                </c:pt>
                <c:pt idx="1">
                  <c:v>182034.9</c:v>
                </c:pt>
                <c:pt idx="2">
                  <c:v>154988.70000000001</c:v>
                </c:pt>
                <c:pt idx="3">
                  <c:v>37381.300000000003</c:v>
                </c:pt>
                <c:pt idx="4">
                  <c:v>45010.2</c:v>
                </c:pt>
                <c:pt idx="5">
                  <c:v>50555.6</c:v>
                </c:pt>
              </c:numCache>
            </c:numRef>
          </c:val>
          <c:extLst xmlns:c16r2="http://schemas.microsoft.com/office/drawing/2015/06/chart">
            <c:ext xmlns:c16="http://schemas.microsoft.com/office/drawing/2014/chart" uri="{C3380CC4-5D6E-409C-BE32-E72D297353CC}">
              <c16:uniqueId val="{0000000D-B3DC-4A88-9F26-BAB3F1C9B3AE}"/>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90518400"/>
        <c:axId val="190519936"/>
      </c:lineChart>
      <c:catAx>
        <c:axId val="190518400"/>
        <c:scaling>
          <c:orientation val="minMax"/>
        </c:scaling>
        <c:axPos val="b"/>
        <c:numFmt formatCode="General" sourceLinked="0"/>
        <c:tickLblPos val="nextTo"/>
        <c:crossAx val="190519936"/>
        <c:crosses val="autoZero"/>
        <c:auto val="1"/>
        <c:lblAlgn val="ctr"/>
        <c:lblOffset val="100"/>
      </c:catAx>
      <c:valAx>
        <c:axId val="190519936"/>
        <c:scaling>
          <c:orientation val="minMax"/>
        </c:scaling>
        <c:axPos val="l"/>
        <c:majorGridlines>
          <c:spPr>
            <a:ln w="0">
              <a:solidFill>
                <a:schemeClr val="bg1"/>
              </a:solidFill>
            </a:ln>
          </c:spPr>
        </c:majorGridlines>
        <c:numFmt formatCode="General" sourceLinked="1"/>
        <c:tickLblPos val="nextTo"/>
        <c:crossAx val="190518400"/>
        <c:crosses val="autoZero"/>
        <c:crossBetween val="between"/>
      </c:valAx>
      <c:spPr>
        <a:ln>
          <a:noFill/>
        </a:ln>
      </c:spPr>
    </c:plotArea>
    <c:legend>
      <c:legendPos val="b"/>
    </c:legend>
    <c:plotVisOnly val="1"/>
    <c:dispBlanksAs val="gap"/>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673840769903771"/>
          <c:y val="5.1400554097404488E-2"/>
          <c:w val="0.84270603674541622"/>
          <c:h val="0.68673009623797165"/>
        </c:manualLayout>
      </c:layout>
      <c:lineChart>
        <c:grouping val="standard"/>
        <c:ser>
          <c:idx val="0"/>
          <c:order val="0"/>
          <c:tx>
            <c:strRef>
              <c:f>'[БюджетБарда.xlsx]Спорт и ФК'!$B$1</c:f>
              <c:strCache>
                <c:ptCount val="1"/>
                <c:pt idx="0">
                  <c:v>План</c:v>
                </c:pt>
              </c:strCache>
            </c:strRef>
          </c:tx>
          <c:dLbls>
            <c:dLbl>
              <c:idx val="0"/>
              <c:layout>
                <c:manualLayout>
                  <c:x val="-6.1922596754057403E-2"/>
                  <c:y val="-4.1666709694075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71-450B-80BE-8894974357D5}"/>
                </c:ext>
              </c:extLst>
            </c:dLbl>
            <c:dLbl>
              <c:idx val="1"/>
              <c:layout>
                <c:manualLayout>
                  <c:x val="-5.277777777777779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71-450B-80BE-8894974357D5}"/>
                </c:ext>
              </c:extLst>
            </c:dLbl>
            <c:dLbl>
              <c:idx val="2"/>
              <c:layout>
                <c:manualLayout>
                  <c:x val="-6.5792759051187449E-2"/>
                  <c:y val="-5.0409879092982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71-450B-80BE-8894974357D5}"/>
                </c:ext>
              </c:extLst>
            </c:dLbl>
            <c:dLbl>
              <c:idx val="3"/>
              <c:layout>
                <c:manualLayout>
                  <c:x val="-5.6647890923746912E-2"/>
                  <c:y val="-4.1666709694075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71-450B-80BE-8894974357D5}"/>
                </c:ext>
              </c:extLst>
            </c:dLbl>
            <c:dLbl>
              <c:idx val="4"/>
              <c:layout>
                <c:manualLayout>
                  <c:x val="-6.6635406529240021E-2"/>
                  <c:y val="-3.70218148960888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71-450B-80BE-8894974357D5}"/>
                </c:ext>
              </c:extLst>
            </c:dLbl>
            <c:dLbl>
              <c:idx val="5"/>
              <c:layout>
                <c:manualLayout>
                  <c:x val="-4.722222222222233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71-450B-80BE-8894974357D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'[БюджетБарда.xlsx]Спорт и ФК'!$A$2:$A$7</c:f>
              <c:strCache>
                <c:ptCount val="6"/>
                <c:pt idx="0">
                  <c:v>2011 год</c:v>
                </c:pt>
                <c:pt idx="1">
                  <c:v>2012 год</c:v>
                </c:pt>
                <c:pt idx="2">
                  <c:v>2013 год</c:v>
                </c:pt>
                <c:pt idx="3">
                  <c:v>2014 год</c:v>
                </c:pt>
                <c:pt idx="4">
                  <c:v>2015 год</c:v>
                </c:pt>
                <c:pt idx="5">
                  <c:v>2016 год</c:v>
                </c:pt>
              </c:strCache>
            </c:strRef>
          </c:cat>
          <c:val>
            <c:numRef>
              <c:f>'[БюджетБарда.xlsx]Спорт и ФК'!$B$2:$B$7</c:f>
              <c:numCache>
                <c:formatCode>General</c:formatCode>
                <c:ptCount val="6"/>
                <c:pt idx="0">
                  <c:v>59972.6</c:v>
                </c:pt>
                <c:pt idx="1">
                  <c:v>47622.400000000001</c:v>
                </c:pt>
                <c:pt idx="2">
                  <c:v>36830.1</c:v>
                </c:pt>
                <c:pt idx="3">
                  <c:v>24482</c:v>
                </c:pt>
                <c:pt idx="4">
                  <c:v>17873.900000000001</c:v>
                </c:pt>
                <c:pt idx="5">
                  <c:v>29092.6</c:v>
                </c:pt>
              </c:numCache>
            </c:numRef>
          </c:val>
          <c:extLst xmlns:c16r2="http://schemas.microsoft.com/office/drawing/2015/06/chart">
            <c:ext xmlns:c16="http://schemas.microsoft.com/office/drawing/2014/chart" uri="{C3380CC4-5D6E-409C-BE32-E72D297353CC}">
              <c16:uniqueId val="{00000006-6A71-450B-80BE-8894974357D5}"/>
            </c:ext>
          </c:extLst>
        </c:ser>
        <c:ser>
          <c:idx val="1"/>
          <c:order val="1"/>
          <c:tx>
            <c:strRef>
              <c:f>'[БюджетБарда.xlsx]Спорт и ФК'!$C$1</c:f>
              <c:strCache>
                <c:ptCount val="1"/>
                <c:pt idx="0">
                  <c:v>Факт</c:v>
                </c:pt>
              </c:strCache>
            </c:strRef>
          </c:tx>
          <c:dLbls>
            <c:dLbl>
              <c:idx val="0"/>
              <c:layout>
                <c:manualLayout>
                  <c:x val="-5.2216029176129004E-2"/>
                  <c:y val="5.45081536939030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71-450B-80BE-8894974357D5}"/>
                </c:ext>
              </c:extLst>
            </c:dLbl>
            <c:dLbl>
              <c:idx val="1"/>
              <c:layout>
                <c:manualLayout>
                  <c:x val="-5.524354399520285E-2"/>
                  <c:y val="3.70218148960888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A71-450B-80BE-8894974357D5}"/>
                </c:ext>
              </c:extLst>
            </c:dLbl>
            <c:dLbl>
              <c:idx val="2"/>
              <c:layout>
                <c:manualLayout>
                  <c:x val="-6.1360700698929502E-2"/>
                  <c:y val="5.3218019878662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71-450B-80BE-8894974357D5}"/>
                </c:ext>
              </c:extLst>
            </c:dLbl>
            <c:dLbl>
              <c:idx val="3"/>
              <c:layout>
                <c:manualLayout>
                  <c:x val="-5.5805243445692883E-2"/>
                  <c:y val="4.49908351619981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A71-450B-80BE-8894974357D5}"/>
                </c:ext>
              </c:extLst>
            </c:dLbl>
            <c:dLbl>
              <c:idx val="4"/>
              <c:layout>
                <c:manualLayout>
                  <c:x val="-5.4151012022373622E-2"/>
                  <c:y val="4.88464351792091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A71-450B-80BE-8894974357D5}"/>
                </c:ext>
              </c:extLst>
            </c:dLbl>
            <c:dLbl>
              <c:idx val="5"/>
              <c:layout>
                <c:manualLayout>
                  <c:x val="-4.4163496416881512E-2"/>
                  <c:y val="4.13933995955424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A71-450B-80BE-8894974357D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'[БюджетБарда.xlsx]Спорт и ФК'!$A$2:$A$7</c:f>
              <c:strCache>
                <c:ptCount val="6"/>
                <c:pt idx="0">
                  <c:v>2011 год</c:v>
                </c:pt>
                <c:pt idx="1">
                  <c:v>2012 год</c:v>
                </c:pt>
                <c:pt idx="2">
                  <c:v>2013 год</c:v>
                </c:pt>
                <c:pt idx="3">
                  <c:v>2014 год</c:v>
                </c:pt>
                <c:pt idx="4">
                  <c:v>2015 год</c:v>
                </c:pt>
                <c:pt idx="5">
                  <c:v>2016 год</c:v>
                </c:pt>
              </c:strCache>
            </c:strRef>
          </c:cat>
          <c:val>
            <c:numRef>
              <c:f>'[БюджетБарда.xlsx]Спорт и ФК'!$C$2:$C$7</c:f>
              <c:numCache>
                <c:formatCode>General</c:formatCode>
                <c:ptCount val="6"/>
                <c:pt idx="0">
                  <c:v>20701.2</c:v>
                </c:pt>
                <c:pt idx="1">
                  <c:v>29654.7</c:v>
                </c:pt>
                <c:pt idx="2">
                  <c:v>28695.8</c:v>
                </c:pt>
                <c:pt idx="3">
                  <c:v>15688.4</c:v>
                </c:pt>
                <c:pt idx="4">
                  <c:v>12449.7</c:v>
                </c:pt>
                <c:pt idx="5">
                  <c:v>25641</c:v>
                </c:pt>
              </c:numCache>
            </c:numRef>
          </c:val>
          <c:extLst xmlns:c16r2="http://schemas.microsoft.com/office/drawing/2015/06/chart">
            <c:ext xmlns:c16="http://schemas.microsoft.com/office/drawing/2014/chart" uri="{C3380CC4-5D6E-409C-BE32-E72D297353CC}">
              <c16:uniqueId val="{0000000D-6A71-450B-80BE-8894974357D5}"/>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90628224"/>
        <c:axId val="190629760"/>
      </c:lineChart>
      <c:catAx>
        <c:axId val="190628224"/>
        <c:scaling>
          <c:orientation val="minMax"/>
        </c:scaling>
        <c:axPos val="b"/>
        <c:numFmt formatCode="General" sourceLinked="0"/>
        <c:tickLblPos val="nextTo"/>
        <c:crossAx val="190629760"/>
        <c:crosses val="autoZero"/>
        <c:auto val="1"/>
        <c:lblAlgn val="ctr"/>
        <c:lblOffset val="100"/>
      </c:catAx>
      <c:valAx>
        <c:axId val="190629760"/>
        <c:scaling>
          <c:orientation val="minMax"/>
        </c:scaling>
        <c:axPos val="l"/>
        <c:majorGridlines>
          <c:spPr>
            <a:ln w="0">
              <a:solidFill>
                <a:schemeClr val="bg1"/>
              </a:solidFill>
            </a:ln>
          </c:spPr>
        </c:majorGridlines>
        <c:numFmt formatCode="General" sourceLinked="1"/>
        <c:tickLblPos val="nextTo"/>
        <c:crossAx val="190628224"/>
        <c:crosses val="autoZero"/>
        <c:crossBetween val="between"/>
      </c:valAx>
    </c:plotArea>
    <c:legend>
      <c:legendPos val="b"/>
    </c:legend>
    <c:plotVisOnly val="1"/>
    <c:dispBlanksAs val="gap"/>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65507436570428"/>
          <c:y val="4.5025840842059676E-2"/>
          <c:w val="0.85678937007874933"/>
          <c:h val="0.67680293963255522"/>
        </c:manualLayout>
      </c:layout>
      <c:lineChart>
        <c:grouping val="standard"/>
        <c:ser>
          <c:idx val="0"/>
          <c:order val="0"/>
          <c:tx>
            <c:strRef>
              <c:f>СМИ!$B$1</c:f>
              <c:strCache>
                <c:ptCount val="1"/>
                <c:pt idx="0">
                  <c:v>План</c:v>
                </c:pt>
              </c:strCache>
            </c:strRef>
          </c:tx>
          <c:dLbls>
            <c:dLbl>
              <c:idx val="0"/>
              <c:layout>
                <c:manualLayout>
                  <c:x val="-3.3333333333333312E-2"/>
                  <c:y val="5.0632911392405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D1-43CB-AF63-F64998955DA5}"/>
                </c:ext>
              </c:extLst>
            </c:dLbl>
            <c:dLbl>
              <c:idx val="1"/>
              <c:layout>
                <c:manualLayout>
                  <c:x val="-6.666666666666668E-2"/>
                  <c:y val="-5.90717299578071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D1-43CB-AF63-F64998955DA5}"/>
                </c:ext>
              </c:extLst>
            </c:dLbl>
            <c:dLbl>
              <c:idx val="2"/>
              <c:layout>
                <c:manualLayout>
                  <c:x val="-0.05"/>
                  <c:y val="5.4852320675105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BD1-43CB-AF63-F64998955DA5}"/>
                </c:ext>
              </c:extLst>
            </c:dLbl>
            <c:dLbl>
              <c:idx val="3"/>
              <c:layout>
                <c:manualLayout>
                  <c:x val="-4.7619047619047623E-2"/>
                  <c:y val="4.6413502109704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D1-43CB-AF63-F64998955DA5}"/>
                </c:ext>
              </c:extLst>
            </c:dLbl>
            <c:dLbl>
              <c:idx val="4"/>
              <c:layout>
                <c:manualLayout>
                  <c:x val="-4.0476190476190478E-2"/>
                  <c:y val="-3.37552742616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BD1-43CB-AF63-F64998955DA5}"/>
                </c:ext>
              </c:extLst>
            </c:dLbl>
            <c:dLbl>
              <c:idx val="5"/>
              <c:layout>
                <c:manualLayout>
                  <c:x val="-4.0476190476190478E-2"/>
                  <c:y val="3.79746835443038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D1-43CB-AF63-F64998955DA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СМИ!$A$2:$A$7</c:f>
              <c:strCache>
                <c:ptCount val="6"/>
                <c:pt idx="0">
                  <c:v>2011 год</c:v>
                </c:pt>
                <c:pt idx="1">
                  <c:v>2012 год</c:v>
                </c:pt>
                <c:pt idx="2">
                  <c:v>2013 год</c:v>
                </c:pt>
                <c:pt idx="3">
                  <c:v>2014 год</c:v>
                </c:pt>
                <c:pt idx="4">
                  <c:v>2015 год</c:v>
                </c:pt>
                <c:pt idx="5">
                  <c:v>2016 год</c:v>
                </c:pt>
              </c:strCache>
            </c:strRef>
          </c:cat>
          <c:val>
            <c:numRef>
              <c:f>СМИ!$B$2:$B$7</c:f>
              <c:numCache>
                <c:formatCode>General</c:formatCode>
                <c:ptCount val="6"/>
                <c:pt idx="0">
                  <c:v>5216.4000000000005</c:v>
                </c:pt>
                <c:pt idx="1">
                  <c:v>6793.3</c:v>
                </c:pt>
                <c:pt idx="2">
                  <c:v>8536.9</c:v>
                </c:pt>
                <c:pt idx="3">
                  <c:v>7949.8</c:v>
                </c:pt>
                <c:pt idx="4">
                  <c:v>7852.6</c:v>
                </c:pt>
                <c:pt idx="5">
                  <c:v>7725.1</c:v>
                </c:pt>
              </c:numCache>
            </c:numRef>
          </c:val>
          <c:extLst xmlns:c16r2="http://schemas.microsoft.com/office/drawing/2015/06/chart">
            <c:ext xmlns:c16="http://schemas.microsoft.com/office/drawing/2014/chart" uri="{C3380CC4-5D6E-409C-BE32-E72D297353CC}">
              <c16:uniqueId val="{00000006-7BD1-43CB-AF63-F64998955DA5}"/>
            </c:ext>
          </c:extLst>
        </c:ser>
        <c:ser>
          <c:idx val="1"/>
          <c:order val="1"/>
          <c:tx>
            <c:strRef>
              <c:f>СМИ!$C$1</c:f>
              <c:strCache>
                <c:ptCount val="1"/>
                <c:pt idx="0">
                  <c:v>Факт</c:v>
                </c:pt>
              </c:strCache>
            </c:strRef>
          </c:tx>
          <c:dLbls>
            <c:dLbl>
              <c:idx val="0"/>
              <c:layout>
                <c:manualLayout>
                  <c:x val="-5.7142857142857106E-2"/>
                  <c:y val="-5.4852320675105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D1-43CB-AF63-F64998955DA5}"/>
                </c:ext>
              </c:extLst>
            </c:dLbl>
            <c:dLbl>
              <c:idx val="1"/>
              <c:layout>
                <c:manualLayout>
                  <c:x val="-4.7619047619047623E-2"/>
                  <c:y val="7.17299578059071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BD1-43CB-AF63-F64998955DA5}"/>
                </c:ext>
              </c:extLst>
            </c:dLbl>
            <c:dLbl>
              <c:idx val="2"/>
              <c:layout>
                <c:manualLayout>
                  <c:x val="-5.7142857142857141E-2"/>
                  <c:y val="-3.37552742616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D1-43CB-AF63-F64998955DA5}"/>
                </c:ext>
              </c:extLst>
            </c:dLbl>
            <c:dLbl>
              <c:idx val="3"/>
              <c:layout>
                <c:manualLayout>
                  <c:x val="-3.0952380952380953E-2"/>
                  <c:y val="-6.3291139240506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BD1-43CB-AF63-F64998955DA5}"/>
                </c:ext>
              </c:extLst>
            </c:dLbl>
            <c:dLbl>
              <c:idx val="4"/>
              <c:layout>
                <c:manualLayout>
                  <c:x val="-4.2857142857142913E-2"/>
                  <c:y val="6.3291139240506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BD1-43CB-AF63-F64998955DA5}"/>
                </c:ext>
              </c:extLst>
            </c:dLbl>
            <c:dLbl>
              <c:idx val="5"/>
              <c:layout>
                <c:manualLayout>
                  <c:x val="-2.8571428571428591E-2"/>
                  <c:y val="-4.6413502109704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BD1-43CB-AF63-F64998955DA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СМИ!$A$2:$A$7</c:f>
              <c:strCache>
                <c:ptCount val="6"/>
                <c:pt idx="0">
                  <c:v>2011 год</c:v>
                </c:pt>
                <c:pt idx="1">
                  <c:v>2012 год</c:v>
                </c:pt>
                <c:pt idx="2">
                  <c:v>2013 год</c:v>
                </c:pt>
                <c:pt idx="3">
                  <c:v>2014 год</c:v>
                </c:pt>
                <c:pt idx="4">
                  <c:v>2015 год</c:v>
                </c:pt>
                <c:pt idx="5">
                  <c:v>2016 год</c:v>
                </c:pt>
              </c:strCache>
            </c:strRef>
          </c:cat>
          <c:val>
            <c:numRef>
              <c:f>СМИ!$C$2:$C$7</c:f>
              <c:numCache>
                <c:formatCode>General</c:formatCode>
                <c:ptCount val="6"/>
                <c:pt idx="0">
                  <c:v>5216.4000000000005</c:v>
                </c:pt>
                <c:pt idx="1">
                  <c:v>6699.3</c:v>
                </c:pt>
                <c:pt idx="2">
                  <c:v>8536.9</c:v>
                </c:pt>
                <c:pt idx="3">
                  <c:v>7949.8</c:v>
                </c:pt>
                <c:pt idx="4">
                  <c:v>7852.6</c:v>
                </c:pt>
                <c:pt idx="5">
                  <c:v>7725.1</c:v>
                </c:pt>
              </c:numCache>
            </c:numRef>
          </c:val>
          <c:extLst xmlns:c16r2="http://schemas.microsoft.com/office/drawing/2015/06/chart">
            <c:ext xmlns:c16="http://schemas.microsoft.com/office/drawing/2014/chart" uri="{C3380CC4-5D6E-409C-BE32-E72D297353CC}">
              <c16:uniqueId val="{0000000D-7BD1-43CB-AF63-F64998955DA5}"/>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solidFill>
                <a:srgbClr val="92D050"/>
              </a:solidFill>
            </c:spPr>
          </c:downBars>
        </c:upDownBars>
        <c:marker val="1"/>
        <c:axId val="190651776"/>
        <c:axId val="190678144"/>
      </c:lineChart>
      <c:catAx>
        <c:axId val="190651776"/>
        <c:scaling>
          <c:orientation val="minMax"/>
        </c:scaling>
        <c:axPos val="b"/>
        <c:numFmt formatCode="General" sourceLinked="0"/>
        <c:tickLblPos val="nextTo"/>
        <c:crossAx val="190678144"/>
        <c:crosses val="autoZero"/>
        <c:auto val="1"/>
        <c:lblAlgn val="ctr"/>
        <c:lblOffset val="100"/>
      </c:catAx>
      <c:valAx>
        <c:axId val="190678144"/>
        <c:scaling>
          <c:orientation val="minMax"/>
        </c:scaling>
        <c:axPos val="l"/>
        <c:majorGridlines>
          <c:spPr>
            <a:ln w="0">
              <a:solidFill>
                <a:schemeClr val="bg1"/>
              </a:solidFill>
            </a:ln>
          </c:spPr>
        </c:majorGridlines>
        <c:numFmt formatCode="General" sourceLinked="1"/>
        <c:tickLblPos val="nextTo"/>
        <c:crossAx val="190651776"/>
        <c:crosses val="autoZero"/>
        <c:crossBetween val="between"/>
      </c:valAx>
    </c:plotArea>
    <c:legend>
      <c:legendPos val="b"/>
    </c:legend>
    <c:plotVisOnly val="1"/>
    <c:dispBlanksAs val="gap"/>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[БюджетБарда.xlsx]Трансферты!$B$1</c:f>
              <c:strCache>
                <c:ptCount val="1"/>
                <c:pt idx="0">
                  <c:v>План</c:v>
                </c:pt>
              </c:strCache>
            </c:strRef>
          </c:tx>
          <c:dLbls>
            <c:dLbl>
              <c:idx val="0"/>
              <c:layout>
                <c:manualLayout>
                  <c:x val="-6.6274719401389626E-2"/>
                  <c:y val="4.6109510086455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67-43E1-A72A-FD8EF373E62E}"/>
                </c:ext>
              </c:extLst>
            </c:dLbl>
            <c:dLbl>
              <c:idx val="1"/>
              <c:layout>
                <c:manualLayout>
                  <c:x val="-4.166666666666666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67-43E1-A72A-FD8EF373E62E}"/>
                </c:ext>
              </c:extLst>
            </c:dLbl>
            <c:dLbl>
              <c:idx val="2"/>
              <c:layout>
                <c:manualLayout>
                  <c:x val="-4.4444444444444502E-2"/>
                  <c:y val="6.0185185185185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67-43E1-A72A-FD8EF373E62E}"/>
                </c:ext>
              </c:extLst>
            </c:dLbl>
            <c:dLbl>
              <c:idx val="3"/>
              <c:layout>
                <c:manualLayout>
                  <c:x val="-3.33333333333333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67-43E1-A72A-FD8EF373E62E}"/>
                </c:ext>
              </c:extLst>
            </c:dLbl>
            <c:dLbl>
              <c:idx val="4"/>
              <c:layout>
                <c:manualLayout>
                  <c:x val="-2.7777777777778699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67-43E1-A72A-FD8EF373E62E}"/>
                </c:ext>
              </c:extLst>
            </c:dLbl>
            <c:dLbl>
              <c:idx val="5"/>
              <c:layout>
                <c:manualLayout>
                  <c:x val="-4.8938417705803892E-2"/>
                  <c:y val="-3.8931675327327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67-43E1-A72A-FD8EF373E62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[БюджетБарда.xlsx]Трансферты!$A$2:$A$7</c:f>
              <c:strCache>
                <c:ptCount val="6"/>
                <c:pt idx="0">
                  <c:v>2011 год</c:v>
                </c:pt>
                <c:pt idx="1">
                  <c:v>2012 год</c:v>
                </c:pt>
                <c:pt idx="2">
                  <c:v>2013 год</c:v>
                </c:pt>
                <c:pt idx="3">
                  <c:v>2014 год</c:v>
                </c:pt>
                <c:pt idx="4">
                  <c:v>2015 год</c:v>
                </c:pt>
                <c:pt idx="5">
                  <c:v>2016 год</c:v>
                </c:pt>
              </c:strCache>
            </c:strRef>
          </c:cat>
          <c:val>
            <c:numRef>
              <c:f>[БюджетБарда.xlsx]Трансферты!$B$2:$B$7</c:f>
              <c:numCache>
                <c:formatCode>General</c:formatCode>
                <c:ptCount val="6"/>
                <c:pt idx="0">
                  <c:v>54069.2</c:v>
                </c:pt>
                <c:pt idx="1">
                  <c:v>80598</c:v>
                </c:pt>
                <c:pt idx="2">
                  <c:v>100899</c:v>
                </c:pt>
                <c:pt idx="3">
                  <c:v>67090.2</c:v>
                </c:pt>
                <c:pt idx="4">
                  <c:v>53751.4</c:v>
                </c:pt>
                <c:pt idx="5">
                  <c:v>52480.4</c:v>
                </c:pt>
              </c:numCache>
            </c:numRef>
          </c:val>
          <c:extLst xmlns:c16r2="http://schemas.microsoft.com/office/drawing/2015/06/chart">
            <c:ext xmlns:c16="http://schemas.microsoft.com/office/drawing/2014/chart" uri="{C3380CC4-5D6E-409C-BE32-E72D297353CC}">
              <c16:uniqueId val="{00000006-BE67-43E1-A72A-FD8EF373E62E}"/>
            </c:ext>
          </c:extLst>
        </c:ser>
        <c:ser>
          <c:idx val="1"/>
          <c:order val="1"/>
          <c:tx>
            <c:strRef>
              <c:f>[БюджетБарда.xlsx]Трансферты!$C$1</c:f>
              <c:strCache>
                <c:ptCount val="1"/>
                <c:pt idx="0">
                  <c:v>Факт</c:v>
                </c:pt>
              </c:strCache>
            </c:strRef>
          </c:tx>
          <c:dLbls>
            <c:dLbl>
              <c:idx val="0"/>
              <c:layout>
                <c:manualLayout>
                  <c:x val="-6.9444444444444503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67-43E1-A72A-FD8EF373E62E}"/>
                </c:ext>
              </c:extLst>
            </c:dLbl>
            <c:dLbl>
              <c:idx val="1"/>
              <c:layout>
                <c:manualLayout>
                  <c:x val="-5.2777777777777792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67-43E1-A72A-FD8EF373E62E}"/>
                </c:ext>
              </c:extLst>
            </c:dLbl>
            <c:dLbl>
              <c:idx val="2"/>
              <c:layout>
                <c:manualLayout>
                  <c:x val="-4.0619989310529125E-2"/>
                  <c:y val="-3.45821325648415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67-43E1-A72A-FD8EF373E62E}"/>
                </c:ext>
              </c:extLst>
            </c:dLbl>
            <c:dLbl>
              <c:idx val="3"/>
              <c:layout>
                <c:manualLayout>
                  <c:x val="-3.333333333333334E-2"/>
                  <c:y val="-9.25925925925947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67-43E1-A72A-FD8EF373E62E}"/>
                </c:ext>
              </c:extLst>
            </c:dLbl>
            <c:dLbl>
              <c:idx val="4"/>
              <c:layout>
                <c:manualLayout>
                  <c:x val="-4.1666666666666664E-2"/>
                  <c:y val="-9.25925925925947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67-43E1-A72A-FD8EF373E62E}"/>
                </c:ext>
              </c:extLst>
            </c:dLbl>
            <c:dLbl>
              <c:idx val="5"/>
              <c:layout>
                <c:manualLayout>
                  <c:x val="-4.3804609939524834E-2"/>
                  <c:y val="6.35606284084806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E67-43E1-A72A-FD8EF373E62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[БюджетБарда.xlsx]Трансферты!$A$2:$A$7</c:f>
              <c:strCache>
                <c:ptCount val="6"/>
                <c:pt idx="0">
                  <c:v>2011 год</c:v>
                </c:pt>
                <c:pt idx="1">
                  <c:v>2012 год</c:v>
                </c:pt>
                <c:pt idx="2">
                  <c:v>2013 год</c:v>
                </c:pt>
                <c:pt idx="3">
                  <c:v>2014 год</c:v>
                </c:pt>
                <c:pt idx="4">
                  <c:v>2015 год</c:v>
                </c:pt>
                <c:pt idx="5">
                  <c:v>2016 год</c:v>
                </c:pt>
              </c:strCache>
            </c:strRef>
          </c:cat>
          <c:val>
            <c:numRef>
              <c:f>[БюджетБарда.xlsx]Трансферты!$C$2:$C$7</c:f>
              <c:numCache>
                <c:formatCode>General</c:formatCode>
                <c:ptCount val="6"/>
                <c:pt idx="0">
                  <c:v>54069.2</c:v>
                </c:pt>
                <c:pt idx="1">
                  <c:v>80598</c:v>
                </c:pt>
                <c:pt idx="2">
                  <c:v>100899</c:v>
                </c:pt>
                <c:pt idx="3">
                  <c:v>67090.2</c:v>
                </c:pt>
                <c:pt idx="4">
                  <c:v>53751.4</c:v>
                </c:pt>
                <c:pt idx="5">
                  <c:v>52446.2</c:v>
                </c:pt>
              </c:numCache>
            </c:numRef>
          </c:val>
          <c:extLst xmlns:c16r2="http://schemas.microsoft.com/office/drawing/2015/06/chart">
            <c:ext xmlns:c16="http://schemas.microsoft.com/office/drawing/2014/chart" uri="{C3380CC4-5D6E-409C-BE32-E72D297353CC}">
              <c16:uniqueId val="{0000000D-BE67-43E1-A72A-FD8EF373E62E}"/>
            </c:ext>
          </c:extLst>
        </c:ser>
        <c:upDownBars>
          <c:gapWidth val="150"/>
          <c:upBars>
            <c:spPr>
              <a:gradFill>
                <a:gsLst>
                  <a:gs pos="0">
                    <a:srgbClr val="FFFF00"/>
                  </a:gs>
                  <a:gs pos="45000">
                    <a:srgbClr val="FF7A00"/>
                  </a:gs>
                  <a:gs pos="70000">
                    <a:srgbClr val="FF0300"/>
                  </a:gs>
                  <a:gs pos="100000">
                    <a:srgbClr val="4D0808"/>
                  </a:gs>
                </a:gsLst>
                <a:lin ang="5400000" scaled="0"/>
              </a:gradFill>
            </c:spPr>
          </c:upBars>
          <c:downBars/>
        </c:upDownBars>
        <c:marker val="1"/>
        <c:axId val="190720640"/>
        <c:axId val="190734720"/>
      </c:lineChart>
      <c:catAx>
        <c:axId val="190720640"/>
        <c:scaling>
          <c:orientation val="minMax"/>
        </c:scaling>
        <c:axPos val="b"/>
        <c:numFmt formatCode="General" sourceLinked="0"/>
        <c:tickLblPos val="nextTo"/>
        <c:crossAx val="190734720"/>
        <c:crosses val="autoZero"/>
        <c:auto val="1"/>
        <c:lblAlgn val="ctr"/>
        <c:lblOffset val="100"/>
      </c:catAx>
      <c:valAx>
        <c:axId val="190734720"/>
        <c:scaling>
          <c:orientation val="minMax"/>
        </c:scaling>
        <c:axPos val="l"/>
        <c:majorGridlines>
          <c:spPr>
            <a:ln w="0">
              <a:solidFill>
                <a:schemeClr val="bg1"/>
              </a:solidFill>
            </a:ln>
          </c:spPr>
        </c:majorGridlines>
        <c:numFmt formatCode="General" sourceLinked="1"/>
        <c:tickLblPos val="nextTo"/>
        <c:crossAx val="190720640"/>
        <c:crosses val="autoZero"/>
        <c:crossBetween val="between"/>
      </c:valAx>
      <c:spPr>
        <a:ln>
          <a:noFill/>
        </a:ln>
      </c:spPr>
    </c:plotArea>
    <c:legend>
      <c:legendPos val="b"/>
    </c:legend>
    <c:plotVisOnly val="1"/>
    <c:dispBlanksAs val="gap"/>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7119973249047666E-2"/>
          <c:y val="3.8218656402889399E-2"/>
          <c:w val="0.90063533514326888"/>
          <c:h val="0.52099258677002658"/>
        </c:manualLayout>
      </c:layout>
      <c:bar3DChart>
        <c:barDir val="col"/>
        <c:grouping val="stacked"/>
        <c:ser>
          <c:idx val="0"/>
          <c:order val="0"/>
          <c:tx>
            <c:strRef>
              <c:f>Доходы!$A$19</c:f>
              <c:strCache>
                <c:ptCount val="1"/>
                <c:pt idx="0">
                  <c:v>Бардымское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Доходы!$B$19:$H$19</c:f>
              <c:numCache>
                <c:formatCode>0%</c:formatCode>
                <c:ptCount val="7"/>
                <c:pt idx="0">
                  <c:v>0.21760663146433376</c:v>
                </c:pt>
                <c:pt idx="1">
                  <c:v>0.20462923274753544</c:v>
                </c:pt>
                <c:pt idx="2">
                  <c:v>0.26398158762445362</c:v>
                </c:pt>
                <c:pt idx="3">
                  <c:v>0.26272045048752379</c:v>
                </c:pt>
                <c:pt idx="4">
                  <c:v>0.32919373387382972</c:v>
                </c:pt>
                <c:pt idx="5">
                  <c:v>0.27323895662955711</c:v>
                </c:pt>
                <c:pt idx="6">
                  <c:v>0.27677695528158031</c:v>
                </c:pt>
              </c:numCache>
            </c:numRef>
          </c:val>
          <c:extLst xmlns:c16r2="http://schemas.microsoft.com/office/drawing/2015/06/chart">
            <c:ext xmlns:c16="http://schemas.microsoft.com/office/drawing/2014/chart" uri="{C3380CC4-5D6E-409C-BE32-E72D297353CC}">
              <c16:uniqueId val="{00000000-73F7-4EA4-A913-65EFB30D2043}"/>
            </c:ext>
          </c:extLst>
        </c:ser>
        <c:ser>
          <c:idx val="1"/>
          <c:order val="1"/>
          <c:tx>
            <c:strRef>
              <c:f>Доходы!$A$20</c:f>
              <c:strCache>
                <c:ptCount val="1"/>
                <c:pt idx="0">
                  <c:v>Сарашевское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Доходы!$B$20:$H$20</c:f>
              <c:numCache>
                <c:formatCode>0%</c:formatCode>
                <c:ptCount val="7"/>
                <c:pt idx="0">
                  <c:v>0.14231188020278421</c:v>
                </c:pt>
                <c:pt idx="1">
                  <c:v>0.16783028373255549</c:v>
                </c:pt>
                <c:pt idx="2">
                  <c:v>0.12315756649061042</c:v>
                </c:pt>
                <c:pt idx="3">
                  <c:v>0.16379943367958721</c:v>
                </c:pt>
                <c:pt idx="4">
                  <c:v>0.14195444196280307</c:v>
                </c:pt>
                <c:pt idx="5">
                  <c:v>0.11051029222094615</c:v>
                </c:pt>
                <c:pt idx="6">
                  <c:v>9.8426708746541525E-2</c:v>
                </c:pt>
              </c:numCache>
            </c:numRef>
          </c:val>
          <c:extLst xmlns:c16r2="http://schemas.microsoft.com/office/drawing/2015/06/chart">
            <c:ext xmlns:c16="http://schemas.microsoft.com/office/drawing/2014/chart" uri="{C3380CC4-5D6E-409C-BE32-E72D297353CC}">
              <c16:uniqueId val="{00000001-73F7-4EA4-A913-65EFB30D2043}"/>
            </c:ext>
          </c:extLst>
        </c:ser>
        <c:ser>
          <c:idx val="2"/>
          <c:order val="2"/>
          <c:tx>
            <c:strRef>
              <c:f>Доходы!$A$21</c:f>
              <c:strCache>
                <c:ptCount val="1"/>
                <c:pt idx="0">
                  <c:v>Печменское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Доходы!$B$21:$H$21</c:f>
              <c:numCache>
                <c:formatCode>0%</c:formatCode>
                <c:ptCount val="7"/>
                <c:pt idx="0">
                  <c:v>0.1177600074931815</c:v>
                </c:pt>
                <c:pt idx="1">
                  <c:v>0.1241030722385221</c:v>
                </c:pt>
                <c:pt idx="2">
                  <c:v>9.7060079411342606E-2</c:v>
                </c:pt>
                <c:pt idx="3">
                  <c:v>0.10073439133230637</c:v>
                </c:pt>
                <c:pt idx="4">
                  <c:v>0.11466202944850386</c:v>
                </c:pt>
                <c:pt idx="5">
                  <c:v>7.3504340125930281E-2</c:v>
                </c:pt>
                <c:pt idx="6">
                  <c:v>7.8948516299536864E-2</c:v>
                </c:pt>
              </c:numCache>
            </c:numRef>
          </c:val>
          <c:extLst xmlns:c16r2="http://schemas.microsoft.com/office/drawing/2015/06/chart">
            <c:ext xmlns:c16="http://schemas.microsoft.com/office/drawing/2014/chart" uri="{C3380CC4-5D6E-409C-BE32-E72D297353CC}">
              <c16:uniqueId val="{00000002-73F7-4EA4-A913-65EFB30D2043}"/>
            </c:ext>
          </c:extLst>
        </c:ser>
        <c:ser>
          <c:idx val="3"/>
          <c:order val="3"/>
          <c:tx>
            <c:strRef>
              <c:f>Доходы!$A$22</c:f>
              <c:strCache>
                <c:ptCount val="1"/>
                <c:pt idx="0">
                  <c:v>Тюндюковское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Доходы!$B$22:$H$22</c:f>
              <c:numCache>
                <c:formatCode>0%</c:formatCode>
                <c:ptCount val="7"/>
                <c:pt idx="0">
                  <c:v>6.4488180679303633E-2</c:v>
                </c:pt>
                <c:pt idx="1">
                  <c:v>6.4055532979665E-2</c:v>
                </c:pt>
                <c:pt idx="2">
                  <c:v>5.6339176085173186E-2</c:v>
                </c:pt>
                <c:pt idx="3">
                  <c:v>6.0840151796178715E-2</c:v>
                </c:pt>
                <c:pt idx="4">
                  <c:v>5.4640545941118474E-2</c:v>
                </c:pt>
                <c:pt idx="5">
                  <c:v>7.3971117792023811E-2</c:v>
                </c:pt>
                <c:pt idx="6">
                  <c:v>7.8059023011362416E-2</c:v>
                </c:pt>
              </c:numCache>
            </c:numRef>
          </c:val>
          <c:extLst xmlns:c16r2="http://schemas.microsoft.com/office/drawing/2015/06/chart">
            <c:ext xmlns:c16="http://schemas.microsoft.com/office/drawing/2014/chart" uri="{C3380CC4-5D6E-409C-BE32-E72D297353CC}">
              <c16:uniqueId val="{00000003-73F7-4EA4-A913-65EFB30D2043}"/>
            </c:ext>
          </c:extLst>
        </c:ser>
        <c:ser>
          <c:idx val="4"/>
          <c:order val="4"/>
          <c:tx>
            <c:strRef>
              <c:f>Доходы!$A$23</c:f>
              <c:strCache>
                <c:ptCount val="1"/>
                <c:pt idx="0">
                  <c:v>Березниковское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Доходы!$B$23:$H$23</c:f>
              <c:numCache>
                <c:formatCode>0%</c:formatCode>
                <c:ptCount val="7"/>
                <c:pt idx="0">
                  <c:v>7.5962112608446514E-2</c:v>
                </c:pt>
                <c:pt idx="1">
                  <c:v>7.6812086327732593E-2</c:v>
                </c:pt>
                <c:pt idx="2">
                  <c:v>6.5318575556827324E-2</c:v>
                </c:pt>
                <c:pt idx="3">
                  <c:v>7.1645193754758377E-2</c:v>
                </c:pt>
                <c:pt idx="4">
                  <c:v>5.8991420527274623E-2</c:v>
                </c:pt>
                <c:pt idx="5">
                  <c:v>7.1334503751895428E-2</c:v>
                </c:pt>
                <c:pt idx="6">
                  <c:v>7.6055952548954156E-2</c:v>
                </c:pt>
              </c:numCache>
            </c:numRef>
          </c:val>
          <c:extLst xmlns:c16r2="http://schemas.microsoft.com/office/drawing/2015/06/chart">
            <c:ext xmlns:c16="http://schemas.microsoft.com/office/drawing/2014/chart" uri="{C3380CC4-5D6E-409C-BE32-E72D297353CC}">
              <c16:uniqueId val="{00000004-73F7-4EA4-A913-65EFB30D2043}"/>
            </c:ext>
          </c:extLst>
        </c:ser>
        <c:ser>
          <c:idx val="5"/>
          <c:order val="5"/>
          <c:tx>
            <c:strRef>
              <c:f>Доходы!$A$24</c:f>
              <c:strCache>
                <c:ptCount val="1"/>
                <c:pt idx="0">
                  <c:v>Елпачихинское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Доходы!$B$24:$H$24</c:f>
              <c:numCache>
                <c:formatCode>0%</c:formatCode>
                <c:ptCount val="7"/>
                <c:pt idx="0">
                  <c:v>6.4874547774876778E-2</c:v>
                </c:pt>
                <c:pt idx="1">
                  <c:v>6.4982938193397094E-2</c:v>
                </c:pt>
                <c:pt idx="2">
                  <c:v>6.6040577388851579E-2</c:v>
                </c:pt>
                <c:pt idx="3">
                  <c:v>6.3097152427395303E-2</c:v>
                </c:pt>
                <c:pt idx="4">
                  <c:v>4.1734189578022406E-2</c:v>
                </c:pt>
                <c:pt idx="5">
                  <c:v>6.7649226100756896E-2</c:v>
                </c:pt>
                <c:pt idx="6">
                  <c:v>7.4548090369096973E-2</c:v>
                </c:pt>
              </c:numCache>
            </c:numRef>
          </c:val>
          <c:extLst xmlns:c16r2="http://schemas.microsoft.com/office/drawing/2015/06/chart">
            <c:ext xmlns:c16="http://schemas.microsoft.com/office/drawing/2014/chart" uri="{C3380CC4-5D6E-409C-BE32-E72D297353CC}">
              <c16:uniqueId val="{00000005-73F7-4EA4-A913-65EFB30D2043}"/>
            </c:ext>
          </c:extLst>
        </c:ser>
        <c:ser>
          <c:idx val="6"/>
          <c:order val="6"/>
          <c:tx>
            <c:strRef>
              <c:f>Доходы!$A$25</c:f>
              <c:strCache>
                <c:ptCount val="1"/>
                <c:pt idx="0">
                  <c:v>Красноярское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Доходы!$B$25:$H$25</c:f>
              <c:numCache>
                <c:formatCode>0%</c:formatCode>
                <c:ptCount val="7"/>
                <c:pt idx="0">
                  <c:v>6.8164522134151334E-2</c:v>
                </c:pt>
                <c:pt idx="1">
                  <c:v>5.9133494024194107E-2</c:v>
                </c:pt>
                <c:pt idx="2">
                  <c:v>5.6347149111539076E-2</c:v>
                </c:pt>
                <c:pt idx="3">
                  <c:v>4.8260605410210496E-2</c:v>
                </c:pt>
                <c:pt idx="4">
                  <c:v>5.8836640214712133E-2</c:v>
                </c:pt>
                <c:pt idx="5">
                  <c:v>7.5422207196714733E-2</c:v>
                </c:pt>
                <c:pt idx="6">
                  <c:v>7.4532695292955531E-2</c:v>
                </c:pt>
              </c:numCache>
            </c:numRef>
          </c:val>
          <c:extLst xmlns:c16r2="http://schemas.microsoft.com/office/drawing/2015/06/chart">
            <c:ext xmlns:c16="http://schemas.microsoft.com/office/drawing/2014/chart" uri="{C3380CC4-5D6E-409C-BE32-E72D297353CC}">
              <c16:uniqueId val="{00000006-73F7-4EA4-A913-65EFB30D2043}"/>
            </c:ext>
          </c:extLst>
        </c:ser>
        <c:ser>
          <c:idx val="7"/>
          <c:order val="7"/>
          <c:tx>
            <c:strRef>
              <c:f>Доходы!$A$26</c:f>
              <c:strCache>
                <c:ptCount val="1"/>
                <c:pt idx="0">
                  <c:v>Бичуринское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Доходы!$B$26:$H$26</c:f>
              <c:numCache>
                <c:formatCode>0%</c:formatCode>
                <c:ptCount val="7"/>
                <c:pt idx="0">
                  <c:v>6.6373183781948467E-2</c:v>
                </c:pt>
                <c:pt idx="1">
                  <c:v>5.8403148501733976E-2</c:v>
                </c:pt>
                <c:pt idx="2">
                  <c:v>5.0019223852460958E-2</c:v>
                </c:pt>
                <c:pt idx="3">
                  <c:v>5.6937087058033166E-2</c:v>
                </c:pt>
                <c:pt idx="4">
                  <c:v>5.0339974956547059E-2</c:v>
                </c:pt>
                <c:pt idx="5">
                  <c:v>6.8987019955426068E-2</c:v>
                </c:pt>
                <c:pt idx="6">
                  <c:v>6.8620986054626923E-2</c:v>
                </c:pt>
              </c:numCache>
            </c:numRef>
          </c:val>
          <c:extLst xmlns:c16r2="http://schemas.microsoft.com/office/drawing/2015/06/chart">
            <c:ext xmlns:c16="http://schemas.microsoft.com/office/drawing/2014/chart" uri="{C3380CC4-5D6E-409C-BE32-E72D297353CC}">
              <c16:uniqueId val="{00000007-73F7-4EA4-A913-65EFB30D2043}"/>
            </c:ext>
          </c:extLst>
        </c:ser>
        <c:ser>
          <c:idx val="8"/>
          <c:order val="8"/>
          <c:tx>
            <c:strRef>
              <c:f>Доходы!$A$27</c:f>
              <c:strCache>
                <c:ptCount val="1"/>
                <c:pt idx="0">
                  <c:v>Федорковское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Доходы!$B$27:$H$27</c:f>
              <c:numCache>
                <c:formatCode>0%</c:formatCode>
                <c:ptCount val="7"/>
                <c:pt idx="0">
                  <c:v>5.0473592394422284E-2</c:v>
                </c:pt>
                <c:pt idx="1">
                  <c:v>5.3236176596656672E-2</c:v>
                </c:pt>
                <c:pt idx="2">
                  <c:v>5.0707561795383813E-2</c:v>
                </c:pt>
                <c:pt idx="3">
                  <c:v>4.9350658129892033E-2</c:v>
                </c:pt>
                <c:pt idx="4">
                  <c:v>4.3398851839642517E-2</c:v>
                </c:pt>
                <c:pt idx="5">
                  <c:v>6.2530079968531133E-2</c:v>
                </c:pt>
                <c:pt idx="6">
                  <c:v>5.414961448163496E-2</c:v>
                </c:pt>
              </c:numCache>
            </c:numRef>
          </c:val>
          <c:extLst xmlns:c16r2="http://schemas.microsoft.com/office/drawing/2015/06/chart">
            <c:ext xmlns:c16="http://schemas.microsoft.com/office/drawing/2014/chart" uri="{C3380CC4-5D6E-409C-BE32-E72D297353CC}">
              <c16:uniqueId val="{00000008-73F7-4EA4-A913-65EFB30D2043}"/>
            </c:ext>
          </c:extLst>
        </c:ser>
        <c:ser>
          <c:idx val="9"/>
          <c:order val="9"/>
          <c:tx>
            <c:strRef>
              <c:f>Доходы!$A$28</c:f>
              <c:strCache>
                <c:ptCount val="1"/>
                <c:pt idx="0">
                  <c:v>Брюзлинское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Доходы!$B$28:$H$28</c:f>
              <c:numCache>
                <c:formatCode>0%</c:formatCode>
                <c:ptCount val="7"/>
                <c:pt idx="0">
                  <c:v>4.0990036412171832E-2</c:v>
                </c:pt>
                <c:pt idx="1">
                  <c:v>4.3883077916512282E-2</c:v>
                </c:pt>
                <c:pt idx="2">
                  <c:v>8.4077334812182075E-2</c:v>
                </c:pt>
                <c:pt idx="3">
                  <c:v>4.3721254084528954E-2</c:v>
                </c:pt>
                <c:pt idx="4">
                  <c:v>4.1964038342179016E-2</c:v>
                </c:pt>
                <c:pt idx="5">
                  <c:v>4.4029369832023504E-2</c:v>
                </c:pt>
                <c:pt idx="6">
                  <c:v>4.2699098960404719E-2</c:v>
                </c:pt>
              </c:numCache>
            </c:numRef>
          </c:val>
          <c:extLst xmlns:c16r2="http://schemas.microsoft.com/office/drawing/2015/06/chart">
            <c:ext xmlns:c16="http://schemas.microsoft.com/office/drawing/2014/chart" uri="{C3380CC4-5D6E-409C-BE32-E72D297353CC}">
              <c16:uniqueId val="{00000009-73F7-4EA4-A913-65EFB30D2043}"/>
            </c:ext>
          </c:extLst>
        </c:ser>
        <c:ser>
          <c:idx val="10"/>
          <c:order val="10"/>
          <c:tx>
            <c:strRef>
              <c:f>Доходы!$A$29</c:f>
              <c:strCache>
                <c:ptCount val="1"/>
                <c:pt idx="0">
                  <c:v>Шермейское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Доходы!$B$29:$H$29</c:f>
              <c:numCache>
                <c:formatCode>0%</c:formatCode>
                <c:ptCount val="7"/>
                <c:pt idx="0">
                  <c:v>4.3729730362599674E-2</c:v>
                </c:pt>
                <c:pt idx="1">
                  <c:v>3.6321329763250046E-2</c:v>
                </c:pt>
                <c:pt idx="2">
                  <c:v>3.7560041317994411E-2</c:v>
                </c:pt>
                <c:pt idx="3">
                  <c:v>4.3278472979790067E-2</c:v>
                </c:pt>
                <c:pt idx="4">
                  <c:v>3.3755264465381074E-2</c:v>
                </c:pt>
                <c:pt idx="5">
                  <c:v>4.4759899538569889E-2</c:v>
                </c:pt>
                <c:pt idx="6">
                  <c:v>3.9112901501447569E-2</c:v>
                </c:pt>
              </c:numCache>
            </c:numRef>
          </c:val>
          <c:extLst xmlns:c16r2="http://schemas.microsoft.com/office/drawing/2015/06/chart">
            <c:ext xmlns:c16="http://schemas.microsoft.com/office/drawing/2014/chart" uri="{C3380CC4-5D6E-409C-BE32-E72D297353CC}">
              <c16:uniqueId val="{0000000A-73F7-4EA4-A913-65EFB30D2043}"/>
            </c:ext>
          </c:extLst>
        </c:ser>
        <c:ser>
          <c:idx val="11"/>
          <c:order val="11"/>
          <c:tx>
            <c:strRef>
              <c:f>Доходы!$A$30</c:f>
              <c:strCache>
                <c:ptCount val="1"/>
                <c:pt idx="0">
                  <c:v>Новоашапское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Доходы!$B$30:$H$30</c:f>
              <c:numCache>
                <c:formatCode>0%</c:formatCode>
                <c:ptCount val="7"/>
                <c:pt idx="0">
                  <c:v>4.7265574691784405E-2</c:v>
                </c:pt>
                <c:pt idx="1">
                  <c:v>4.6609626978251072E-2</c:v>
                </c:pt>
                <c:pt idx="2">
                  <c:v>4.9391126553189904E-2</c:v>
                </c:pt>
                <c:pt idx="3">
                  <c:v>3.5615148859796456E-2</c:v>
                </c:pt>
                <c:pt idx="4">
                  <c:v>3.0528868849997743E-2</c:v>
                </c:pt>
                <c:pt idx="5">
                  <c:v>3.4062986887626226E-2</c:v>
                </c:pt>
                <c:pt idx="6">
                  <c:v>3.8069457451858302E-2</c:v>
                </c:pt>
              </c:numCache>
            </c:numRef>
          </c:val>
          <c:extLst xmlns:c16r2="http://schemas.microsoft.com/office/drawing/2015/06/chart">
            <c:ext xmlns:c16="http://schemas.microsoft.com/office/drawing/2014/chart" uri="{C3380CC4-5D6E-409C-BE32-E72D297353CC}">
              <c16:uniqueId val="{0000000B-73F7-4EA4-A913-65EFB30D2043}"/>
            </c:ext>
          </c:extLst>
        </c:ser>
        <c:shape val="box"/>
        <c:axId val="190875136"/>
        <c:axId val="190876672"/>
        <c:axId val="0"/>
      </c:bar3DChart>
      <c:catAx>
        <c:axId val="190875136"/>
        <c:scaling>
          <c:orientation val="minMax"/>
        </c:scaling>
        <c:axPos val="b"/>
        <c:numFmt formatCode="General" sourceLinked="0"/>
        <c:tickLblPos val="nextTo"/>
        <c:crossAx val="190876672"/>
        <c:crosses val="autoZero"/>
        <c:auto val="1"/>
        <c:lblAlgn val="ctr"/>
        <c:lblOffset val="100"/>
      </c:catAx>
      <c:valAx>
        <c:axId val="190876672"/>
        <c:scaling>
          <c:orientation val="minMax"/>
        </c:scaling>
        <c:axPos val="l"/>
        <c:majorGridlines/>
        <c:numFmt formatCode="0%" sourceLinked="1"/>
        <c:tickLblPos val="nextTo"/>
        <c:crossAx val="190875136"/>
        <c:crosses val="autoZero"/>
        <c:crossBetween val="between"/>
      </c:valAx>
    </c:plotArea>
    <c:legend>
      <c:legendPos val="b"/>
      <c:layout>
        <c:manualLayout>
          <c:xMode val="edge"/>
          <c:yMode val="edge"/>
          <c:x val="2.3752298910057867E-2"/>
          <c:y val="0.63956146629996613"/>
          <c:w val="0.95451764687149188"/>
          <c:h val="0.3041256589914213"/>
        </c:manualLayout>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демография!$G$149</c:f>
              <c:strCache>
                <c:ptCount val="1"/>
                <c:pt idx="0">
                  <c:v>Коэффициент миграционного прироста населения, промилле  </c:v>
                </c:pt>
              </c:strCache>
            </c:strRef>
          </c:tx>
          <c:spPr>
            <a:effectLst/>
          </c:spPr>
          <c:dLbls>
            <c:dLbl>
              <c:idx val="0"/>
              <c:layout>
                <c:manualLayout>
                  <c:x val="-3.333333333333334E-2"/>
                  <c:y val="6.48148148148166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45-4063-BD98-63AA723EC1B4}"/>
                </c:ext>
              </c:extLst>
            </c:dLbl>
            <c:dLbl>
              <c:idx val="1"/>
              <c:layout>
                <c:manualLayout>
                  <c:x val="-4.7222222222222332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45-4063-BD98-63AA723EC1B4}"/>
                </c:ext>
              </c:extLst>
            </c:dLbl>
            <c:dLbl>
              <c:idx val="2"/>
              <c:layout>
                <c:manualLayout>
                  <c:x val="-3.055555555555558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45-4063-BD98-63AA723EC1B4}"/>
                </c:ext>
              </c:extLst>
            </c:dLbl>
            <c:dLbl>
              <c:idx val="5"/>
              <c:layout>
                <c:manualLayout>
                  <c:x val="-5.5555555555555558E-3"/>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45-4063-BD98-63AA723EC1B4}"/>
                </c:ext>
              </c:extLst>
            </c:dLbl>
            <c:dLbl>
              <c:idx val="6"/>
              <c:layout>
                <c:manualLayout>
                  <c:x val="-3.2454724409448819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45-4063-BD98-63AA723EC1B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демография!$F$150:$F$156</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демография!$G$150:$G$156</c:f>
              <c:numCache>
                <c:formatCode>General</c:formatCode>
                <c:ptCount val="7"/>
                <c:pt idx="0">
                  <c:v>-160</c:v>
                </c:pt>
                <c:pt idx="1">
                  <c:v>-169</c:v>
                </c:pt>
                <c:pt idx="2">
                  <c:v>-171</c:v>
                </c:pt>
                <c:pt idx="3">
                  <c:v>-149</c:v>
                </c:pt>
                <c:pt idx="4">
                  <c:v>61</c:v>
                </c:pt>
                <c:pt idx="5">
                  <c:v>-12</c:v>
                </c:pt>
                <c:pt idx="6">
                  <c:v>-15</c:v>
                </c:pt>
              </c:numCache>
            </c:numRef>
          </c:val>
          <c:extLst xmlns:c16r2="http://schemas.microsoft.com/office/drawing/2015/06/chart">
            <c:ext xmlns:c16="http://schemas.microsoft.com/office/drawing/2014/chart" uri="{C3380CC4-5D6E-409C-BE32-E72D297353CC}">
              <c16:uniqueId val="{00000005-D145-4063-BD98-63AA723EC1B4}"/>
            </c:ext>
          </c:extLst>
        </c:ser>
        <c:marker val="1"/>
        <c:axId val="88876160"/>
        <c:axId val="88877696"/>
      </c:lineChart>
      <c:catAx>
        <c:axId val="88876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877696"/>
        <c:crosses val="autoZero"/>
        <c:auto val="1"/>
        <c:lblAlgn val="ctr"/>
        <c:lblOffset val="100"/>
      </c:catAx>
      <c:valAx>
        <c:axId val="888776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8761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Лист7!$A$25</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Лист7!$B$25:$H$25</c:f>
              <c:numCache>
                <c:formatCode>0%</c:formatCode>
                <c:ptCount val="7"/>
                <c:pt idx="0">
                  <c:v>0.47794780531782288</c:v>
                </c:pt>
                <c:pt idx="1">
                  <c:v>0.43790003395661875</c:v>
                </c:pt>
                <c:pt idx="2">
                  <c:v>0.39532656630103746</c:v>
                </c:pt>
                <c:pt idx="3">
                  <c:v>0.51930787567314984</c:v>
                </c:pt>
                <c:pt idx="4">
                  <c:v>0.61831716652968605</c:v>
                </c:pt>
                <c:pt idx="5">
                  <c:v>0.50462563071632693</c:v>
                </c:pt>
                <c:pt idx="6">
                  <c:v>0.52307764677708368</c:v>
                </c:pt>
              </c:numCache>
            </c:numRef>
          </c:val>
          <c:extLst xmlns:c16r2="http://schemas.microsoft.com/office/drawing/2015/06/chart">
            <c:ext xmlns:c16="http://schemas.microsoft.com/office/drawing/2014/chart" uri="{C3380CC4-5D6E-409C-BE32-E72D297353CC}">
              <c16:uniqueId val="{00000000-434E-4E55-8A7A-42303F7354C0}"/>
            </c:ext>
          </c:extLst>
        </c:ser>
        <c:ser>
          <c:idx val="1"/>
          <c:order val="1"/>
          <c:tx>
            <c:strRef>
              <c:f>Лист7!$A$26</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Лист7!$B$26:$H$26</c:f>
              <c:numCache>
                <c:formatCode>0%</c:formatCode>
                <c:ptCount val="7"/>
                <c:pt idx="0">
                  <c:v>0.28278558967814482</c:v>
                </c:pt>
                <c:pt idx="1">
                  <c:v>0.35346830623299197</c:v>
                </c:pt>
                <c:pt idx="2">
                  <c:v>0.37471983671242032</c:v>
                </c:pt>
                <c:pt idx="3">
                  <c:v>0.37783508769854784</c:v>
                </c:pt>
                <c:pt idx="4">
                  <c:v>0.28670266856736898</c:v>
                </c:pt>
                <c:pt idx="5">
                  <c:v>0.43386485562975446</c:v>
                </c:pt>
                <c:pt idx="6">
                  <c:v>0.38335706740905939</c:v>
                </c:pt>
              </c:numCache>
            </c:numRef>
          </c:val>
          <c:extLst xmlns:c16r2="http://schemas.microsoft.com/office/drawing/2015/06/chart">
            <c:ext xmlns:c16="http://schemas.microsoft.com/office/drawing/2014/chart" uri="{C3380CC4-5D6E-409C-BE32-E72D297353CC}">
              <c16:uniqueId val="{00000001-434E-4E55-8A7A-42303F7354C0}"/>
            </c:ext>
          </c:extLst>
        </c:ser>
        <c:ser>
          <c:idx val="2"/>
          <c:order val="2"/>
          <c:tx>
            <c:strRef>
              <c:f>Лист7!$A$27</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Лист7!$B$27:$H$27</c:f>
              <c:numCache>
                <c:formatCode>0%</c:formatCode>
                <c:ptCount val="7"/>
                <c:pt idx="0">
                  <c:v>0.23926660500403929</c:v>
                </c:pt>
                <c:pt idx="1">
                  <c:v>0.20863165981039974</c:v>
                </c:pt>
                <c:pt idx="2">
                  <c:v>0.22995359698655038</c:v>
                </c:pt>
                <c:pt idx="3">
                  <c:v>0.10285703662830482</c:v>
                </c:pt>
                <c:pt idx="4">
                  <c:v>9.4980164902944988E-2</c:v>
                </c:pt>
                <c:pt idx="5">
                  <c:v>6.1509513653926512E-2</c:v>
                </c:pt>
                <c:pt idx="6">
                  <c:v>9.3565285813865265E-2</c:v>
                </c:pt>
              </c:numCache>
            </c:numRef>
          </c:val>
          <c:extLst xmlns:c16r2="http://schemas.microsoft.com/office/drawing/2015/06/chart">
            <c:ext xmlns:c16="http://schemas.microsoft.com/office/drawing/2014/chart" uri="{C3380CC4-5D6E-409C-BE32-E72D297353CC}">
              <c16:uniqueId val="{00000002-434E-4E55-8A7A-42303F7354C0}"/>
            </c:ext>
          </c:extLst>
        </c:ser>
        <c:shape val="box"/>
        <c:axId val="190899712"/>
        <c:axId val="190901248"/>
        <c:axId val="0"/>
      </c:bar3DChart>
      <c:catAx>
        <c:axId val="190899712"/>
        <c:scaling>
          <c:orientation val="minMax"/>
        </c:scaling>
        <c:axPos val="b"/>
        <c:numFmt formatCode="General" sourceLinked="1"/>
        <c:tickLblPos val="nextTo"/>
        <c:crossAx val="190901248"/>
        <c:crosses val="autoZero"/>
        <c:auto val="1"/>
        <c:lblAlgn val="ctr"/>
        <c:lblOffset val="100"/>
      </c:catAx>
      <c:valAx>
        <c:axId val="190901248"/>
        <c:scaling>
          <c:orientation val="minMax"/>
        </c:scaling>
        <c:axPos val="l"/>
        <c:majorGridlines/>
        <c:numFmt formatCode="0%" sourceLinked="1"/>
        <c:tickLblPos val="nextTo"/>
        <c:crossAx val="190899712"/>
        <c:crosses val="autoZero"/>
        <c:crossBetween val="between"/>
      </c:valAx>
    </c:plotArea>
    <c:legend>
      <c:legendPos val="b"/>
    </c:legend>
    <c:plotVisOnly val="1"/>
    <c:dispBlanksAs val="gap"/>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Лист7!$A$19</c:f>
              <c:strCache>
                <c:ptCount val="1"/>
                <c:pt idx="0">
                  <c:v>собственные</c:v>
                </c:pt>
              </c:strCache>
            </c:strRef>
          </c:tx>
          <c:dLbls>
            <c:dLbl>
              <c:idx val="0"/>
              <c:layout>
                <c:manualLayout>
                  <c:x val="-2.1482277121375678E-2"/>
                  <c:y val="-3.7786766598283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BC-434F-87DD-846591D2472D}"/>
                </c:ext>
              </c:extLst>
            </c:dLbl>
            <c:dLbl>
              <c:idx val="1"/>
              <c:layout>
                <c:manualLayout>
                  <c:x val="-1.4321518080916581E-2"/>
                  <c:y val="-5.66801498974252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BC-434F-87DD-846591D2472D}"/>
                </c:ext>
              </c:extLst>
            </c:dLbl>
            <c:dLbl>
              <c:idx val="2"/>
              <c:layout>
                <c:manualLayout>
                  <c:x val="-3.0075187969925494E-2"/>
                  <c:y val="-4.58839308693453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BC-434F-87DD-846591D2472D}"/>
                </c:ext>
              </c:extLst>
            </c:dLbl>
            <c:dLbl>
              <c:idx val="5"/>
              <c:layout>
                <c:manualLayout>
                  <c:x val="-1.1457214464733263E-2"/>
                  <c:y val="-4.04858213553038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Лист7!$B$19:$H$19</c:f>
              <c:numCache>
                <c:formatCode>General</c:formatCode>
                <c:ptCount val="7"/>
                <c:pt idx="0">
                  <c:v>40822</c:v>
                </c:pt>
                <c:pt idx="1">
                  <c:v>39332.400000000001</c:v>
                </c:pt>
                <c:pt idx="2">
                  <c:v>44624.700000000004</c:v>
                </c:pt>
                <c:pt idx="3">
                  <c:v>61456.4</c:v>
                </c:pt>
                <c:pt idx="4">
                  <c:v>79896.100000000006</c:v>
                </c:pt>
                <c:pt idx="5">
                  <c:v>55675.799999999996</c:v>
                </c:pt>
                <c:pt idx="6">
                  <c:v>61158.5</c:v>
                </c:pt>
              </c:numCache>
            </c:numRef>
          </c:val>
          <c:extLst xmlns:c16r2="http://schemas.microsoft.com/office/drawing/2015/06/chart">
            <c:ext xmlns:c16="http://schemas.microsoft.com/office/drawing/2014/chart" uri="{C3380CC4-5D6E-409C-BE32-E72D297353CC}">
              <c16:uniqueId val="{00000004-DBBC-434F-87DD-846591D2472D}"/>
            </c:ext>
          </c:extLst>
        </c:ser>
        <c:ser>
          <c:idx val="1"/>
          <c:order val="1"/>
          <c:tx>
            <c:strRef>
              <c:f>Лист7!$A$20</c:f>
              <c:strCache>
                <c:ptCount val="1"/>
                <c:pt idx="0">
                  <c:v>дотация</c:v>
                </c:pt>
              </c:strCache>
            </c:strRef>
          </c:tx>
          <c:dLbls>
            <c:dLbl>
              <c:idx val="2"/>
              <c:layout>
                <c:manualLayout>
                  <c:x val="-7.1607590404582904E-3"/>
                  <c:y val="3.23886570842430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BC-434F-87DD-846591D2472D}"/>
                </c:ext>
              </c:extLst>
            </c:dLbl>
            <c:dLbl>
              <c:idx val="5"/>
              <c:layout>
                <c:manualLayout>
                  <c:x val="-1.2889366272824896E-2"/>
                  <c:y val="3.7786766598283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Лист7!$B$20:$H$20</c:f>
              <c:numCache>
                <c:formatCode>General</c:formatCode>
                <c:ptCount val="7"/>
                <c:pt idx="0">
                  <c:v>24153</c:v>
                </c:pt>
                <c:pt idx="1">
                  <c:v>31748.699999999892</c:v>
                </c:pt>
                <c:pt idx="2">
                  <c:v>42298.600000000006</c:v>
                </c:pt>
                <c:pt idx="3">
                  <c:v>44714.1</c:v>
                </c:pt>
                <c:pt idx="4">
                  <c:v>37046.400000000009</c:v>
                </c:pt>
                <c:pt idx="5">
                  <c:v>47868.700000000004</c:v>
                </c:pt>
                <c:pt idx="6">
                  <c:v>44822.30000000001</c:v>
                </c:pt>
              </c:numCache>
            </c:numRef>
          </c:val>
          <c:extLst xmlns:c16r2="http://schemas.microsoft.com/office/drawing/2015/06/chart">
            <c:ext xmlns:c16="http://schemas.microsoft.com/office/drawing/2014/chart" uri="{C3380CC4-5D6E-409C-BE32-E72D297353CC}">
              <c16:uniqueId val="{00000007-DBBC-434F-87DD-846591D2472D}"/>
            </c:ext>
          </c:extLst>
        </c:ser>
        <c:ser>
          <c:idx val="2"/>
          <c:order val="2"/>
          <c:tx>
            <c:strRef>
              <c:f>Лист7!$A$21</c:f>
              <c:strCache>
                <c:ptCount val="1"/>
                <c:pt idx="0">
                  <c:v>иные межбюд.транс.</c:v>
                </c:pt>
              </c:strCache>
            </c:strRef>
          </c:tx>
          <c:dLbls>
            <c:dLbl>
              <c:idx val="0"/>
              <c:layout>
                <c:manualLayout>
                  <c:x val="-8.5929108485500068E-3"/>
                  <c:y val="4.58839308693453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BC-434F-87DD-846591D2472D}"/>
                </c:ext>
              </c:extLst>
            </c:dLbl>
            <c:dLbl>
              <c:idx val="3"/>
              <c:layout>
                <c:manualLayout>
                  <c:x val="-1.8617973505191548E-2"/>
                  <c:y val="2.9689602327222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Лист7!$B$21:$H$21</c:f>
              <c:numCache>
                <c:formatCode>General</c:formatCode>
                <c:ptCount val="7"/>
                <c:pt idx="0">
                  <c:v>20436</c:v>
                </c:pt>
                <c:pt idx="1">
                  <c:v>18739.399999999896</c:v>
                </c:pt>
                <c:pt idx="2">
                  <c:v>25957.3</c:v>
                </c:pt>
                <c:pt idx="3">
                  <c:v>12172.4</c:v>
                </c:pt>
                <c:pt idx="4">
                  <c:v>12272.9</c:v>
                </c:pt>
                <c:pt idx="5">
                  <c:v>6786.4</c:v>
                </c:pt>
                <c:pt idx="6">
                  <c:v>10939.7</c:v>
                </c:pt>
              </c:numCache>
            </c:numRef>
          </c:val>
          <c:extLst xmlns:c16r2="http://schemas.microsoft.com/office/drawing/2015/06/chart">
            <c:ext xmlns:c16="http://schemas.microsoft.com/office/drawing/2014/chart" uri="{C3380CC4-5D6E-409C-BE32-E72D297353CC}">
              <c16:uniqueId val="{0000000A-DBBC-434F-87DD-846591D2472D}"/>
            </c:ext>
          </c:extLst>
        </c:ser>
        <c:marker val="1"/>
        <c:axId val="191014016"/>
        <c:axId val="191015552"/>
      </c:lineChart>
      <c:catAx>
        <c:axId val="191014016"/>
        <c:scaling>
          <c:orientation val="minMax"/>
        </c:scaling>
        <c:axPos val="b"/>
        <c:numFmt formatCode="General" sourceLinked="1"/>
        <c:tickLblPos val="nextTo"/>
        <c:crossAx val="191015552"/>
        <c:crosses val="autoZero"/>
        <c:auto val="1"/>
        <c:lblAlgn val="ctr"/>
        <c:lblOffset val="100"/>
      </c:catAx>
      <c:valAx>
        <c:axId val="191015552"/>
        <c:scaling>
          <c:orientation val="minMax"/>
        </c:scaling>
        <c:axPos val="l"/>
        <c:majorGridlines/>
        <c:numFmt formatCode="General" sourceLinked="1"/>
        <c:tickLblPos val="nextTo"/>
        <c:crossAx val="191014016"/>
        <c:crosses val="autoZero"/>
        <c:crossBetween val="between"/>
      </c:valAx>
    </c:plotArea>
    <c:legend>
      <c:legendPos val="b"/>
    </c:legend>
    <c:plotVisOnly val="1"/>
    <c:dispBlanksAs val="gap"/>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Расходы!$A$18</c:f>
              <c:strCache>
                <c:ptCount val="1"/>
                <c:pt idx="0">
                  <c:v>Бардымское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Расходы!$B$18:$H$18</c:f>
              <c:numCache>
                <c:formatCode>0%</c:formatCode>
                <c:ptCount val="7"/>
                <c:pt idx="0">
                  <c:v>0.18619934915454844</c:v>
                </c:pt>
                <c:pt idx="1">
                  <c:v>0.21118973932328233</c:v>
                </c:pt>
                <c:pt idx="2">
                  <c:v>0.29666998285881507</c:v>
                </c:pt>
                <c:pt idx="3">
                  <c:v>0.27540905608711874</c:v>
                </c:pt>
                <c:pt idx="4">
                  <c:v>0.30307488192246868</c:v>
                </c:pt>
                <c:pt idx="5">
                  <c:v>0.30180678935543354</c:v>
                </c:pt>
                <c:pt idx="6" formatCode="0.0%">
                  <c:v>0.27707224494309401</c:v>
                </c:pt>
              </c:numCache>
            </c:numRef>
          </c:val>
          <c:extLst xmlns:c16r2="http://schemas.microsoft.com/office/drawing/2015/06/chart">
            <c:ext xmlns:c16="http://schemas.microsoft.com/office/drawing/2014/chart" uri="{C3380CC4-5D6E-409C-BE32-E72D297353CC}">
              <c16:uniqueId val="{00000000-F767-43EB-8178-7E0DD34106F2}"/>
            </c:ext>
          </c:extLst>
        </c:ser>
        <c:ser>
          <c:idx val="1"/>
          <c:order val="1"/>
          <c:tx>
            <c:strRef>
              <c:f>Расходы!$A$19</c:f>
              <c:strCache>
                <c:ptCount val="1"/>
                <c:pt idx="0">
                  <c:v>Сарашевское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Расходы!$B$19:$H$19</c:f>
              <c:numCache>
                <c:formatCode>0%</c:formatCode>
                <c:ptCount val="7"/>
                <c:pt idx="0">
                  <c:v>0.15138050422032595</c:v>
                </c:pt>
                <c:pt idx="1">
                  <c:v>0.14148198660324904</c:v>
                </c:pt>
                <c:pt idx="2">
                  <c:v>0.10822984916295519</c:v>
                </c:pt>
                <c:pt idx="3">
                  <c:v>0.13194434624640286</c:v>
                </c:pt>
                <c:pt idx="4">
                  <c:v>0.1608701082161208</c:v>
                </c:pt>
                <c:pt idx="5">
                  <c:v>0.10023874521346172</c:v>
                </c:pt>
                <c:pt idx="6" formatCode="0.0%">
                  <c:v>9.2487996893464888E-2</c:v>
                </c:pt>
              </c:numCache>
            </c:numRef>
          </c:val>
          <c:extLst xmlns:c16r2="http://schemas.microsoft.com/office/drawing/2015/06/chart">
            <c:ext xmlns:c16="http://schemas.microsoft.com/office/drawing/2014/chart" uri="{C3380CC4-5D6E-409C-BE32-E72D297353CC}">
              <c16:uniqueId val="{00000001-F767-43EB-8178-7E0DD34106F2}"/>
            </c:ext>
          </c:extLst>
        </c:ser>
        <c:ser>
          <c:idx val="2"/>
          <c:order val="2"/>
          <c:tx>
            <c:strRef>
              <c:f>Расходы!$A$20</c:f>
              <c:strCache>
                <c:ptCount val="1"/>
                <c:pt idx="0">
                  <c:v>Печменское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Расходы!$B$20:$H$20</c:f>
              <c:numCache>
                <c:formatCode>0%</c:formatCode>
                <c:ptCount val="7"/>
                <c:pt idx="0">
                  <c:v>0.16646712953118967</c:v>
                </c:pt>
                <c:pt idx="1">
                  <c:v>0.12491964023221817</c:v>
                </c:pt>
                <c:pt idx="2">
                  <c:v>0.10167698119890736</c:v>
                </c:pt>
                <c:pt idx="3">
                  <c:v>0.11164521605464563</c:v>
                </c:pt>
                <c:pt idx="4">
                  <c:v>0.1046332459646048</c:v>
                </c:pt>
                <c:pt idx="5">
                  <c:v>9.0712644364462747E-2</c:v>
                </c:pt>
                <c:pt idx="6" formatCode="0.0%">
                  <c:v>8.7264148921670767E-2</c:v>
                </c:pt>
              </c:numCache>
            </c:numRef>
          </c:val>
          <c:extLst xmlns:c16r2="http://schemas.microsoft.com/office/drawing/2015/06/chart">
            <c:ext xmlns:c16="http://schemas.microsoft.com/office/drawing/2014/chart" uri="{C3380CC4-5D6E-409C-BE32-E72D297353CC}">
              <c16:uniqueId val="{00000002-F767-43EB-8178-7E0DD34106F2}"/>
            </c:ext>
          </c:extLst>
        </c:ser>
        <c:ser>
          <c:idx val="3"/>
          <c:order val="3"/>
          <c:tx>
            <c:strRef>
              <c:f>Расходы!$A$21</c:f>
              <c:strCache>
                <c:ptCount val="1"/>
                <c:pt idx="0">
                  <c:v>Тюндюковское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Расходы!$B$21:$H$21</c:f>
              <c:numCache>
                <c:formatCode>0%</c:formatCode>
                <c:ptCount val="7"/>
                <c:pt idx="0">
                  <c:v>6.2566448177355377E-2</c:v>
                </c:pt>
                <c:pt idx="1">
                  <c:v>6.3543685826549803E-2</c:v>
                </c:pt>
                <c:pt idx="2">
                  <c:v>5.735476298262198E-2</c:v>
                </c:pt>
                <c:pt idx="3">
                  <c:v>5.9052468809759423E-2</c:v>
                </c:pt>
                <c:pt idx="4">
                  <c:v>5.8224554938495883E-2</c:v>
                </c:pt>
                <c:pt idx="5">
                  <c:v>7.2021326383760756E-2</c:v>
                </c:pt>
                <c:pt idx="6" formatCode="0.0%">
                  <c:v>7.7282776131455136E-2</c:v>
                </c:pt>
              </c:numCache>
            </c:numRef>
          </c:val>
          <c:extLst xmlns:c16r2="http://schemas.microsoft.com/office/drawing/2015/06/chart">
            <c:ext xmlns:c16="http://schemas.microsoft.com/office/drawing/2014/chart" uri="{C3380CC4-5D6E-409C-BE32-E72D297353CC}">
              <c16:uniqueId val="{00000003-F767-43EB-8178-7E0DD34106F2}"/>
            </c:ext>
          </c:extLst>
        </c:ser>
        <c:ser>
          <c:idx val="4"/>
          <c:order val="4"/>
          <c:tx>
            <c:strRef>
              <c:f>Расходы!$A$22</c:f>
              <c:strCache>
                <c:ptCount val="1"/>
                <c:pt idx="0">
                  <c:v>Березниковское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Расходы!$B$22:$H$22</c:f>
              <c:numCache>
                <c:formatCode>0%</c:formatCode>
                <c:ptCount val="7"/>
                <c:pt idx="0">
                  <c:v>7.1790610814759667E-2</c:v>
                </c:pt>
                <c:pt idx="1">
                  <c:v>7.9160623164839933E-2</c:v>
                </c:pt>
                <c:pt idx="2">
                  <c:v>6.1282688663773364E-2</c:v>
                </c:pt>
                <c:pt idx="3">
                  <c:v>6.9261923160422512E-2</c:v>
                </c:pt>
                <c:pt idx="4">
                  <c:v>5.6352831265895104E-2</c:v>
                </c:pt>
                <c:pt idx="5">
                  <c:v>6.8390537646494123E-2</c:v>
                </c:pt>
                <c:pt idx="6" formatCode="0.0%">
                  <c:v>7.5439771021617114E-2</c:v>
                </c:pt>
              </c:numCache>
            </c:numRef>
          </c:val>
          <c:extLst xmlns:c16r2="http://schemas.microsoft.com/office/drawing/2015/06/chart">
            <c:ext xmlns:c16="http://schemas.microsoft.com/office/drawing/2014/chart" uri="{C3380CC4-5D6E-409C-BE32-E72D297353CC}">
              <c16:uniqueId val="{00000004-F767-43EB-8178-7E0DD34106F2}"/>
            </c:ext>
          </c:extLst>
        </c:ser>
        <c:ser>
          <c:idx val="5"/>
          <c:order val="5"/>
          <c:tx>
            <c:strRef>
              <c:f>Расходы!$A$23</c:f>
              <c:strCache>
                <c:ptCount val="1"/>
                <c:pt idx="0">
                  <c:v>Красноярское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Расходы!$B$23:$H$23</c:f>
              <c:numCache>
                <c:formatCode>0%</c:formatCode>
                <c:ptCount val="7"/>
                <c:pt idx="0">
                  <c:v>6.0563757892887912E-2</c:v>
                </c:pt>
                <c:pt idx="1">
                  <c:v>6.2989859115755886E-2</c:v>
                </c:pt>
                <c:pt idx="2">
                  <c:v>5.0681716938151732E-2</c:v>
                </c:pt>
                <c:pt idx="3">
                  <c:v>5.242555640860775E-2</c:v>
                </c:pt>
                <c:pt idx="4">
                  <c:v>6.9041301188560736E-2</c:v>
                </c:pt>
                <c:pt idx="5">
                  <c:v>6.53594656462409E-2</c:v>
                </c:pt>
                <c:pt idx="6" formatCode="0.0%">
                  <c:v>7.4315109298775134E-2</c:v>
                </c:pt>
              </c:numCache>
            </c:numRef>
          </c:val>
          <c:extLst xmlns:c16r2="http://schemas.microsoft.com/office/drawing/2015/06/chart">
            <c:ext xmlns:c16="http://schemas.microsoft.com/office/drawing/2014/chart" uri="{C3380CC4-5D6E-409C-BE32-E72D297353CC}">
              <c16:uniqueId val="{00000005-F767-43EB-8178-7E0DD34106F2}"/>
            </c:ext>
          </c:extLst>
        </c:ser>
        <c:ser>
          <c:idx val="6"/>
          <c:order val="6"/>
          <c:tx>
            <c:strRef>
              <c:f>Расходы!$A$24</c:f>
              <c:strCache>
                <c:ptCount val="1"/>
                <c:pt idx="0">
                  <c:v>Елпачихинское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Расходы!$B$24:$H$24</c:f>
              <c:numCache>
                <c:formatCode>0%</c:formatCode>
                <c:ptCount val="7"/>
                <c:pt idx="0">
                  <c:v>6.3546414340787838E-2</c:v>
                </c:pt>
                <c:pt idx="1">
                  <c:v>6.7776678527992101E-2</c:v>
                </c:pt>
                <c:pt idx="2">
                  <c:v>6.2761873007009181E-2</c:v>
                </c:pt>
                <c:pt idx="3">
                  <c:v>6.5603687847224049E-2</c:v>
                </c:pt>
                <c:pt idx="4">
                  <c:v>4.388818965069808E-2</c:v>
                </c:pt>
                <c:pt idx="5">
                  <c:v>6.3775440765459657E-2</c:v>
                </c:pt>
                <c:pt idx="6" formatCode="0.0%">
                  <c:v>7.4307394393664183E-2</c:v>
                </c:pt>
              </c:numCache>
            </c:numRef>
          </c:val>
          <c:extLst xmlns:c16r2="http://schemas.microsoft.com/office/drawing/2015/06/chart">
            <c:ext xmlns:c16="http://schemas.microsoft.com/office/drawing/2014/chart" uri="{C3380CC4-5D6E-409C-BE32-E72D297353CC}">
              <c16:uniqueId val="{00000006-F767-43EB-8178-7E0DD34106F2}"/>
            </c:ext>
          </c:extLst>
        </c:ser>
        <c:ser>
          <c:idx val="7"/>
          <c:order val="7"/>
          <c:tx>
            <c:strRef>
              <c:f>Расходы!$A$25</c:f>
              <c:strCache>
                <c:ptCount val="1"/>
                <c:pt idx="0">
                  <c:v>Бичуринское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Расходы!$B$25:$H$25</c:f>
              <c:numCache>
                <c:formatCode>0%</c:formatCode>
                <c:ptCount val="7"/>
                <c:pt idx="0">
                  <c:v>6.0539489862897172E-2</c:v>
                </c:pt>
                <c:pt idx="1">
                  <c:v>5.5683982087243594E-2</c:v>
                </c:pt>
                <c:pt idx="2">
                  <c:v>5.0957313287990948E-2</c:v>
                </c:pt>
                <c:pt idx="3">
                  <c:v>5.5146358525360047E-2</c:v>
                </c:pt>
                <c:pt idx="4">
                  <c:v>5.2280129236518404E-2</c:v>
                </c:pt>
                <c:pt idx="5">
                  <c:v>5.8284037437075872E-2</c:v>
                </c:pt>
                <c:pt idx="6" formatCode="0.0%">
                  <c:v>6.5968439180402794E-2</c:v>
                </c:pt>
              </c:numCache>
            </c:numRef>
          </c:val>
          <c:extLst xmlns:c16r2="http://schemas.microsoft.com/office/drawing/2015/06/chart">
            <c:ext xmlns:c16="http://schemas.microsoft.com/office/drawing/2014/chart" uri="{C3380CC4-5D6E-409C-BE32-E72D297353CC}">
              <c16:uniqueId val="{00000007-F767-43EB-8178-7E0DD34106F2}"/>
            </c:ext>
          </c:extLst>
        </c:ser>
        <c:ser>
          <c:idx val="8"/>
          <c:order val="8"/>
          <c:tx>
            <c:strRef>
              <c:f>Расходы!$A$26</c:f>
              <c:strCache>
                <c:ptCount val="1"/>
                <c:pt idx="0">
                  <c:v>Федорковское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Расходы!$B$26:$H$26</c:f>
              <c:numCache>
                <c:formatCode>0%</c:formatCode>
                <c:ptCount val="7"/>
                <c:pt idx="0">
                  <c:v>4.9764484547044664E-2</c:v>
                </c:pt>
                <c:pt idx="1">
                  <c:v>5.7956623413696055E-2</c:v>
                </c:pt>
                <c:pt idx="2">
                  <c:v>5.1419050123295479E-2</c:v>
                </c:pt>
                <c:pt idx="3">
                  <c:v>5.0120651894539014E-2</c:v>
                </c:pt>
                <c:pt idx="4">
                  <c:v>3.6654318264390216E-2</c:v>
                </c:pt>
                <c:pt idx="5">
                  <c:v>6.0273727226349813E-2</c:v>
                </c:pt>
                <c:pt idx="6" formatCode="0.0%">
                  <c:v>5.3703454477345834E-2</c:v>
                </c:pt>
              </c:numCache>
            </c:numRef>
          </c:val>
          <c:extLst xmlns:c16r2="http://schemas.microsoft.com/office/drawing/2015/06/chart">
            <c:ext xmlns:c16="http://schemas.microsoft.com/office/drawing/2014/chart" uri="{C3380CC4-5D6E-409C-BE32-E72D297353CC}">
              <c16:uniqueId val="{00000008-F767-43EB-8178-7E0DD34106F2}"/>
            </c:ext>
          </c:extLst>
        </c:ser>
        <c:ser>
          <c:idx val="9"/>
          <c:order val="9"/>
          <c:tx>
            <c:strRef>
              <c:f>Расходы!$A$27</c:f>
              <c:strCache>
                <c:ptCount val="1"/>
                <c:pt idx="0">
                  <c:v>Брюзлинское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Расходы!$B$27:$H$27</c:f>
              <c:numCache>
                <c:formatCode>0%</c:formatCode>
                <c:ptCount val="7"/>
                <c:pt idx="0">
                  <c:v>4.0023759556981384E-2</c:v>
                </c:pt>
                <c:pt idx="1">
                  <c:v>4.6505585232588895E-2</c:v>
                </c:pt>
                <c:pt idx="2">
                  <c:v>8.5171922424597327E-2</c:v>
                </c:pt>
                <c:pt idx="3">
                  <c:v>4.2226083600408922E-2</c:v>
                </c:pt>
                <c:pt idx="4">
                  <c:v>4.1507986453521932E-2</c:v>
                </c:pt>
                <c:pt idx="5">
                  <c:v>4.2399885500640562E-2</c:v>
                </c:pt>
                <c:pt idx="6" formatCode="0.0%">
                  <c:v>4.6706035541710933E-2</c:v>
                </c:pt>
              </c:numCache>
            </c:numRef>
          </c:val>
          <c:extLst xmlns:c16r2="http://schemas.microsoft.com/office/drawing/2015/06/chart">
            <c:ext xmlns:c16="http://schemas.microsoft.com/office/drawing/2014/chart" uri="{C3380CC4-5D6E-409C-BE32-E72D297353CC}">
              <c16:uniqueId val="{00000009-F767-43EB-8178-7E0DD34106F2}"/>
            </c:ext>
          </c:extLst>
        </c:ser>
        <c:ser>
          <c:idx val="10"/>
          <c:order val="10"/>
          <c:tx>
            <c:strRef>
              <c:f>Расходы!$A$28</c:f>
              <c:strCache>
                <c:ptCount val="1"/>
                <c:pt idx="0">
                  <c:v>Шермейское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Расходы!$B$28:$H$28</c:f>
              <c:numCache>
                <c:formatCode>0%</c:formatCode>
                <c:ptCount val="7"/>
                <c:pt idx="0">
                  <c:v>4.4030295746392174E-2</c:v>
                </c:pt>
                <c:pt idx="1">
                  <c:v>3.9197268438830819E-2</c:v>
                </c:pt>
                <c:pt idx="2">
                  <c:v>3.8231990682132642E-2</c:v>
                </c:pt>
                <c:pt idx="3">
                  <c:v>3.7404998590107291E-2</c:v>
                </c:pt>
                <c:pt idx="4">
                  <c:v>4.0939494991437175E-2</c:v>
                </c:pt>
                <c:pt idx="5">
                  <c:v>4.1907292397470826E-2</c:v>
                </c:pt>
                <c:pt idx="6" formatCode="0.0%">
                  <c:v>3.9172859306704354E-2</c:v>
                </c:pt>
              </c:numCache>
            </c:numRef>
          </c:val>
          <c:extLst xmlns:c16r2="http://schemas.microsoft.com/office/drawing/2015/06/chart">
            <c:ext xmlns:c16="http://schemas.microsoft.com/office/drawing/2014/chart" uri="{C3380CC4-5D6E-409C-BE32-E72D297353CC}">
              <c16:uniqueId val="{0000000A-F767-43EB-8178-7E0DD34106F2}"/>
            </c:ext>
          </c:extLst>
        </c:ser>
        <c:ser>
          <c:idx val="11"/>
          <c:order val="11"/>
          <c:tx>
            <c:strRef>
              <c:f>Расходы!$A$29</c:f>
              <c:strCache>
                <c:ptCount val="1"/>
                <c:pt idx="0">
                  <c:v>Новоашапское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Расходы!$B$29:$H$29</c:f>
              <c:numCache>
                <c:formatCode>0%</c:formatCode>
                <c:ptCount val="7"/>
                <c:pt idx="0">
                  <c:v>4.3127756154834683E-2</c:v>
                </c:pt>
                <c:pt idx="1">
                  <c:v>4.9594328033756824E-2</c:v>
                </c:pt>
                <c:pt idx="2">
                  <c:v>3.5561868669755206E-2</c:v>
                </c:pt>
                <c:pt idx="3">
                  <c:v>4.9759652775409467E-2</c:v>
                </c:pt>
                <c:pt idx="4">
                  <c:v>3.2532957907302651E-2</c:v>
                </c:pt>
                <c:pt idx="5">
                  <c:v>3.483010806316128E-2</c:v>
                </c:pt>
                <c:pt idx="6" formatCode="0.0%">
                  <c:v>3.6279769890096895E-2</c:v>
                </c:pt>
              </c:numCache>
            </c:numRef>
          </c:val>
          <c:extLst xmlns:c16r2="http://schemas.microsoft.com/office/drawing/2015/06/chart">
            <c:ext xmlns:c16="http://schemas.microsoft.com/office/drawing/2014/chart" uri="{C3380CC4-5D6E-409C-BE32-E72D297353CC}">
              <c16:uniqueId val="{0000000B-F767-43EB-8178-7E0DD34106F2}"/>
            </c:ext>
          </c:extLst>
        </c:ser>
        <c:shape val="box"/>
        <c:axId val="191172608"/>
        <c:axId val="191174144"/>
        <c:axId val="0"/>
      </c:bar3DChart>
      <c:catAx>
        <c:axId val="191172608"/>
        <c:scaling>
          <c:orientation val="minMax"/>
        </c:scaling>
        <c:axPos val="b"/>
        <c:numFmt formatCode="General" sourceLinked="0"/>
        <c:tickLblPos val="nextTo"/>
        <c:crossAx val="191174144"/>
        <c:crosses val="autoZero"/>
        <c:auto val="1"/>
        <c:lblAlgn val="ctr"/>
        <c:lblOffset val="100"/>
      </c:catAx>
      <c:valAx>
        <c:axId val="191174144"/>
        <c:scaling>
          <c:orientation val="minMax"/>
        </c:scaling>
        <c:axPos val="l"/>
        <c:majorGridlines/>
        <c:numFmt formatCode="0%" sourceLinked="1"/>
        <c:tickLblPos val="nextTo"/>
        <c:crossAx val="191172608"/>
        <c:crosses val="autoZero"/>
        <c:crossBetween val="between"/>
      </c:valAx>
    </c:plotArea>
    <c:legend>
      <c:legendPos val="b"/>
    </c:legend>
    <c:plotVisOnly val="1"/>
    <c:dispBlanksAs val="gap"/>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Расходы!$F$34</c:f>
              <c:strCache>
                <c:ptCount val="1"/>
                <c:pt idx="0">
                  <c:v>Доходы бюджета в расчете на 1 жителя, тыс.руб.</c:v>
                </c:pt>
              </c:strCache>
            </c:strRef>
          </c:tx>
          <c:dLbls>
            <c:spPr>
              <a:noFill/>
              <a:ln>
                <a:noFill/>
              </a:ln>
              <a:effectLst/>
            </c:spPr>
            <c:txPr>
              <a:bodyPr/>
              <a:lstStyle/>
              <a:p>
                <a:pPr>
                  <a:defRPr sz="95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Расходы!$A$35:$A$46</c:f>
              <c:strCache>
                <c:ptCount val="12"/>
                <c:pt idx="0">
                  <c:v>Новоашапское сельское поселение</c:v>
                </c:pt>
                <c:pt idx="1">
                  <c:v>Шермейское сельское поселение</c:v>
                </c:pt>
                <c:pt idx="2">
                  <c:v>Тюндюковское сельское поселение</c:v>
                </c:pt>
                <c:pt idx="3">
                  <c:v>Березниковское сельское поселение</c:v>
                </c:pt>
                <c:pt idx="4">
                  <c:v>Брюзлинское сельское поселение</c:v>
                </c:pt>
                <c:pt idx="5">
                  <c:v>Печменское сельское поселение</c:v>
                </c:pt>
                <c:pt idx="6">
                  <c:v>Федорковское сельское поселение</c:v>
                </c:pt>
                <c:pt idx="7">
                  <c:v>Бичуринское сельское поселение</c:v>
                </c:pt>
                <c:pt idx="8">
                  <c:v>Сарашевское сельское поселение</c:v>
                </c:pt>
                <c:pt idx="9">
                  <c:v>Елпачихинское сельское поселение</c:v>
                </c:pt>
                <c:pt idx="10">
                  <c:v>Красноярское сельское поселение</c:v>
                </c:pt>
                <c:pt idx="11">
                  <c:v>Бардымское сельское поселение</c:v>
                </c:pt>
              </c:strCache>
            </c:strRef>
          </c:cat>
          <c:val>
            <c:numRef>
              <c:f>Расходы!$F$35:$F$46</c:f>
              <c:numCache>
                <c:formatCode>0.000</c:formatCode>
                <c:ptCount val="12"/>
                <c:pt idx="0">
                  <c:v>10.547630331753551</c:v>
                </c:pt>
                <c:pt idx="1">
                  <c:v>9.5471816283924689</c:v>
                </c:pt>
                <c:pt idx="2">
                  <c:v>6.9563262195121984</c:v>
                </c:pt>
                <c:pt idx="3">
                  <c:v>6.5194281524927034</c:v>
                </c:pt>
                <c:pt idx="4">
                  <c:v>6.3035353535353345</c:v>
                </c:pt>
                <c:pt idx="5">
                  <c:v>5.7440572495332765</c:v>
                </c:pt>
                <c:pt idx="6">
                  <c:v>5.3472972972972945</c:v>
                </c:pt>
                <c:pt idx="7">
                  <c:v>4.8566585956417034</c:v>
                </c:pt>
                <c:pt idx="8">
                  <c:v>4.6273019702451732</c:v>
                </c:pt>
                <c:pt idx="9">
                  <c:v>4.5491649269311072</c:v>
                </c:pt>
                <c:pt idx="10">
                  <c:v>3.8747887950200077</c:v>
                </c:pt>
                <c:pt idx="11">
                  <c:v>3.2930599369085169</c:v>
                </c:pt>
              </c:numCache>
            </c:numRef>
          </c:val>
          <c:extLst xmlns:c16r2="http://schemas.microsoft.com/office/drawing/2015/06/chart">
            <c:ext xmlns:c16="http://schemas.microsoft.com/office/drawing/2014/chart" uri="{C3380CC4-5D6E-409C-BE32-E72D297353CC}">
              <c16:uniqueId val="{00000000-75F2-462D-B518-9EB04B6E634F}"/>
            </c:ext>
          </c:extLst>
        </c:ser>
        <c:ser>
          <c:idx val="1"/>
          <c:order val="1"/>
          <c:tx>
            <c:strRef>
              <c:f>Расходы!$G$34</c:f>
              <c:strCache>
                <c:ptCount val="1"/>
                <c:pt idx="0">
                  <c:v>Расходы бюджета в расчете на 1 жителя, тыс.руб.</c:v>
                </c:pt>
              </c:strCache>
            </c:strRef>
          </c:tx>
          <c:dLbls>
            <c:spPr>
              <a:noFill/>
              <a:ln>
                <a:noFill/>
              </a:ln>
              <a:effectLst/>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Расходы!$A$35:$A$46</c:f>
              <c:strCache>
                <c:ptCount val="12"/>
                <c:pt idx="0">
                  <c:v>Новоашапское сельское поселение</c:v>
                </c:pt>
                <c:pt idx="1">
                  <c:v>Шермейское сельское поселение</c:v>
                </c:pt>
                <c:pt idx="2">
                  <c:v>Тюндюковское сельское поселение</c:v>
                </c:pt>
                <c:pt idx="3">
                  <c:v>Березниковское сельское поселение</c:v>
                </c:pt>
                <c:pt idx="4">
                  <c:v>Брюзлинское сельское поселение</c:v>
                </c:pt>
                <c:pt idx="5">
                  <c:v>Печменское сельское поселение</c:v>
                </c:pt>
                <c:pt idx="6">
                  <c:v>Федорковское сельское поселение</c:v>
                </c:pt>
                <c:pt idx="7">
                  <c:v>Бичуринское сельское поселение</c:v>
                </c:pt>
                <c:pt idx="8">
                  <c:v>Сарашевское сельское поселение</c:v>
                </c:pt>
                <c:pt idx="9">
                  <c:v>Елпачихинское сельское поселение</c:v>
                </c:pt>
                <c:pt idx="10">
                  <c:v>Красноярское сельское поселение</c:v>
                </c:pt>
                <c:pt idx="11">
                  <c:v>Бардымское сельское поселение</c:v>
                </c:pt>
              </c:strCache>
            </c:strRef>
          </c:cat>
          <c:val>
            <c:numRef>
              <c:f>Расходы!$G$35:$G$46</c:f>
              <c:numCache>
                <c:formatCode>0.000</c:formatCode>
                <c:ptCount val="12"/>
                <c:pt idx="0">
                  <c:v>10.029146919431374</c:v>
                </c:pt>
                <c:pt idx="1">
                  <c:v>9.5402922755741137</c:v>
                </c:pt>
                <c:pt idx="2">
                  <c:v>6.8716463414634434</c:v>
                </c:pt>
                <c:pt idx="3">
                  <c:v>6.4520527859238488</c:v>
                </c:pt>
                <c:pt idx="4">
                  <c:v>6.8795454545454549</c:v>
                </c:pt>
                <c:pt idx="5">
                  <c:v>6.3347853142501558</c:v>
                </c:pt>
                <c:pt idx="6">
                  <c:v>5.2913006756756804</c:v>
                </c:pt>
                <c:pt idx="7">
                  <c:v>4.6584140435835346</c:v>
                </c:pt>
                <c:pt idx="8">
                  <c:v>4.3383192601527947</c:v>
                </c:pt>
                <c:pt idx="9">
                  <c:v>4.5242693110647183</c:v>
                </c:pt>
                <c:pt idx="10">
                  <c:v>3.8547799021787377</c:v>
                </c:pt>
                <c:pt idx="11">
                  <c:v>3.2891523354024632</c:v>
                </c:pt>
              </c:numCache>
            </c:numRef>
          </c:val>
          <c:extLst xmlns:c16r2="http://schemas.microsoft.com/office/drawing/2015/06/chart">
            <c:ext xmlns:c16="http://schemas.microsoft.com/office/drawing/2014/chart" uri="{C3380CC4-5D6E-409C-BE32-E72D297353CC}">
              <c16:uniqueId val="{00000001-75F2-462D-B518-9EB04B6E634F}"/>
            </c:ext>
          </c:extLst>
        </c:ser>
        <c:shape val="box"/>
        <c:axId val="191217664"/>
        <c:axId val="191219200"/>
        <c:axId val="0"/>
      </c:bar3DChart>
      <c:catAx>
        <c:axId val="191217664"/>
        <c:scaling>
          <c:orientation val="minMax"/>
        </c:scaling>
        <c:axPos val="l"/>
        <c:numFmt formatCode="General" sourceLinked="0"/>
        <c:tickLblPos val="nextTo"/>
        <c:crossAx val="191219200"/>
        <c:crosses val="autoZero"/>
        <c:auto val="1"/>
        <c:lblAlgn val="ctr"/>
        <c:lblOffset val="100"/>
      </c:catAx>
      <c:valAx>
        <c:axId val="191219200"/>
        <c:scaling>
          <c:orientation val="minMax"/>
        </c:scaling>
        <c:axPos val="b"/>
        <c:majorGridlines/>
        <c:numFmt formatCode="0.000" sourceLinked="1"/>
        <c:tickLblPos val="nextTo"/>
        <c:crossAx val="191217664"/>
        <c:crosses val="autoZero"/>
        <c:crossBetween val="between"/>
      </c:valAx>
    </c:plotArea>
    <c:legend>
      <c:legendPos val="b"/>
    </c:legend>
    <c:plotVisOnly val="1"/>
    <c:dispBlanksAs val="gap"/>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3861018386900743E-2"/>
          <c:y val="2.4580531148083978E-2"/>
          <c:w val="0.88007858044113652"/>
          <c:h val="0.45626159562903151"/>
        </c:manualLayout>
      </c:layout>
      <c:areaChart>
        <c:grouping val="stacked"/>
        <c:ser>
          <c:idx val="0"/>
          <c:order val="0"/>
          <c:tx>
            <c:strRef>
              <c:f>Лист3!$F$45</c:f>
              <c:strCache>
                <c:ptCount val="1"/>
                <c:pt idx="0">
                  <c:v>2015</c:v>
                </c:pt>
              </c:strCache>
            </c:strRef>
          </c:tx>
          <c:spPr>
            <a:solidFill>
              <a:schemeClr val="accent1"/>
            </a:solidFill>
            <a:ln>
              <a:noFill/>
            </a:ln>
            <a:effectLst/>
          </c:spPr>
          <c:cat>
            <c:strRef>
              <c:f>Лист3!$E$46:$E$79</c:f>
              <c:strCache>
                <c:ptCount val="34"/>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Соликамский </c:v>
                </c:pt>
                <c:pt idx="26">
                  <c:v>Суксунский </c:v>
                </c:pt>
                <c:pt idx="27">
                  <c:v>Уинский </c:v>
                </c:pt>
                <c:pt idx="28">
                  <c:v>Усольский </c:v>
                </c:pt>
                <c:pt idx="29">
                  <c:v>Чайковский </c:v>
                </c:pt>
                <c:pt idx="30">
                  <c:v>Частинский </c:v>
                </c:pt>
                <c:pt idx="31">
                  <c:v>Чердынский </c:v>
                </c:pt>
                <c:pt idx="32">
                  <c:v>Чернушинский </c:v>
                </c:pt>
                <c:pt idx="33">
                  <c:v>Чусовской </c:v>
                </c:pt>
              </c:strCache>
            </c:strRef>
          </c:cat>
          <c:val>
            <c:numRef>
              <c:f>Лист3!$F$46:$F$79</c:f>
              <c:numCache>
                <c:formatCode>General</c:formatCode>
                <c:ptCount val="34"/>
                <c:pt idx="0">
                  <c:v>10252.023800000004</c:v>
                </c:pt>
                <c:pt idx="1">
                  <c:v>10548.9532</c:v>
                </c:pt>
                <c:pt idx="2">
                  <c:v>448.47529999999864</c:v>
                </c:pt>
                <c:pt idx="3">
                  <c:v>200.5001</c:v>
                </c:pt>
                <c:pt idx="4">
                  <c:v>4468.5648000000001</c:v>
                </c:pt>
                <c:pt idx="5">
                  <c:v>6997.1844000000001</c:v>
                </c:pt>
                <c:pt idx="6">
                  <c:v>635.85619999998755</c:v>
                </c:pt>
                <c:pt idx="7">
                  <c:v>38529.370600000002</c:v>
                </c:pt>
                <c:pt idx="8">
                  <c:v>1206.3001999999999</c:v>
                </c:pt>
                <c:pt idx="9">
                  <c:v>1229.9504999999999</c:v>
                </c:pt>
                <c:pt idx="10">
                  <c:v>1133.6807999999999</c:v>
                </c:pt>
                <c:pt idx="11">
                  <c:v>1208.6448999999998</c:v>
                </c:pt>
                <c:pt idx="12">
                  <c:v>356.37970000000001</c:v>
                </c:pt>
                <c:pt idx="13">
                  <c:v>9899.3519999996861</c:v>
                </c:pt>
                <c:pt idx="14">
                  <c:v>19938.189300000002</c:v>
                </c:pt>
                <c:pt idx="15">
                  <c:v>39827.039100000002</c:v>
                </c:pt>
                <c:pt idx="16">
                  <c:v>8943.2916000000005</c:v>
                </c:pt>
                <c:pt idx="17">
                  <c:v>12273.8277</c:v>
                </c:pt>
                <c:pt idx="18">
                  <c:v>17590.063200000001</c:v>
                </c:pt>
                <c:pt idx="19">
                  <c:v>6119.5962000000054</c:v>
                </c:pt>
                <c:pt idx="20">
                  <c:v>15796.2901</c:v>
                </c:pt>
                <c:pt idx="21">
                  <c:v>534.37840000000051</c:v>
                </c:pt>
                <c:pt idx="22">
                  <c:v>1816.6517999999999</c:v>
                </c:pt>
                <c:pt idx="23">
                  <c:v>16903.0229</c:v>
                </c:pt>
                <c:pt idx="24">
                  <c:v>580.71780000000001</c:v>
                </c:pt>
                <c:pt idx="25">
                  <c:v>10004.0906</c:v>
                </c:pt>
                <c:pt idx="26">
                  <c:v>1877.7977000000001</c:v>
                </c:pt>
                <c:pt idx="27">
                  <c:v>7115.5630999999994</c:v>
                </c:pt>
                <c:pt idx="28">
                  <c:v>41392.159800000001</c:v>
                </c:pt>
                <c:pt idx="29">
                  <c:v>84160.052899999908</c:v>
                </c:pt>
                <c:pt idx="30">
                  <c:v>11995.967799999848</c:v>
                </c:pt>
                <c:pt idx="31">
                  <c:v>261.33339999999669</c:v>
                </c:pt>
                <c:pt idx="32">
                  <c:v>27098.000600000003</c:v>
                </c:pt>
                <c:pt idx="33">
                  <c:v>8893.460099999822</c:v>
                </c:pt>
              </c:numCache>
            </c:numRef>
          </c:val>
          <c:extLst xmlns:c16r2="http://schemas.microsoft.com/office/drawing/2015/06/chart">
            <c:ext xmlns:c16="http://schemas.microsoft.com/office/drawing/2014/chart" uri="{C3380CC4-5D6E-409C-BE32-E72D297353CC}">
              <c16:uniqueId val="{00000000-8EEA-432B-ABA3-C28BDC137A8D}"/>
            </c:ext>
          </c:extLst>
        </c:ser>
        <c:ser>
          <c:idx val="1"/>
          <c:order val="1"/>
          <c:tx>
            <c:strRef>
              <c:f>Лист3!$G$45</c:f>
              <c:strCache>
                <c:ptCount val="1"/>
                <c:pt idx="0">
                  <c:v>2016</c:v>
                </c:pt>
              </c:strCache>
            </c:strRef>
          </c:tx>
          <c:spPr>
            <a:solidFill>
              <a:schemeClr val="accent2"/>
            </a:solidFill>
            <a:ln>
              <a:noFill/>
            </a:ln>
            <a:effectLst/>
          </c:spPr>
          <c:cat>
            <c:strRef>
              <c:f>Лист3!$E$46:$E$79</c:f>
              <c:strCache>
                <c:ptCount val="34"/>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Соликамский </c:v>
                </c:pt>
                <c:pt idx="26">
                  <c:v>Суксунский </c:v>
                </c:pt>
                <c:pt idx="27">
                  <c:v>Уинский </c:v>
                </c:pt>
                <c:pt idx="28">
                  <c:v>Усольский </c:v>
                </c:pt>
                <c:pt idx="29">
                  <c:v>Чайковский </c:v>
                </c:pt>
                <c:pt idx="30">
                  <c:v>Частинский </c:v>
                </c:pt>
                <c:pt idx="31">
                  <c:v>Чердынский </c:v>
                </c:pt>
                <c:pt idx="32">
                  <c:v>Чернушинский </c:v>
                </c:pt>
                <c:pt idx="33">
                  <c:v>Чусовской </c:v>
                </c:pt>
              </c:strCache>
            </c:strRef>
          </c:cat>
          <c:val>
            <c:numRef>
              <c:f>Лист3!$G$46:$G$79</c:f>
              <c:numCache>
                <c:formatCode>General</c:formatCode>
                <c:ptCount val="34"/>
                <c:pt idx="0">
                  <c:v>10388.4882</c:v>
                </c:pt>
                <c:pt idx="1">
                  <c:v>10713.121400000016</c:v>
                </c:pt>
                <c:pt idx="2">
                  <c:v>609.14659999999947</c:v>
                </c:pt>
                <c:pt idx="3">
                  <c:v>167.4504000000023</c:v>
                </c:pt>
                <c:pt idx="4">
                  <c:v>4787.9852000000001</c:v>
                </c:pt>
                <c:pt idx="5">
                  <c:v>8044.7735999999995</c:v>
                </c:pt>
                <c:pt idx="6">
                  <c:v>529.17540000000054</c:v>
                </c:pt>
                <c:pt idx="7">
                  <c:v>36643.310000000012</c:v>
                </c:pt>
                <c:pt idx="8">
                  <c:v>1143.2918999999999</c:v>
                </c:pt>
                <c:pt idx="9">
                  <c:v>1149.5311999999999</c:v>
                </c:pt>
                <c:pt idx="10">
                  <c:v>1355.5600999999999</c:v>
                </c:pt>
                <c:pt idx="11">
                  <c:v>735.63209999999947</c:v>
                </c:pt>
                <c:pt idx="12">
                  <c:v>495.88420000000002</c:v>
                </c:pt>
                <c:pt idx="13">
                  <c:v>9017.1398000000008</c:v>
                </c:pt>
                <c:pt idx="14">
                  <c:v>20584.468300000121</c:v>
                </c:pt>
                <c:pt idx="15">
                  <c:v>38199.482800000013</c:v>
                </c:pt>
                <c:pt idx="16">
                  <c:v>8757.6603000000014</c:v>
                </c:pt>
                <c:pt idx="17">
                  <c:v>13378.802699999838</c:v>
                </c:pt>
                <c:pt idx="18">
                  <c:v>17398.372600000002</c:v>
                </c:pt>
                <c:pt idx="19">
                  <c:v>6732.8239000000003</c:v>
                </c:pt>
                <c:pt idx="20">
                  <c:v>15794.750099999987</c:v>
                </c:pt>
                <c:pt idx="21">
                  <c:v>471.76309999999899</c:v>
                </c:pt>
                <c:pt idx="22">
                  <c:v>1784.6768</c:v>
                </c:pt>
                <c:pt idx="23">
                  <c:v>23144.479899999998</c:v>
                </c:pt>
                <c:pt idx="24">
                  <c:v>513.13259999999946</c:v>
                </c:pt>
                <c:pt idx="25">
                  <c:v>10777.268599999989</c:v>
                </c:pt>
                <c:pt idx="26">
                  <c:v>2068.6271000000002</c:v>
                </c:pt>
                <c:pt idx="27">
                  <c:v>8252.4862999998404</c:v>
                </c:pt>
                <c:pt idx="28">
                  <c:v>37810.002100000005</c:v>
                </c:pt>
                <c:pt idx="29">
                  <c:v>86776.730100000001</c:v>
                </c:pt>
                <c:pt idx="30">
                  <c:v>12361.2739</c:v>
                </c:pt>
                <c:pt idx="31">
                  <c:v>224.68929999999997</c:v>
                </c:pt>
                <c:pt idx="32">
                  <c:v>27875.0452</c:v>
                </c:pt>
                <c:pt idx="33">
                  <c:v>9019.8316999998387</c:v>
                </c:pt>
              </c:numCache>
            </c:numRef>
          </c:val>
          <c:extLst xmlns:c16r2="http://schemas.microsoft.com/office/drawing/2015/06/chart">
            <c:ext xmlns:c16="http://schemas.microsoft.com/office/drawing/2014/chart" uri="{C3380CC4-5D6E-409C-BE32-E72D297353CC}">
              <c16:uniqueId val="{00000001-8EEA-432B-ABA3-C28BDC137A8D}"/>
            </c:ext>
          </c:extLst>
        </c:ser>
        <c:axId val="191321600"/>
        <c:axId val="191323136"/>
      </c:areaChart>
      <c:catAx>
        <c:axId val="191321600"/>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23136"/>
        <c:crosses val="autoZero"/>
        <c:auto val="1"/>
        <c:lblAlgn val="ctr"/>
        <c:lblOffset val="100"/>
      </c:catAx>
      <c:valAx>
        <c:axId val="1913231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21600"/>
        <c:crosses val="autoZero"/>
        <c:crossBetween val="midCat"/>
      </c:valAx>
      <c:spPr>
        <a:noFill/>
        <a:ln w="25400">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206306787814791E-2"/>
                  <c:y val="-4.32474936111657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4A-497E-ADB9-DF0096640EBF}"/>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4A-497E-ADB9-DF0096640EBF}"/>
                </c:ext>
              </c:extLst>
            </c:dLbl>
            <c:dLbl>
              <c:idx val="2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4A-497E-ADB9-DF0096640EBF}"/>
                </c:ext>
              </c:extLst>
            </c:dLbl>
            <c:dLbl>
              <c:idx val="28"/>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4A-497E-ADB9-DF0096640EBF}"/>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Лист6!$K$2:$K$33</c:f>
              <c:strCache>
                <c:ptCount val="32"/>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Суксунский </c:v>
                </c:pt>
                <c:pt idx="26">
                  <c:v>Уинский </c:v>
                </c:pt>
                <c:pt idx="27">
                  <c:v>Усольский </c:v>
                </c:pt>
                <c:pt idx="28">
                  <c:v>Чайковский </c:v>
                </c:pt>
                <c:pt idx="29">
                  <c:v>Чердынский </c:v>
                </c:pt>
                <c:pt idx="30">
                  <c:v>Чернушинский </c:v>
                </c:pt>
                <c:pt idx="31">
                  <c:v>Чусовской </c:v>
                </c:pt>
              </c:strCache>
            </c:strRef>
          </c:cat>
          <c:val>
            <c:numRef>
              <c:f>Лист6!$L$2:$L$33</c:f>
              <c:numCache>
                <c:formatCode>General</c:formatCode>
                <c:ptCount val="32"/>
                <c:pt idx="0">
                  <c:v>424.61180000000002</c:v>
                </c:pt>
                <c:pt idx="1">
                  <c:v>10722.234600000014</c:v>
                </c:pt>
                <c:pt idx="2">
                  <c:v>232.55520000000001</c:v>
                </c:pt>
                <c:pt idx="3">
                  <c:v>136.63399999999999</c:v>
                </c:pt>
                <c:pt idx="4">
                  <c:v>776.64289999999949</c:v>
                </c:pt>
                <c:pt idx="5">
                  <c:v>516.17520000000002</c:v>
                </c:pt>
                <c:pt idx="6">
                  <c:v>243.83940000000001</c:v>
                </c:pt>
                <c:pt idx="7">
                  <c:v>2938.9677999999999</c:v>
                </c:pt>
                <c:pt idx="8">
                  <c:v>176.34900000000002</c:v>
                </c:pt>
                <c:pt idx="9">
                  <c:v>172.309</c:v>
                </c:pt>
                <c:pt idx="10">
                  <c:v>333.96099999999899</c:v>
                </c:pt>
                <c:pt idx="11">
                  <c:v>422.16429999999997</c:v>
                </c:pt>
                <c:pt idx="12">
                  <c:v>32.139500000000012</c:v>
                </c:pt>
                <c:pt idx="13">
                  <c:v>242.084</c:v>
                </c:pt>
                <c:pt idx="14">
                  <c:v>2591.2036000000003</c:v>
                </c:pt>
                <c:pt idx="15">
                  <c:v>380.54050000000001</c:v>
                </c:pt>
                <c:pt idx="16">
                  <c:v>40.270400000000002</c:v>
                </c:pt>
                <c:pt idx="17">
                  <c:v>2033.4301</c:v>
                </c:pt>
                <c:pt idx="18">
                  <c:v>434.17990000000032</c:v>
                </c:pt>
                <c:pt idx="19">
                  <c:v>295.19940000000008</c:v>
                </c:pt>
                <c:pt idx="20">
                  <c:v>756.18390000000352</c:v>
                </c:pt>
                <c:pt idx="21">
                  <c:v>282.02679999999663</c:v>
                </c:pt>
                <c:pt idx="22">
                  <c:v>1620.6751000000002</c:v>
                </c:pt>
                <c:pt idx="23">
                  <c:v>9177.2774000000009</c:v>
                </c:pt>
                <c:pt idx="24">
                  <c:v>376.96229999999969</c:v>
                </c:pt>
                <c:pt idx="25">
                  <c:v>416.88259999999963</c:v>
                </c:pt>
                <c:pt idx="26">
                  <c:v>165.0309</c:v>
                </c:pt>
                <c:pt idx="27">
                  <c:v>133.89950000000002</c:v>
                </c:pt>
                <c:pt idx="28">
                  <c:v>11155.759800000002</c:v>
                </c:pt>
                <c:pt idx="29">
                  <c:v>106.8994</c:v>
                </c:pt>
                <c:pt idx="30">
                  <c:v>1417.7623999999998</c:v>
                </c:pt>
                <c:pt idx="31">
                  <c:v>2355.0316000000012</c:v>
                </c:pt>
              </c:numCache>
            </c:numRef>
          </c:val>
          <c:extLst xmlns:c16r2="http://schemas.microsoft.com/office/drawing/2015/06/chart">
            <c:ext xmlns:c16="http://schemas.microsoft.com/office/drawing/2014/chart" uri="{C3380CC4-5D6E-409C-BE32-E72D297353CC}">
              <c16:uniqueId val="{00000004-F24A-497E-ADB9-DF0096640EBF}"/>
            </c:ext>
          </c:extLst>
        </c:ser>
        <c:marker val="1"/>
        <c:axId val="191355904"/>
        <c:axId val="191402752"/>
      </c:lineChart>
      <c:catAx>
        <c:axId val="191355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02752"/>
        <c:crosses val="autoZero"/>
        <c:auto val="1"/>
        <c:lblAlgn val="ctr"/>
        <c:lblOffset val="100"/>
      </c:catAx>
      <c:valAx>
        <c:axId val="191402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559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Лист12!$B$2</c:f>
              <c:strCache>
                <c:ptCount val="1"/>
                <c:pt idx="0">
                  <c:v>2015</c:v>
                </c:pt>
              </c:strCache>
            </c:strRef>
          </c:tx>
          <c:spPr>
            <a:solidFill>
              <a:schemeClr val="accent1"/>
            </a:solidFill>
            <a:ln>
              <a:noFill/>
            </a:ln>
            <a:effectLst/>
          </c:spPr>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F5-4F86-BE66-8AA127328C6B}"/>
                </c:ext>
              </c:extLst>
            </c:dLbl>
            <c:dLbl>
              <c:idx val="1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F5-4F86-BE66-8AA127328C6B}"/>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Лист12!$A$3:$A$36</c:f>
              <c:strCache>
                <c:ptCount val="34"/>
                <c:pt idx="0">
                  <c:v>Пермский </c:v>
                </c:pt>
                <c:pt idx="1">
                  <c:v>Добрянский </c:v>
                </c:pt>
                <c:pt idx="2">
                  <c:v>Чернушинский </c:v>
                </c:pt>
                <c:pt idx="3">
                  <c:v>Чайковский </c:v>
                </c:pt>
                <c:pt idx="4">
                  <c:v>Краснокамский </c:v>
                </c:pt>
                <c:pt idx="5">
                  <c:v>Красновишерский </c:v>
                </c:pt>
                <c:pt idx="6">
                  <c:v>Октябрьский</c:v>
                </c:pt>
                <c:pt idx="7">
                  <c:v>Очерский </c:v>
                </c:pt>
                <c:pt idx="8">
                  <c:v>Березовский </c:v>
                </c:pt>
                <c:pt idx="9">
                  <c:v>Ординский </c:v>
                </c:pt>
                <c:pt idx="10">
                  <c:v>Бардымский </c:v>
                </c:pt>
                <c:pt idx="11">
                  <c:v>Кунгурский </c:v>
                </c:pt>
                <c:pt idx="12">
                  <c:v>Усольский </c:v>
                </c:pt>
                <c:pt idx="13">
                  <c:v>Куединский </c:v>
                </c:pt>
                <c:pt idx="14">
                  <c:v>Осинский </c:v>
                </c:pt>
                <c:pt idx="15">
                  <c:v>Суксунский </c:v>
                </c:pt>
                <c:pt idx="16">
                  <c:v>Чусовской </c:v>
                </c:pt>
                <c:pt idx="17">
                  <c:v>Уинский </c:v>
                </c:pt>
                <c:pt idx="18">
                  <c:v>Верещагинский </c:v>
                </c:pt>
                <c:pt idx="19">
                  <c:v>Нытвенский </c:v>
                </c:pt>
                <c:pt idx="20">
                  <c:v>Ильинский </c:v>
                </c:pt>
                <c:pt idx="21">
                  <c:v>Александровский </c:v>
                </c:pt>
                <c:pt idx="22">
                  <c:v>Карагайский </c:v>
                </c:pt>
                <c:pt idx="23">
                  <c:v>Соликамский </c:v>
                </c:pt>
                <c:pt idx="24">
                  <c:v>Чердынский </c:v>
                </c:pt>
                <c:pt idx="25">
                  <c:v>Оханский </c:v>
                </c:pt>
                <c:pt idx="26">
                  <c:v>Кишертский </c:v>
                </c:pt>
                <c:pt idx="27">
                  <c:v>Горнозаводский </c:v>
                </c:pt>
                <c:pt idx="28">
                  <c:v>Сивинский </c:v>
                </c:pt>
                <c:pt idx="29">
                  <c:v>Большесосновский </c:v>
                </c:pt>
                <c:pt idx="30">
                  <c:v>Кизеловский </c:v>
                </c:pt>
                <c:pt idx="31">
                  <c:v>Гремячинский </c:v>
                </c:pt>
                <c:pt idx="32">
                  <c:v>Частинский </c:v>
                </c:pt>
                <c:pt idx="33">
                  <c:v>Еловский </c:v>
                </c:pt>
              </c:strCache>
            </c:strRef>
          </c:cat>
          <c:val>
            <c:numRef>
              <c:f>Лист12!$B$3:$B$36</c:f>
              <c:numCache>
                <c:formatCode>0.0</c:formatCode>
                <c:ptCount val="34"/>
                <c:pt idx="0">
                  <c:v>129.56</c:v>
                </c:pt>
                <c:pt idx="1">
                  <c:v>88.289000000000001</c:v>
                </c:pt>
                <c:pt idx="2">
                  <c:v>76.191000000000003</c:v>
                </c:pt>
                <c:pt idx="3">
                  <c:v>53.053800000000003</c:v>
                </c:pt>
                <c:pt idx="4">
                  <c:v>52.373000000000005</c:v>
                </c:pt>
                <c:pt idx="5">
                  <c:v>43.612000000000002</c:v>
                </c:pt>
                <c:pt idx="6">
                  <c:v>42.422000000000011</c:v>
                </c:pt>
                <c:pt idx="7">
                  <c:v>39.601000000000006</c:v>
                </c:pt>
                <c:pt idx="8">
                  <c:v>36.772000000000013</c:v>
                </c:pt>
                <c:pt idx="9">
                  <c:v>36.221400000000003</c:v>
                </c:pt>
                <c:pt idx="10">
                  <c:v>33.870000000000005</c:v>
                </c:pt>
                <c:pt idx="11">
                  <c:v>30.737400000000001</c:v>
                </c:pt>
                <c:pt idx="12">
                  <c:v>29.131700000000031</c:v>
                </c:pt>
                <c:pt idx="13">
                  <c:v>28.998999999999889</c:v>
                </c:pt>
                <c:pt idx="14">
                  <c:v>28.487999999999989</c:v>
                </c:pt>
                <c:pt idx="15">
                  <c:v>26.7</c:v>
                </c:pt>
                <c:pt idx="16">
                  <c:v>25.856999999999999</c:v>
                </c:pt>
                <c:pt idx="17">
                  <c:v>21.552</c:v>
                </c:pt>
                <c:pt idx="18">
                  <c:v>17.464999999999989</c:v>
                </c:pt>
                <c:pt idx="19">
                  <c:v>14.688000000000001</c:v>
                </c:pt>
                <c:pt idx="20">
                  <c:v>12.917</c:v>
                </c:pt>
                <c:pt idx="21">
                  <c:v>11.363700000000026</c:v>
                </c:pt>
                <c:pt idx="22">
                  <c:v>11.041</c:v>
                </c:pt>
                <c:pt idx="23">
                  <c:v>10.98982</c:v>
                </c:pt>
                <c:pt idx="24">
                  <c:v>7.7809999999999997</c:v>
                </c:pt>
                <c:pt idx="25">
                  <c:v>7.1849999999999845</c:v>
                </c:pt>
                <c:pt idx="26">
                  <c:v>5.0739999999999998</c:v>
                </c:pt>
                <c:pt idx="27">
                  <c:v>4.1449999999999845</c:v>
                </c:pt>
                <c:pt idx="28">
                  <c:v>3.3779999999999997</c:v>
                </c:pt>
                <c:pt idx="29">
                  <c:v>2.7746999999999997</c:v>
                </c:pt>
                <c:pt idx="30">
                  <c:v>1.4669999999999774</c:v>
                </c:pt>
                <c:pt idx="31">
                  <c:v>1.4604999999999801</c:v>
                </c:pt>
                <c:pt idx="32">
                  <c:v>0.995</c:v>
                </c:pt>
                <c:pt idx="33">
                  <c:v>0.14470000000000041</c:v>
                </c:pt>
              </c:numCache>
            </c:numRef>
          </c:val>
          <c:extLst xmlns:c16r2="http://schemas.microsoft.com/office/drawing/2015/06/chart">
            <c:ext xmlns:c16="http://schemas.microsoft.com/office/drawing/2014/chart" uri="{C3380CC4-5D6E-409C-BE32-E72D297353CC}">
              <c16:uniqueId val="{00000002-3DF5-4F86-BE66-8AA127328C6B}"/>
            </c:ext>
          </c:extLst>
        </c:ser>
        <c:gapWidth val="219"/>
        <c:overlap val="-27"/>
        <c:axId val="191409536"/>
        <c:axId val="191452288"/>
      </c:barChart>
      <c:catAx>
        <c:axId val="191409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52288"/>
        <c:crosses val="autoZero"/>
        <c:auto val="1"/>
        <c:lblAlgn val="ctr"/>
        <c:lblOffset val="100"/>
      </c:catAx>
      <c:valAx>
        <c:axId val="191452288"/>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09536"/>
        <c:crosses val="autoZero"/>
        <c:crossBetween val="between"/>
      </c:valAx>
      <c:spPr>
        <a:noFill/>
        <a:ln w="25400">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spPr>
            <a:solidFill>
              <a:srgbClr val="5B9BD5"/>
            </a:solidFill>
            <a:ln w="25400">
              <a:noFill/>
            </a:ln>
          </c:spPr>
          <c:dLbls>
            <c:spPr>
              <a:noFill/>
              <a:ln w="25400">
                <a:noFill/>
              </a:ln>
            </c:spPr>
            <c:showVal val="1"/>
            <c:extLst xmlns:c16r2="http://schemas.microsoft.com/office/drawing/2015/06/chart">
              <c:ext xmlns:c15="http://schemas.microsoft.com/office/drawing/2012/chart" uri="{CE6537A1-D6FC-4f65-9D91-7224C49458BB}">
                <c15:showLeaderLines val="0"/>
              </c:ext>
            </c:extLst>
          </c:dLbls>
          <c:cat>
            <c:strRef>
              <c:f>Лист14!$D$1:$D$34</c:f>
              <c:strCache>
                <c:ptCount val="34"/>
                <c:pt idx="0">
                  <c:v>Гремячинский </c:v>
                </c:pt>
                <c:pt idx="1">
                  <c:v>Еловский </c:v>
                </c:pt>
                <c:pt idx="2">
                  <c:v>Уинский </c:v>
                </c:pt>
                <c:pt idx="3">
                  <c:v>Оханский </c:v>
                </c:pt>
                <c:pt idx="4">
                  <c:v>Березовский </c:v>
                </c:pt>
                <c:pt idx="5">
                  <c:v>Кишертский </c:v>
                </c:pt>
                <c:pt idx="6">
                  <c:v>Большесосновский </c:v>
                </c:pt>
                <c:pt idx="7">
                  <c:v>Соликамский </c:v>
                </c:pt>
                <c:pt idx="8">
                  <c:v>Усольский </c:v>
                </c:pt>
                <c:pt idx="9">
                  <c:v>Кизеловский </c:v>
                </c:pt>
                <c:pt idx="10">
                  <c:v>Частинский </c:v>
                </c:pt>
                <c:pt idx="11">
                  <c:v>Ординский </c:v>
                </c:pt>
                <c:pt idx="12">
                  <c:v>Чердынский </c:v>
                </c:pt>
                <c:pt idx="13">
                  <c:v>Сивинский </c:v>
                </c:pt>
                <c:pt idx="14">
                  <c:v>Очерский </c:v>
                </c:pt>
                <c:pt idx="15">
                  <c:v>Ильинский </c:v>
                </c:pt>
                <c:pt idx="16">
                  <c:v>Суксунский </c:v>
                </c:pt>
                <c:pt idx="17">
                  <c:v>Горнозаводский </c:v>
                </c:pt>
                <c:pt idx="18">
                  <c:v>Красновишерский </c:v>
                </c:pt>
                <c:pt idx="19">
                  <c:v>Карагайский </c:v>
                </c:pt>
                <c:pt idx="20">
                  <c:v>Бардымский </c:v>
                </c:pt>
                <c:pt idx="21">
                  <c:v>Александровский </c:v>
                </c:pt>
                <c:pt idx="22">
                  <c:v>Осинский </c:v>
                </c:pt>
                <c:pt idx="23">
                  <c:v>Октябрьский </c:v>
                </c:pt>
                <c:pt idx="24">
                  <c:v>Куединский </c:v>
                </c:pt>
                <c:pt idx="25">
                  <c:v>Нытвенский </c:v>
                </c:pt>
                <c:pt idx="26">
                  <c:v>Верещагинский </c:v>
                </c:pt>
                <c:pt idx="27">
                  <c:v>Кунгурский </c:v>
                </c:pt>
                <c:pt idx="28">
                  <c:v>Добрянский </c:v>
                </c:pt>
                <c:pt idx="29">
                  <c:v>Чернушинский </c:v>
                </c:pt>
                <c:pt idx="30">
                  <c:v>Краснокамский </c:v>
                </c:pt>
                <c:pt idx="31">
                  <c:v>Чусовской </c:v>
                </c:pt>
                <c:pt idx="32">
                  <c:v>Чайковский </c:v>
                </c:pt>
                <c:pt idx="33">
                  <c:v>Пермский </c:v>
                </c:pt>
              </c:strCache>
            </c:strRef>
          </c:cat>
          <c:val>
            <c:numRef>
              <c:f>Лист14!$E$1:$E$34</c:f>
              <c:numCache>
                <c:formatCode>0.00</c:formatCode>
                <c:ptCount val="34"/>
                <c:pt idx="0">
                  <c:v>238.93350000000001</c:v>
                </c:pt>
                <c:pt idx="1">
                  <c:v>315.55940000000032</c:v>
                </c:pt>
                <c:pt idx="2">
                  <c:v>333.85419999999999</c:v>
                </c:pt>
                <c:pt idx="3">
                  <c:v>381.94840000000005</c:v>
                </c:pt>
                <c:pt idx="4">
                  <c:v>408.60040000000032</c:v>
                </c:pt>
                <c:pt idx="5">
                  <c:v>417.07400000000001</c:v>
                </c:pt>
                <c:pt idx="6">
                  <c:v>420.767</c:v>
                </c:pt>
                <c:pt idx="7">
                  <c:v>429.20699999999869</c:v>
                </c:pt>
                <c:pt idx="8">
                  <c:v>463.70590000000004</c:v>
                </c:pt>
                <c:pt idx="9">
                  <c:v>470.06400000000002</c:v>
                </c:pt>
                <c:pt idx="10">
                  <c:v>477.72389999999899</c:v>
                </c:pt>
                <c:pt idx="11">
                  <c:v>484.08149999999893</c:v>
                </c:pt>
                <c:pt idx="12">
                  <c:v>497.7</c:v>
                </c:pt>
                <c:pt idx="13">
                  <c:v>517.2971</c:v>
                </c:pt>
                <c:pt idx="14">
                  <c:v>530.04859999999996</c:v>
                </c:pt>
                <c:pt idx="15">
                  <c:v>537.70769999999948</c:v>
                </c:pt>
                <c:pt idx="16">
                  <c:v>542.17360000000053</c:v>
                </c:pt>
                <c:pt idx="17">
                  <c:v>553.07100000000003</c:v>
                </c:pt>
                <c:pt idx="18">
                  <c:v>628.49919999999997</c:v>
                </c:pt>
                <c:pt idx="19">
                  <c:v>684.90699999999947</c:v>
                </c:pt>
                <c:pt idx="20">
                  <c:v>688.12189999999998</c:v>
                </c:pt>
                <c:pt idx="21">
                  <c:v>720.85569999999746</c:v>
                </c:pt>
                <c:pt idx="22">
                  <c:v>758.23050000000001</c:v>
                </c:pt>
                <c:pt idx="23">
                  <c:v>807.45279999999946</c:v>
                </c:pt>
                <c:pt idx="24">
                  <c:v>899.93639999999948</c:v>
                </c:pt>
                <c:pt idx="25">
                  <c:v>929.65</c:v>
                </c:pt>
                <c:pt idx="26">
                  <c:v>965.41239999999948</c:v>
                </c:pt>
                <c:pt idx="27">
                  <c:v>1081.5890999999999</c:v>
                </c:pt>
                <c:pt idx="28">
                  <c:v>1189.9853000000001</c:v>
                </c:pt>
                <c:pt idx="29">
                  <c:v>1337.1941999999756</c:v>
                </c:pt>
                <c:pt idx="30">
                  <c:v>1445.3</c:v>
                </c:pt>
                <c:pt idx="31">
                  <c:v>1531.5391000000002</c:v>
                </c:pt>
                <c:pt idx="32">
                  <c:v>1977.8729999999998</c:v>
                </c:pt>
                <c:pt idx="33">
                  <c:v>2780.1465999999987</c:v>
                </c:pt>
              </c:numCache>
            </c:numRef>
          </c:val>
          <c:extLst xmlns:c16r2="http://schemas.microsoft.com/office/drawing/2015/06/chart">
            <c:ext xmlns:c16="http://schemas.microsoft.com/office/drawing/2014/chart" uri="{C3380CC4-5D6E-409C-BE32-E72D297353CC}">
              <c16:uniqueId val="{00000000-BD5A-4716-8384-0728DD011D29}"/>
            </c:ext>
          </c:extLst>
        </c:ser>
        <c:gapWidth val="182"/>
        <c:axId val="191488384"/>
        <c:axId val="191489920"/>
      </c:barChart>
      <c:catAx>
        <c:axId val="1914883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89920"/>
        <c:crosses val="autoZero"/>
        <c:auto val="1"/>
        <c:lblAlgn val="ctr"/>
        <c:lblOffset val="100"/>
      </c:catAx>
      <c:valAx>
        <c:axId val="191489920"/>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88384"/>
        <c:crosses val="autoZero"/>
        <c:crossBetween val="between"/>
      </c:valAx>
      <c:spPr>
        <a:noFill/>
        <a:ln w="25400">
          <a:noFill/>
        </a:ln>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dLbl>
              <c:idx val="2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D5-4EE0-A3F1-A79514CDC1FD}"/>
                </c:ext>
              </c:extLst>
            </c:dLbl>
            <c:dLbl>
              <c:idx val="3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D5-4EE0-A3F1-A79514CDC1FD}"/>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Лист8!$E$1:$E$34</c:f>
              <c:strCache>
                <c:ptCount val="34"/>
                <c:pt idx="0">
                  <c:v>Гремячинский муниципальный район</c:v>
                </c:pt>
                <c:pt idx="1">
                  <c:v>Еловский муниципальный район</c:v>
                </c:pt>
                <c:pt idx="2">
                  <c:v>Уинский муниципальный район</c:v>
                </c:pt>
                <c:pt idx="3">
                  <c:v>Оханский муниципальный район</c:v>
                </c:pt>
                <c:pt idx="4">
                  <c:v>Березовский муниципальный район</c:v>
                </c:pt>
                <c:pt idx="5">
                  <c:v>Большесосновский муниципальный район</c:v>
                </c:pt>
                <c:pt idx="6">
                  <c:v>Кишертский муниципальный район</c:v>
                </c:pt>
                <c:pt idx="7">
                  <c:v>Усольский муниципальный район</c:v>
                </c:pt>
                <c:pt idx="8">
                  <c:v>Кизеловский муниципальный район</c:v>
                </c:pt>
                <c:pt idx="9">
                  <c:v>Соликамский муниципальный район</c:v>
                </c:pt>
                <c:pt idx="10">
                  <c:v>Частинский муниципальный район</c:v>
                </c:pt>
                <c:pt idx="11">
                  <c:v>Очерский муниципальный район</c:v>
                </c:pt>
                <c:pt idx="12">
                  <c:v>Ординский муниципальный район</c:v>
                </c:pt>
                <c:pt idx="13">
                  <c:v>Чердынский муниципальный район</c:v>
                </c:pt>
                <c:pt idx="14">
                  <c:v>Сивинский муниципальный район</c:v>
                </c:pt>
                <c:pt idx="15">
                  <c:v>Суксунский муниципальный район</c:v>
                </c:pt>
                <c:pt idx="16">
                  <c:v>Ильинский муниципальный район</c:v>
                </c:pt>
                <c:pt idx="17">
                  <c:v>Горнозаводский муниципальный район</c:v>
                </c:pt>
                <c:pt idx="18">
                  <c:v>Красновишерский муниципальный район</c:v>
                </c:pt>
                <c:pt idx="19">
                  <c:v>Карагайский муниципальный  район</c:v>
                </c:pt>
                <c:pt idx="20">
                  <c:v>Бардымский муниципальный район</c:v>
                </c:pt>
                <c:pt idx="21">
                  <c:v>Александровский муниципальный район</c:v>
                </c:pt>
                <c:pt idx="22">
                  <c:v>Осинский муниципальный  район</c:v>
                </c:pt>
                <c:pt idx="23">
                  <c:v>Октябрьский муниципальный  район</c:v>
                </c:pt>
                <c:pt idx="24">
                  <c:v>Куединский муниципальный район</c:v>
                </c:pt>
                <c:pt idx="25">
                  <c:v>Нытвенский муниципальный район</c:v>
                </c:pt>
                <c:pt idx="26">
                  <c:v>Верещагинский муниципальный район</c:v>
                </c:pt>
                <c:pt idx="27">
                  <c:v>Кунгурский муниципальный район</c:v>
                </c:pt>
                <c:pt idx="28">
                  <c:v>Добрянский муниципальный район</c:v>
                </c:pt>
                <c:pt idx="29">
                  <c:v>Чернушинский муниципальный район</c:v>
                </c:pt>
                <c:pt idx="30">
                  <c:v>Краснокамский муниципальный район</c:v>
                </c:pt>
                <c:pt idx="31">
                  <c:v>Чусовской муниципальный район</c:v>
                </c:pt>
                <c:pt idx="32">
                  <c:v>Чайковский муниципальный район</c:v>
                </c:pt>
                <c:pt idx="33">
                  <c:v>Пермский муниципальный район</c:v>
                </c:pt>
              </c:strCache>
            </c:strRef>
          </c:cat>
          <c:val>
            <c:numRef>
              <c:f>Лист8!$F$1:$F$34</c:f>
              <c:numCache>
                <c:formatCode>General</c:formatCode>
                <c:ptCount val="34"/>
                <c:pt idx="0">
                  <c:v>223.24489999999992</c:v>
                </c:pt>
                <c:pt idx="1">
                  <c:v>317.50220000000002</c:v>
                </c:pt>
                <c:pt idx="2">
                  <c:v>331.45619999999349</c:v>
                </c:pt>
                <c:pt idx="3">
                  <c:v>378.6782</c:v>
                </c:pt>
                <c:pt idx="4">
                  <c:v>406.59549999999899</c:v>
                </c:pt>
                <c:pt idx="5">
                  <c:v>417.70599999999899</c:v>
                </c:pt>
                <c:pt idx="6">
                  <c:v>422.28509999999869</c:v>
                </c:pt>
                <c:pt idx="7">
                  <c:v>464.07400000000001</c:v>
                </c:pt>
                <c:pt idx="8">
                  <c:v>466.73599999999863</c:v>
                </c:pt>
                <c:pt idx="9">
                  <c:v>470.48509999999823</c:v>
                </c:pt>
                <c:pt idx="10">
                  <c:v>478.40479999999963</c:v>
                </c:pt>
                <c:pt idx="11">
                  <c:v>499.77099999999899</c:v>
                </c:pt>
                <c:pt idx="12">
                  <c:v>509.26849999999899</c:v>
                </c:pt>
                <c:pt idx="13">
                  <c:v>520.82239999999797</c:v>
                </c:pt>
                <c:pt idx="14">
                  <c:v>525.16719999999748</c:v>
                </c:pt>
                <c:pt idx="15">
                  <c:v>528.33109999999749</c:v>
                </c:pt>
                <c:pt idx="16">
                  <c:v>539.77010000000053</c:v>
                </c:pt>
                <c:pt idx="17">
                  <c:v>550.06199999999797</c:v>
                </c:pt>
                <c:pt idx="18">
                  <c:v>613.67640000000051</c:v>
                </c:pt>
                <c:pt idx="19">
                  <c:v>680.66849999999999</c:v>
                </c:pt>
                <c:pt idx="20">
                  <c:v>696.56899999999996</c:v>
                </c:pt>
                <c:pt idx="21">
                  <c:v>716.48109999999997</c:v>
                </c:pt>
                <c:pt idx="22">
                  <c:v>752.17969999999991</c:v>
                </c:pt>
                <c:pt idx="23">
                  <c:v>828.42630000000008</c:v>
                </c:pt>
                <c:pt idx="24">
                  <c:v>911.91949999999997</c:v>
                </c:pt>
                <c:pt idx="25">
                  <c:v>939.24669999999946</c:v>
                </c:pt>
                <c:pt idx="26">
                  <c:v>972.07940000000053</c:v>
                </c:pt>
                <c:pt idx="27">
                  <c:v>1089.4484</c:v>
                </c:pt>
                <c:pt idx="28">
                  <c:v>1213.5552</c:v>
                </c:pt>
                <c:pt idx="29">
                  <c:v>1334.6515999999999</c:v>
                </c:pt>
                <c:pt idx="30">
                  <c:v>1444.3810999999998</c:v>
                </c:pt>
                <c:pt idx="31">
                  <c:v>1576.3402999999998</c:v>
                </c:pt>
                <c:pt idx="32">
                  <c:v>2007.9949999999999</c:v>
                </c:pt>
                <c:pt idx="33">
                  <c:v>2773.2247999999599</c:v>
                </c:pt>
              </c:numCache>
            </c:numRef>
          </c:val>
          <c:extLst xmlns:c16r2="http://schemas.microsoft.com/office/drawing/2015/06/chart">
            <c:ext xmlns:c16="http://schemas.microsoft.com/office/drawing/2014/chart" uri="{C3380CC4-5D6E-409C-BE32-E72D297353CC}">
              <c16:uniqueId val="{00000002-54D5-4EE0-A3F1-A79514CDC1FD}"/>
            </c:ext>
          </c:extLst>
        </c:ser>
        <c:gapWidth val="219"/>
        <c:overlap val="-27"/>
        <c:axId val="191538304"/>
        <c:axId val="191539840"/>
      </c:barChart>
      <c:catAx>
        <c:axId val="191538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39840"/>
        <c:crosses val="autoZero"/>
        <c:auto val="1"/>
        <c:lblAlgn val="ctr"/>
        <c:lblOffset val="100"/>
      </c:catAx>
      <c:valAx>
        <c:axId val="191539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383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view3D>
      <c:rotX val="30"/>
      <c:rotY val="200"/>
      <c:perspective val="30"/>
    </c:view3D>
    <c:plotArea>
      <c:layout/>
      <c:pie3DChart>
        <c:varyColors val="1"/>
        <c:ser>
          <c:idx val="0"/>
          <c:order val="0"/>
          <c:dLbls>
            <c:dLbl>
              <c:idx val="0"/>
              <c:layout>
                <c:manualLayout>
                  <c:x val="-2.6250345351568016E-2"/>
                  <c:y val="-7.5127467072658534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18-4FE6-9C6F-59A27A5AA1B6}"/>
                </c:ext>
              </c:extLst>
            </c:dLbl>
            <c:dLbl>
              <c:idx val="1"/>
              <c:layout>
                <c:manualLayout>
                  <c:x val="3.5640281806880011E-4"/>
                  <c:y val="-9.129005400004758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18-4FE6-9C6F-59A27A5AA1B6}"/>
                </c:ext>
              </c:extLst>
            </c:dLbl>
            <c:spPr>
              <a:noFill/>
              <a:ln>
                <a:noFill/>
              </a:ln>
              <a:effectLst/>
            </c:spPr>
            <c:txPr>
              <a:bodyPr/>
              <a:lstStyle/>
              <a:p>
                <a:pPr>
                  <a:defRPr baseline="0">
                    <a:latin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Лист10!$A$2:$A$10</c:f>
              <c:strCache>
                <c:ptCount val="9"/>
                <c:pt idx="0">
                  <c:v>Месторождение добычи нефти и газа</c:v>
                </c:pt>
                <c:pt idx="1">
                  <c:v>Месторождение красной глины</c:v>
                </c:pt>
                <c:pt idx="2">
                  <c:v>Месторождение ПГС</c:v>
                </c:pt>
                <c:pt idx="3">
                  <c:v>Месторождение строительного песка</c:v>
                </c:pt>
                <c:pt idx="4">
                  <c:v>Месторождение торфа</c:v>
                </c:pt>
                <c:pt idx="5">
                  <c:v>Пищевое производство</c:v>
                </c:pt>
                <c:pt idx="6">
                  <c:v>Сельское хозяйство</c:v>
                </c:pt>
                <c:pt idx="7">
                  <c:v>Торговля</c:v>
                </c:pt>
                <c:pt idx="8">
                  <c:v>Производство строительных материалов</c:v>
                </c:pt>
              </c:strCache>
            </c:strRef>
          </c:cat>
          <c:val>
            <c:numRef>
              <c:f>Лист10!$E$2:$E$10</c:f>
              <c:numCache>
                <c:formatCode>General</c:formatCode>
                <c:ptCount val="9"/>
                <c:pt idx="0">
                  <c:v>4</c:v>
                </c:pt>
                <c:pt idx="1">
                  <c:v>3</c:v>
                </c:pt>
                <c:pt idx="2">
                  <c:v>7</c:v>
                </c:pt>
                <c:pt idx="3">
                  <c:v>2</c:v>
                </c:pt>
                <c:pt idx="4">
                  <c:v>2</c:v>
                </c:pt>
                <c:pt idx="5">
                  <c:v>2</c:v>
                </c:pt>
                <c:pt idx="6">
                  <c:v>12</c:v>
                </c:pt>
                <c:pt idx="7">
                  <c:v>12</c:v>
                </c:pt>
                <c:pt idx="8">
                  <c:v>5</c:v>
                </c:pt>
              </c:numCache>
            </c:numRef>
          </c:val>
          <c:extLst xmlns:c16r2="http://schemas.microsoft.com/office/drawing/2015/06/chart">
            <c:ext xmlns:c16="http://schemas.microsoft.com/office/drawing/2014/chart" uri="{C3380CC4-5D6E-409C-BE32-E72D297353CC}">
              <c16:uniqueId val="{00000002-5918-4FE6-9C6F-59A27A5AA1B6}"/>
            </c:ext>
          </c:extLst>
        </c:ser>
      </c:pie3DChart>
    </c:plotArea>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демография!$G$234</c:f>
              <c:strCache>
                <c:ptCount val="1"/>
                <c:pt idx="0">
                  <c:v>Прибыло, человек</c:v>
                </c:pt>
              </c:strCache>
            </c:strRef>
          </c:tx>
          <c:spPr>
            <a:solidFill>
              <a:schemeClr val="accent1"/>
            </a:solidFill>
            <a:ln>
              <a:noFill/>
            </a:ln>
            <a:effectLst/>
          </c:spPr>
          <c:dLbls>
            <c:dLbl>
              <c:idx val="4"/>
              <c:layout>
                <c:manualLayout>
                  <c:x val="-8.3333333333333367E-3"/>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46-4837-B81F-886D296A24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демография!$F$235:$F$241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демография!$G$235:$G$241</c:f>
              <c:numCache>
                <c:formatCode>General</c:formatCode>
                <c:ptCount val="7"/>
                <c:pt idx="0">
                  <c:v>533</c:v>
                </c:pt>
                <c:pt idx="1">
                  <c:v>1532</c:v>
                </c:pt>
                <c:pt idx="2">
                  <c:v>1764</c:v>
                </c:pt>
                <c:pt idx="3">
                  <c:v>1926</c:v>
                </c:pt>
                <c:pt idx="4">
                  <c:v>1640</c:v>
                </c:pt>
                <c:pt idx="5">
                  <c:v>1798</c:v>
                </c:pt>
                <c:pt idx="6">
                  <c:v>2006</c:v>
                </c:pt>
              </c:numCache>
            </c:numRef>
          </c:val>
          <c:extLst xmlns:c16r2="http://schemas.microsoft.com/office/drawing/2015/06/chart">
            <c:ext xmlns:c16="http://schemas.microsoft.com/office/drawing/2014/chart" uri="{C3380CC4-5D6E-409C-BE32-E72D297353CC}">
              <c16:uniqueId val="{00000001-9D46-4837-B81F-886D296A246A}"/>
            </c:ext>
          </c:extLst>
        </c:ser>
        <c:ser>
          <c:idx val="1"/>
          <c:order val="1"/>
          <c:tx>
            <c:strRef>
              <c:f>демография!$H$234</c:f>
              <c:strCache>
                <c:ptCount val="1"/>
                <c:pt idx="0">
                  <c:v>Убыло, человек</c:v>
                </c:pt>
              </c:strCache>
            </c:strRef>
          </c:tx>
          <c:spPr>
            <a:solidFill>
              <a:schemeClr val="accent2"/>
            </a:solidFill>
            <a:ln>
              <a:noFill/>
            </a:ln>
            <a:effectLst/>
          </c:spPr>
          <c:dLbls>
            <c:dLbl>
              <c:idx val="3"/>
              <c:layout>
                <c:manualLayout>
                  <c:x val="1.6666666666666701E-2"/>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46-4837-B81F-886D296A246A}"/>
                </c:ext>
              </c:extLst>
            </c:dLbl>
            <c:dLbl>
              <c:idx val="5"/>
              <c:layout>
                <c:manualLayout>
                  <c:x val="1.9444444444444361E-2"/>
                  <c:y val="9.259259259259555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46-4837-B81F-886D296A246A}"/>
                </c:ext>
              </c:extLst>
            </c:dLbl>
            <c:dLbl>
              <c:idx val="6"/>
              <c:layout>
                <c:manualLayout>
                  <c:x val="2.4999999999999897E-2"/>
                  <c:y val="-4.2437781360070364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46-4837-B81F-886D296A24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демография!$F$235:$F$241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демография!$H$235:$H$241</c:f>
              <c:numCache>
                <c:formatCode>General</c:formatCode>
                <c:ptCount val="7"/>
                <c:pt idx="0">
                  <c:v>301</c:v>
                </c:pt>
                <c:pt idx="1">
                  <c:v>1701</c:v>
                </c:pt>
                <c:pt idx="2">
                  <c:v>1935</c:v>
                </c:pt>
                <c:pt idx="3">
                  <c:v>2021</c:v>
                </c:pt>
                <c:pt idx="4">
                  <c:v>2076</c:v>
                </c:pt>
                <c:pt idx="5">
                  <c:v>1737</c:v>
                </c:pt>
                <c:pt idx="6">
                  <c:v>2038</c:v>
                </c:pt>
              </c:numCache>
            </c:numRef>
          </c:val>
          <c:extLst xmlns:c16r2="http://schemas.microsoft.com/office/drawing/2015/06/chart">
            <c:ext xmlns:c16="http://schemas.microsoft.com/office/drawing/2014/chart" uri="{C3380CC4-5D6E-409C-BE32-E72D297353CC}">
              <c16:uniqueId val="{00000005-9D46-4837-B81F-886D296A246A}"/>
            </c:ext>
          </c:extLst>
        </c:ser>
        <c:gapWidth val="219"/>
        <c:overlap val="-27"/>
        <c:axId val="88898560"/>
        <c:axId val="88904448"/>
      </c:barChart>
      <c:catAx>
        <c:axId val="88898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904448"/>
        <c:crosses val="autoZero"/>
        <c:auto val="1"/>
        <c:lblAlgn val="ctr"/>
        <c:lblOffset val="100"/>
      </c:catAx>
      <c:valAx>
        <c:axId val="88904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898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Оптимистический!$B$3</c:f>
              <c:strCache>
                <c:ptCount val="1"/>
                <c:pt idx="0">
                  <c:v>Численность постоянного населения, тыс.чел.</c:v>
                </c:pt>
              </c:strCache>
            </c:strRef>
          </c:tx>
          <c:dLbls>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Оптимистический!$C$3:$I$3</c:f>
              <c:numCache>
                <c:formatCode>General</c:formatCode>
                <c:ptCount val="7"/>
                <c:pt idx="0">
                  <c:v>25291</c:v>
                </c:pt>
                <c:pt idx="1">
                  <c:v>25202</c:v>
                </c:pt>
                <c:pt idx="2">
                  <c:v>25232</c:v>
                </c:pt>
                <c:pt idx="3">
                  <c:v>25133</c:v>
                </c:pt>
                <c:pt idx="4">
                  <c:v>24989</c:v>
                </c:pt>
                <c:pt idx="5">
                  <c:v>24800</c:v>
                </c:pt>
                <c:pt idx="6">
                  <c:v>24568</c:v>
                </c:pt>
              </c:numCache>
            </c:numRef>
          </c:val>
        </c:ser>
        <c:shape val="box"/>
        <c:axId val="191831424"/>
        <c:axId val="191865984"/>
        <c:axId val="0"/>
      </c:bar3DChart>
      <c:catAx>
        <c:axId val="191831424"/>
        <c:scaling>
          <c:orientation val="minMax"/>
        </c:scaling>
        <c:axPos val="b"/>
        <c:numFmt formatCode="General" sourceLinked="1"/>
        <c:tickLblPos val="nextTo"/>
        <c:crossAx val="191865984"/>
        <c:crosses val="autoZero"/>
        <c:auto val="1"/>
        <c:lblAlgn val="ctr"/>
        <c:lblOffset val="100"/>
      </c:catAx>
      <c:valAx>
        <c:axId val="191865984"/>
        <c:scaling>
          <c:orientation val="minMax"/>
        </c:scaling>
        <c:axPos val="l"/>
        <c:majorGridlines/>
        <c:numFmt formatCode="General" sourceLinked="1"/>
        <c:tickLblPos val="nextTo"/>
        <c:crossAx val="191831424"/>
        <c:crosses val="autoZero"/>
        <c:crossBetween val="between"/>
      </c:valAx>
    </c:plotArea>
    <c:plotVisOnly val="1"/>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Оптимистический!$B$5</c:f>
              <c:strCache>
                <c:ptCount val="1"/>
                <c:pt idx="0">
                  <c:v>Индекс промышленного производства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Оптимистический!$C$5:$I$5</c:f>
              <c:numCache>
                <c:formatCode>General</c:formatCode>
                <c:ptCount val="7"/>
                <c:pt idx="0">
                  <c:v>101.26</c:v>
                </c:pt>
                <c:pt idx="1">
                  <c:v>135.22</c:v>
                </c:pt>
                <c:pt idx="2">
                  <c:v>130.97</c:v>
                </c:pt>
                <c:pt idx="3">
                  <c:v>135.87</c:v>
                </c:pt>
                <c:pt idx="4">
                  <c:v>143.03</c:v>
                </c:pt>
                <c:pt idx="5">
                  <c:v>152.41999999999999</c:v>
                </c:pt>
                <c:pt idx="6">
                  <c:v>163.97</c:v>
                </c:pt>
              </c:numCache>
            </c:numRef>
          </c:val>
        </c:ser>
        <c:marker val="1"/>
        <c:axId val="191881600"/>
        <c:axId val="191883136"/>
      </c:lineChart>
      <c:catAx>
        <c:axId val="191881600"/>
        <c:scaling>
          <c:orientation val="minMax"/>
        </c:scaling>
        <c:axPos val="b"/>
        <c:numFmt formatCode="General" sourceLinked="1"/>
        <c:tickLblPos val="nextTo"/>
        <c:crossAx val="191883136"/>
        <c:crosses val="autoZero"/>
        <c:auto val="1"/>
        <c:lblAlgn val="ctr"/>
        <c:lblOffset val="100"/>
      </c:catAx>
      <c:valAx>
        <c:axId val="191883136"/>
        <c:scaling>
          <c:orientation val="minMax"/>
        </c:scaling>
        <c:axPos val="l"/>
        <c:majorGridlines/>
        <c:numFmt formatCode="General" sourceLinked="1"/>
        <c:tickLblPos val="nextTo"/>
        <c:crossAx val="191881600"/>
        <c:crosses val="autoZero"/>
        <c:crossBetween val="between"/>
      </c:valAx>
    </c:plotArea>
    <c:plotVisOnly val="1"/>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Оптимистический!$B$19</c:f>
              <c:strCache>
                <c:ptCount val="1"/>
                <c:pt idx="0">
                  <c:v>Динамика начисленной заработной платы работников предприятий и организаций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Оптимистический!$C$19:$I$19</c:f>
              <c:numCache>
                <c:formatCode>General</c:formatCode>
                <c:ptCount val="7"/>
                <c:pt idx="0">
                  <c:v>108.9</c:v>
                </c:pt>
                <c:pt idx="1">
                  <c:v>108.36</c:v>
                </c:pt>
                <c:pt idx="2">
                  <c:v>108.17999999999998</c:v>
                </c:pt>
                <c:pt idx="3">
                  <c:v>109.56</c:v>
                </c:pt>
                <c:pt idx="4">
                  <c:v>111.58</c:v>
                </c:pt>
                <c:pt idx="5">
                  <c:v>114.21000000000002</c:v>
                </c:pt>
                <c:pt idx="6">
                  <c:v>117.46000000000002</c:v>
                </c:pt>
              </c:numCache>
            </c:numRef>
          </c:val>
        </c:ser>
        <c:marker val="1"/>
        <c:axId val="191906944"/>
        <c:axId val="191908480"/>
      </c:lineChart>
      <c:catAx>
        <c:axId val="191906944"/>
        <c:scaling>
          <c:orientation val="minMax"/>
        </c:scaling>
        <c:axPos val="b"/>
        <c:numFmt formatCode="General" sourceLinked="1"/>
        <c:tickLblPos val="nextTo"/>
        <c:crossAx val="191908480"/>
        <c:crosses val="autoZero"/>
        <c:auto val="1"/>
        <c:lblAlgn val="ctr"/>
        <c:lblOffset val="100"/>
      </c:catAx>
      <c:valAx>
        <c:axId val="191908480"/>
        <c:scaling>
          <c:orientation val="minMax"/>
        </c:scaling>
        <c:axPos val="l"/>
        <c:majorGridlines/>
        <c:numFmt formatCode="General" sourceLinked="1"/>
        <c:tickLblPos val="nextTo"/>
        <c:crossAx val="191906944"/>
        <c:crosses val="autoZero"/>
        <c:crossBetween val="between"/>
      </c:valAx>
    </c:plotArea>
    <c:plotVisOnly val="1"/>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Оптимистический!$B$27</c:f>
              <c:strCache>
                <c:ptCount val="1"/>
                <c:pt idx="0">
                  <c:v>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Оптимистический!$C$27:$I$27</c:f>
              <c:numCache>
                <c:formatCode>General</c:formatCode>
                <c:ptCount val="7"/>
                <c:pt idx="0">
                  <c:v>113.3</c:v>
                </c:pt>
                <c:pt idx="1">
                  <c:v>98.28</c:v>
                </c:pt>
                <c:pt idx="2">
                  <c:v>99.210000000000022</c:v>
                </c:pt>
                <c:pt idx="3">
                  <c:v>91.85</c:v>
                </c:pt>
                <c:pt idx="4">
                  <c:v>81.099999999999994</c:v>
                </c:pt>
                <c:pt idx="5">
                  <c:v>107.2</c:v>
                </c:pt>
                <c:pt idx="6">
                  <c:v>100.05</c:v>
                </c:pt>
              </c:numCache>
            </c:numRef>
          </c:val>
        </c:ser>
        <c:marker val="1"/>
        <c:axId val="191928192"/>
        <c:axId val="191929728"/>
      </c:lineChart>
      <c:catAx>
        <c:axId val="191928192"/>
        <c:scaling>
          <c:orientation val="minMax"/>
        </c:scaling>
        <c:axPos val="b"/>
        <c:numFmt formatCode="General" sourceLinked="1"/>
        <c:tickLblPos val="nextTo"/>
        <c:crossAx val="191929728"/>
        <c:crosses val="autoZero"/>
        <c:auto val="1"/>
        <c:lblAlgn val="ctr"/>
        <c:lblOffset val="100"/>
      </c:catAx>
      <c:valAx>
        <c:axId val="191929728"/>
        <c:scaling>
          <c:orientation val="minMax"/>
        </c:scaling>
        <c:axPos val="l"/>
        <c:majorGridlines/>
        <c:numFmt formatCode="General" sourceLinked="1"/>
        <c:tickLblPos val="nextTo"/>
        <c:crossAx val="191928192"/>
        <c:crosses val="autoZero"/>
        <c:crossBetween val="between"/>
      </c:valAx>
    </c:plotArea>
    <c:plotVisOnly val="1"/>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доходов'!$A$41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доходов'!$B$41:$M$41</c:f>
              <c:numCache>
                <c:formatCode>0%</c:formatCode>
                <c:ptCount val="12"/>
                <c:pt idx="0">
                  <c:v>0.67679974174110202</c:v>
                </c:pt>
                <c:pt idx="1">
                  <c:v>0.16476572133168918</c:v>
                </c:pt>
                <c:pt idx="2">
                  <c:v>0.13176927147645262</c:v>
                </c:pt>
                <c:pt idx="3">
                  <c:v>0.52870608397600649</c:v>
                </c:pt>
                <c:pt idx="4">
                  <c:v>0.42790110088431732</c:v>
                </c:pt>
                <c:pt idx="5">
                  <c:v>0.26777739608382001</c:v>
                </c:pt>
                <c:pt idx="6">
                  <c:v>8.1991577904384438E-2</c:v>
                </c:pt>
                <c:pt idx="7">
                  <c:v>0.9224497912109767</c:v>
                </c:pt>
                <c:pt idx="8">
                  <c:v>0.75162484574249788</c:v>
                </c:pt>
                <c:pt idx="9">
                  <c:v>0.14342774146695741</c:v>
                </c:pt>
                <c:pt idx="10">
                  <c:v>0.1660867548132684</c:v>
                </c:pt>
                <c:pt idx="11">
                  <c:v>0.10575635876840712</c:v>
                </c:pt>
              </c:numCache>
            </c:numRef>
          </c:val>
          <c:extLst xmlns:c16r2="http://schemas.microsoft.com/office/drawing/2015/06/chart">
            <c:ext xmlns:c16="http://schemas.microsoft.com/office/drawing/2014/chart" uri="{C3380CC4-5D6E-409C-BE32-E72D297353CC}">
              <c16:uniqueId val="{00000000-3557-4566-AB54-02081CB5A1E2}"/>
            </c:ext>
          </c:extLst>
        </c:ser>
        <c:ser>
          <c:idx val="1"/>
          <c:order val="1"/>
          <c:tx>
            <c:strRef>
              <c:f>'Структура доходов'!$A$42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доходов'!$B$42:$M$42</c:f>
              <c:numCache>
                <c:formatCode>0%</c:formatCode>
                <c:ptCount val="12"/>
                <c:pt idx="0">
                  <c:v>0.10341116969762185</c:v>
                </c:pt>
                <c:pt idx="1">
                  <c:v>0.37207151664611593</c:v>
                </c:pt>
                <c:pt idx="2">
                  <c:v>0.42529546657258777</c:v>
                </c:pt>
                <c:pt idx="3">
                  <c:v>0.41673807483576131</c:v>
                </c:pt>
                <c:pt idx="4">
                  <c:v>0.36617939000180488</c:v>
                </c:pt>
                <c:pt idx="5">
                  <c:v>0.45087598763311582</c:v>
                </c:pt>
                <c:pt idx="6">
                  <c:v>0.34629675501610074</c:v>
                </c:pt>
                <c:pt idx="7">
                  <c:v>3.3704513819844899E-2</c:v>
                </c:pt>
                <c:pt idx="8">
                  <c:v>0.20633484162895918</c:v>
                </c:pt>
                <c:pt idx="9">
                  <c:v>0.46477850399419351</c:v>
                </c:pt>
                <c:pt idx="10">
                  <c:v>0.5933658083971235</c:v>
                </c:pt>
                <c:pt idx="11">
                  <c:v>0.51673360107094957</c:v>
                </c:pt>
              </c:numCache>
            </c:numRef>
          </c:val>
          <c:extLst xmlns:c16r2="http://schemas.microsoft.com/office/drawing/2015/06/chart">
            <c:ext xmlns:c16="http://schemas.microsoft.com/office/drawing/2014/chart" uri="{C3380CC4-5D6E-409C-BE32-E72D297353CC}">
              <c16:uniqueId val="{00000001-3557-4566-AB54-02081CB5A1E2}"/>
            </c:ext>
          </c:extLst>
        </c:ser>
        <c:ser>
          <c:idx val="2"/>
          <c:order val="2"/>
          <c:tx>
            <c:strRef>
              <c:f>'Структура доходов'!$A$43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доходов'!$B$43:$M$43</c:f>
              <c:numCache>
                <c:formatCode>0%</c:formatCode>
                <c:ptCount val="12"/>
                <c:pt idx="0">
                  <c:v>0.21978908856128573</c:v>
                </c:pt>
                <c:pt idx="1">
                  <c:v>0.46316276202219481</c:v>
                </c:pt>
                <c:pt idx="2">
                  <c:v>0.44293526195096394</c:v>
                </c:pt>
                <c:pt idx="3">
                  <c:v>5.4555841188231931E-2</c:v>
                </c:pt>
                <c:pt idx="4">
                  <c:v>0.20591950911387841</c:v>
                </c:pt>
                <c:pt idx="5">
                  <c:v>0.28134661628306712</c:v>
                </c:pt>
                <c:pt idx="6">
                  <c:v>0.57171166707952104</c:v>
                </c:pt>
                <c:pt idx="7">
                  <c:v>4.3845694969178804E-2</c:v>
                </c:pt>
                <c:pt idx="8">
                  <c:v>4.2040312628547925E-2</c:v>
                </c:pt>
                <c:pt idx="9">
                  <c:v>0.39179375453885257</c:v>
                </c:pt>
                <c:pt idx="10">
                  <c:v>0.24054743678961013</c:v>
                </c:pt>
                <c:pt idx="11">
                  <c:v>0.37751004016064715</c:v>
                </c:pt>
              </c:numCache>
            </c:numRef>
          </c:val>
          <c:extLst xmlns:c16r2="http://schemas.microsoft.com/office/drawing/2015/06/chart">
            <c:ext xmlns:c16="http://schemas.microsoft.com/office/drawing/2014/chart" uri="{C3380CC4-5D6E-409C-BE32-E72D297353CC}">
              <c16:uniqueId val="{00000002-3557-4566-AB54-02081CB5A1E2}"/>
            </c:ext>
          </c:extLst>
        </c:ser>
        <c:shape val="box"/>
        <c:axId val="192017920"/>
        <c:axId val="192019456"/>
        <c:axId val="0"/>
      </c:bar3DChart>
      <c:catAx>
        <c:axId val="192017920"/>
        <c:scaling>
          <c:orientation val="minMax"/>
        </c:scaling>
        <c:axPos val="b"/>
        <c:numFmt formatCode="General" sourceLinked="0"/>
        <c:tickLblPos val="nextTo"/>
        <c:crossAx val="192019456"/>
        <c:crosses val="autoZero"/>
        <c:auto val="1"/>
        <c:lblAlgn val="ctr"/>
        <c:lblOffset val="100"/>
      </c:catAx>
      <c:valAx>
        <c:axId val="192019456"/>
        <c:scaling>
          <c:orientation val="minMax"/>
        </c:scaling>
        <c:axPos val="l"/>
        <c:majorGridlines/>
        <c:numFmt formatCode="0%" sourceLinked="1"/>
        <c:tickLblPos val="nextTo"/>
        <c:crossAx val="192017920"/>
        <c:crosses val="autoZero"/>
        <c:crossBetween val="between"/>
      </c:valAx>
    </c:plotArea>
    <c:legend>
      <c:legendPos val="b"/>
    </c:legend>
    <c:plotVisOnly val="1"/>
    <c:dispBlanksAs val="gap"/>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доходов'!$A$46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доходов'!$B$46:$M$46</c:f>
              <c:numCache>
                <c:formatCode>0%</c:formatCode>
                <c:ptCount val="12"/>
                <c:pt idx="0">
                  <c:v>0.51162411112138861</c:v>
                </c:pt>
                <c:pt idx="1">
                  <c:v>8.6588494484947751E-2</c:v>
                </c:pt>
                <c:pt idx="2">
                  <c:v>9.4761523504518025E-2</c:v>
                </c:pt>
                <c:pt idx="3">
                  <c:v>0.40305967119951636</c:v>
                </c:pt>
                <c:pt idx="4">
                  <c:v>0.33874725877192979</c:v>
                </c:pt>
                <c:pt idx="5">
                  <c:v>0.1781639492412547</c:v>
                </c:pt>
                <c:pt idx="6">
                  <c:v>8.3625940523111744E-2</c:v>
                </c:pt>
                <c:pt idx="7">
                  <c:v>0.90444065667893359</c:v>
                </c:pt>
                <c:pt idx="8">
                  <c:v>0.83489445822775243</c:v>
                </c:pt>
                <c:pt idx="9">
                  <c:v>0.10000869036238808</c:v>
                </c:pt>
                <c:pt idx="10">
                  <c:v>9.0679047200786345E-2</c:v>
                </c:pt>
                <c:pt idx="11">
                  <c:v>9.0577488965180267E-2</c:v>
                </c:pt>
              </c:numCache>
            </c:numRef>
          </c:val>
          <c:extLst xmlns:c16r2="http://schemas.microsoft.com/office/drawing/2015/06/chart">
            <c:ext xmlns:c16="http://schemas.microsoft.com/office/drawing/2014/chart" uri="{C3380CC4-5D6E-409C-BE32-E72D297353CC}">
              <c16:uniqueId val="{00000000-BA91-4D86-B3C1-84C9E83140EB}"/>
            </c:ext>
          </c:extLst>
        </c:ser>
        <c:ser>
          <c:idx val="1"/>
          <c:order val="1"/>
          <c:tx>
            <c:strRef>
              <c:f>'Структура доходов'!$A$47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доходов'!$B$47:$M$47</c:f>
              <c:numCache>
                <c:formatCode>0%</c:formatCode>
                <c:ptCount val="12"/>
                <c:pt idx="0">
                  <c:v>0.30454463843655294</c:v>
                </c:pt>
                <c:pt idx="1">
                  <c:v>0.41340425840302625</c:v>
                </c:pt>
                <c:pt idx="2">
                  <c:v>0.51410652331388962</c:v>
                </c:pt>
                <c:pt idx="3">
                  <c:v>0.40884412421351735</c:v>
                </c:pt>
                <c:pt idx="4">
                  <c:v>0.52833744517543857</c:v>
                </c:pt>
                <c:pt idx="5">
                  <c:v>0.57446247693640096</c:v>
                </c:pt>
                <c:pt idx="6">
                  <c:v>0.42293084915800788</c:v>
                </c:pt>
                <c:pt idx="7">
                  <c:v>3.3336323674531265E-2</c:v>
                </c:pt>
                <c:pt idx="8">
                  <c:v>0.1598118689716477</c:v>
                </c:pt>
                <c:pt idx="9">
                  <c:v>0.53433562179542859</c:v>
                </c:pt>
                <c:pt idx="10">
                  <c:v>0.67291967291968435</c:v>
                </c:pt>
                <c:pt idx="11">
                  <c:v>0.61681584109858911</c:v>
                </c:pt>
              </c:numCache>
            </c:numRef>
          </c:val>
          <c:extLst xmlns:c16r2="http://schemas.microsoft.com/office/drawing/2015/06/chart">
            <c:ext xmlns:c16="http://schemas.microsoft.com/office/drawing/2014/chart" uri="{C3380CC4-5D6E-409C-BE32-E72D297353CC}">
              <c16:uniqueId val="{00000001-BA91-4D86-B3C1-84C9E83140EB}"/>
            </c:ext>
          </c:extLst>
        </c:ser>
        <c:ser>
          <c:idx val="2"/>
          <c:order val="2"/>
          <c:tx>
            <c:strRef>
              <c:f>'Структура доходов'!$A$48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доходов'!$B$48:$M$48</c:f>
              <c:numCache>
                <c:formatCode>0%</c:formatCode>
                <c:ptCount val="12"/>
                <c:pt idx="0">
                  <c:v>0.18383125044206064</c:v>
                </c:pt>
                <c:pt idx="1">
                  <c:v>0.50000724711202549</c:v>
                </c:pt>
                <c:pt idx="2">
                  <c:v>0.39113195318159294</c:v>
                </c:pt>
                <c:pt idx="3">
                  <c:v>0.18809620458697304</c:v>
                </c:pt>
                <c:pt idx="4">
                  <c:v>0.13291529605263391</c:v>
                </c:pt>
                <c:pt idx="5">
                  <c:v>0.24737357382234443</c:v>
                </c:pt>
                <c:pt idx="6">
                  <c:v>0.49344321031888388</c:v>
                </c:pt>
                <c:pt idx="7">
                  <c:v>6.2223019646542012E-2</c:v>
                </c:pt>
                <c:pt idx="8">
                  <c:v>5.2936728006050034E-3</c:v>
                </c:pt>
                <c:pt idx="9">
                  <c:v>0.36565568784218438</c:v>
                </c:pt>
                <c:pt idx="10">
                  <c:v>0.23640127987954079</c:v>
                </c:pt>
                <c:pt idx="11">
                  <c:v>0.29260666993624901</c:v>
                </c:pt>
              </c:numCache>
            </c:numRef>
          </c:val>
          <c:extLst xmlns:c16r2="http://schemas.microsoft.com/office/drawing/2015/06/chart">
            <c:ext xmlns:c16="http://schemas.microsoft.com/office/drawing/2014/chart" uri="{C3380CC4-5D6E-409C-BE32-E72D297353CC}">
              <c16:uniqueId val="{00000002-BA91-4D86-B3C1-84C9E83140EB}"/>
            </c:ext>
          </c:extLst>
        </c:ser>
        <c:shape val="box"/>
        <c:axId val="192071168"/>
        <c:axId val="192072704"/>
        <c:axId val="0"/>
      </c:bar3DChart>
      <c:catAx>
        <c:axId val="192071168"/>
        <c:scaling>
          <c:orientation val="minMax"/>
        </c:scaling>
        <c:axPos val="b"/>
        <c:numFmt formatCode="General" sourceLinked="0"/>
        <c:tickLblPos val="nextTo"/>
        <c:crossAx val="192072704"/>
        <c:crosses val="autoZero"/>
        <c:auto val="1"/>
        <c:lblAlgn val="ctr"/>
        <c:lblOffset val="100"/>
      </c:catAx>
      <c:valAx>
        <c:axId val="192072704"/>
        <c:scaling>
          <c:orientation val="minMax"/>
        </c:scaling>
        <c:axPos val="l"/>
        <c:majorGridlines/>
        <c:numFmt formatCode="0%" sourceLinked="1"/>
        <c:tickLblPos val="nextTo"/>
        <c:crossAx val="192071168"/>
        <c:crosses val="autoZero"/>
        <c:crossBetween val="between"/>
      </c:valAx>
    </c:plotArea>
    <c:legend>
      <c:legendPos val="b"/>
    </c:legend>
    <c:plotVisOnly val="1"/>
    <c:dispBlanksAs val="gap"/>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доходов'!$A$51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доходов'!$B$51:$M$51</c:f>
              <c:numCache>
                <c:formatCode>0%</c:formatCode>
                <c:ptCount val="12"/>
                <c:pt idx="0">
                  <c:v>0.43737918814433313</c:v>
                </c:pt>
                <c:pt idx="1">
                  <c:v>0.1986654369880107</c:v>
                </c:pt>
                <c:pt idx="2">
                  <c:v>0.19055293825936026</c:v>
                </c:pt>
                <c:pt idx="3">
                  <c:v>0.23203767899101219</c:v>
                </c:pt>
                <c:pt idx="4">
                  <c:v>0.3088521335533288</c:v>
                </c:pt>
                <c:pt idx="5">
                  <c:v>0.26032544611272695</c:v>
                </c:pt>
                <c:pt idx="6">
                  <c:v>5.4849066417950607E-2</c:v>
                </c:pt>
                <c:pt idx="7">
                  <c:v>0.9300213577700297</c:v>
                </c:pt>
                <c:pt idx="8">
                  <c:v>0.73629163939261488</c:v>
                </c:pt>
                <c:pt idx="9">
                  <c:v>0.14573243600226735</c:v>
                </c:pt>
                <c:pt idx="10">
                  <c:v>0.13503031150090108</c:v>
                </c:pt>
                <c:pt idx="11">
                  <c:v>0.10835416764941741</c:v>
                </c:pt>
              </c:numCache>
            </c:numRef>
          </c:val>
          <c:extLst xmlns:c16r2="http://schemas.microsoft.com/office/drawing/2015/06/chart">
            <c:ext xmlns:c16="http://schemas.microsoft.com/office/drawing/2014/chart" uri="{C3380CC4-5D6E-409C-BE32-E72D297353CC}">
              <c16:uniqueId val="{00000000-93CA-4FDA-B675-68599B761230}"/>
            </c:ext>
          </c:extLst>
        </c:ser>
        <c:ser>
          <c:idx val="1"/>
          <c:order val="1"/>
          <c:tx>
            <c:strRef>
              <c:f>'Структура доходов'!$A$52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доходов'!$B$52:$M$52</c:f>
              <c:numCache>
                <c:formatCode>0%</c:formatCode>
                <c:ptCount val="12"/>
                <c:pt idx="0">
                  <c:v>0.2179076728951907</c:v>
                </c:pt>
                <c:pt idx="1">
                  <c:v>0.60473064612381111</c:v>
                </c:pt>
                <c:pt idx="2">
                  <c:v>0.6171053097658602</c:v>
                </c:pt>
                <c:pt idx="3">
                  <c:v>0.28624864340881068</c:v>
                </c:pt>
                <c:pt idx="4">
                  <c:v>0.50101278388129944</c:v>
                </c:pt>
                <c:pt idx="5">
                  <c:v>0.53764641144564163</c:v>
                </c:pt>
                <c:pt idx="6">
                  <c:v>0.41820171111868432</c:v>
                </c:pt>
                <c:pt idx="7">
                  <c:v>6.9978642229970273E-2</c:v>
                </c:pt>
                <c:pt idx="8">
                  <c:v>0.25741434747268432</c:v>
                </c:pt>
                <c:pt idx="9">
                  <c:v>0.74834895276433044</c:v>
                </c:pt>
                <c:pt idx="10">
                  <c:v>0.70118276000628388</c:v>
                </c:pt>
                <c:pt idx="11">
                  <c:v>0.59939148073021742</c:v>
                </c:pt>
              </c:numCache>
            </c:numRef>
          </c:val>
          <c:extLst xmlns:c16r2="http://schemas.microsoft.com/office/drawing/2015/06/chart">
            <c:ext xmlns:c16="http://schemas.microsoft.com/office/drawing/2014/chart" uri="{C3380CC4-5D6E-409C-BE32-E72D297353CC}">
              <c16:uniqueId val="{00000001-93CA-4FDA-B675-68599B761230}"/>
            </c:ext>
          </c:extLst>
        </c:ser>
        <c:ser>
          <c:idx val="2"/>
          <c:order val="2"/>
          <c:tx>
            <c:strRef>
              <c:f>'Структура доходов'!$A$53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доходов'!$B$53:$M$53</c:f>
              <c:numCache>
                <c:formatCode>0%</c:formatCode>
                <c:ptCount val="12"/>
                <c:pt idx="0">
                  <c:v>0.34471313896048106</c:v>
                </c:pt>
                <c:pt idx="1">
                  <c:v>0.19660391688818962</c:v>
                </c:pt>
                <c:pt idx="2">
                  <c:v>0.19234175197477937</c:v>
                </c:pt>
                <c:pt idx="3">
                  <c:v>0.48171367760017697</c:v>
                </c:pt>
                <c:pt idx="4">
                  <c:v>0.19013508256536349</c:v>
                </c:pt>
                <c:pt idx="5">
                  <c:v>0.20202814244163331</c:v>
                </c:pt>
                <c:pt idx="6">
                  <c:v>0.52694922246337472</c:v>
                </c:pt>
                <c:pt idx="7">
                  <c:v>0</c:v>
                </c:pt>
                <c:pt idx="8">
                  <c:v>6.2940131347062724E-3</c:v>
                </c:pt>
                <c:pt idx="9">
                  <c:v>0.10591861123341099</c:v>
                </c:pt>
                <c:pt idx="10">
                  <c:v>0.1637869284928109</c:v>
                </c:pt>
                <c:pt idx="11">
                  <c:v>0.2922543516203594</c:v>
                </c:pt>
              </c:numCache>
            </c:numRef>
          </c:val>
          <c:extLst xmlns:c16r2="http://schemas.microsoft.com/office/drawing/2015/06/chart">
            <c:ext xmlns:c16="http://schemas.microsoft.com/office/drawing/2014/chart" uri="{C3380CC4-5D6E-409C-BE32-E72D297353CC}">
              <c16:uniqueId val="{00000002-93CA-4FDA-B675-68599B761230}"/>
            </c:ext>
          </c:extLst>
        </c:ser>
        <c:shape val="box"/>
        <c:axId val="192124416"/>
        <c:axId val="192125952"/>
        <c:axId val="0"/>
      </c:bar3DChart>
      <c:catAx>
        <c:axId val="192124416"/>
        <c:scaling>
          <c:orientation val="minMax"/>
        </c:scaling>
        <c:axPos val="b"/>
        <c:numFmt formatCode="General" sourceLinked="0"/>
        <c:tickLblPos val="nextTo"/>
        <c:crossAx val="192125952"/>
        <c:crosses val="autoZero"/>
        <c:auto val="1"/>
        <c:lblAlgn val="ctr"/>
        <c:lblOffset val="100"/>
      </c:catAx>
      <c:valAx>
        <c:axId val="192125952"/>
        <c:scaling>
          <c:orientation val="minMax"/>
        </c:scaling>
        <c:axPos val="l"/>
        <c:majorGridlines/>
        <c:numFmt formatCode="0%" sourceLinked="1"/>
        <c:tickLblPos val="nextTo"/>
        <c:crossAx val="192124416"/>
        <c:crosses val="autoZero"/>
        <c:crossBetween val="between"/>
      </c:valAx>
    </c:plotArea>
    <c:legend>
      <c:legendPos val="b"/>
    </c:legend>
    <c:plotVisOnly val="1"/>
    <c:dispBlanksAs val="gap"/>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доходов'!$A$56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доходов'!$B$56:$M$56</c:f>
              <c:numCache>
                <c:formatCode>0%</c:formatCode>
                <c:ptCount val="12"/>
                <c:pt idx="0">
                  <c:v>0.63462534294381212</c:v>
                </c:pt>
                <c:pt idx="1">
                  <c:v>0.22285255994433087</c:v>
                </c:pt>
                <c:pt idx="2">
                  <c:v>0.22000267137620397</c:v>
                </c:pt>
                <c:pt idx="3">
                  <c:v>0.47302912583831008</c:v>
                </c:pt>
                <c:pt idx="4">
                  <c:v>0.4496926517657458</c:v>
                </c:pt>
                <c:pt idx="5">
                  <c:v>0.31376394165951732</c:v>
                </c:pt>
                <c:pt idx="6">
                  <c:v>0.10700389105058369</c:v>
                </c:pt>
                <c:pt idx="7">
                  <c:v>0.97048954803207732</c:v>
                </c:pt>
                <c:pt idx="8">
                  <c:v>0.81359333488095587</c:v>
                </c:pt>
                <c:pt idx="9">
                  <c:v>0.1694861111111125</c:v>
                </c:pt>
                <c:pt idx="10">
                  <c:v>0.20807150317620673</c:v>
                </c:pt>
                <c:pt idx="11">
                  <c:v>0.10326649354706446</c:v>
                </c:pt>
              </c:numCache>
            </c:numRef>
          </c:val>
          <c:extLst xmlns:c16r2="http://schemas.microsoft.com/office/drawing/2015/06/chart">
            <c:ext xmlns:c16="http://schemas.microsoft.com/office/drawing/2014/chart" uri="{C3380CC4-5D6E-409C-BE32-E72D297353CC}">
              <c16:uniqueId val="{00000000-0FB1-4A14-8241-CBCB83A66041}"/>
            </c:ext>
          </c:extLst>
        </c:ser>
        <c:ser>
          <c:idx val="1"/>
          <c:order val="1"/>
          <c:tx>
            <c:strRef>
              <c:f>'Структура доходов'!$A$57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доходов'!$B$57:$M$57</c:f>
              <c:numCache>
                <c:formatCode>0%</c:formatCode>
                <c:ptCount val="12"/>
                <c:pt idx="0">
                  <c:v>0.24476136257643247</c:v>
                </c:pt>
                <c:pt idx="1">
                  <c:v>0.52260370103907461</c:v>
                </c:pt>
                <c:pt idx="2">
                  <c:v>0.56615366349564422</c:v>
                </c:pt>
                <c:pt idx="3">
                  <c:v>0.52697087416169064</c:v>
                </c:pt>
                <c:pt idx="4">
                  <c:v>0.50608670032542757</c:v>
                </c:pt>
                <c:pt idx="5">
                  <c:v>0.68623605834048362</c:v>
                </c:pt>
                <c:pt idx="6">
                  <c:v>0.56977792540571315</c:v>
                </c:pt>
                <c:pt idx="7">
                  <c:v>2.9510451967922569E-2</c:v>
                </c:pt>
                <c:pt idx="8">
                  <c:v>0.18640666511903844</c:v>
                </c:pt>
                <c:pt idx="9">
                  <c:v>0.67577777777778425</c:v>
                </c:pt>
                <c:pt idx="10">
                  <c:v>0.75384826121946436</c:v>
                </c:pt>
                <c:pt idx="11">
                  <c:v>0.54640060917273559</c:v>
                </c:pt>
              </c:numCache>
            </c:numRef>
          </c:val>
          <c:extLst xmlns:c16r2="http://schemas.microsoft.com/office/drawing/2015/06/chart">
            <c:ext xmlns:c16="http://schemas.microsoft.com/office/drawing/2014/chart" uri="{C3380CC4-5D6E-409C-BE32-E72D297353CC}">
              <c16:uniqueId val="{00000001-0FB1-4A14-8241-CBCB83A66041}"/>
            </c:ext>
          </c:extLst>
        </c:ser>
        <c:ser>
          <c:idx val="2"/>
          <c:order val="2"/>
          <c:tx>
            <c:strRef>
              <c:f>'Структура доходов'!$A$58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доходов'!$B$58:$M$58</c:f>
              <c:numCache>
                <c:formatCode>0%</c:formatCode>
                <c:ptCount val="12"/>
                <c:pt idx="0">
                  <c:v>0.12061329447977076</c:v>
                </c:pt>
                <c:pt idx="1">
                  <c:v>0.25454373901659172</c:v>
                </c:pt>
                <c:pt idx="2">
                  <c:v>0.21384366512815189</c:v>
                </c:pt>
                <c:pt idx="3">
                  <c:v>0</c:v>
                </c:pt>
                <c:pt idx="4">
                  <c:v>4.4220647908827113E-2</c:v>
                </c:pt>
                <c:pt idx="5">
                  <c:v>0</c:v>
                </c:pt>
                <c:pt idx="6">
                  <c:v>0.32321818354370646</c:v>
                </c:pt>
                <c:pt idx="7">
                  <c:v>0</c:v>
                </c:pt>
                <c:pt idx="8">
                  <c:v>0</c:v>
                </c:pt>
                <c:pt idx="9">
                  <c:v>0.15473611111111318</c:v>
                </c:pt>
                <c:pt idx="10">
                  <c:v>3.8080235604335405E-2</c:v>
                </c:pt>
                <c:pt idx="11">
                  <c:v>0.3503328972802055</c:v>
                </c:pt>
              </c:numCache>
            </c:numRef>
          </c:val>
          <c:extLst xmlns:c16r2="http://schemas.microsoft.com/office/drawing/2015/06/chart">
            <c:ext xmlns:c16="http://schemas.microsoft.com/office/drawing/2014/chart" uri="{C3380CC4-5D6E-409C-BE32-E72D297353CC}">
              <c16:uniqueId val="{00000002-0FB1-4A14-8241-CBCB83A66041}"/>
            </c:ext>
          </c:extLst>
        </c:ser>
        <c:shape val="box"/>
        <c:axId val="192152704"/>
        <c:axId val="192154240"/>
        <c:axId val="0"/>
      </c:bar3DChart>
      <c:catAx>
        <c:axId val="192152704"/>
        <c:scaling>
          <c:orientation val="minMax"/>
        </c:scaling>
        <c:axPos val="b"/>
        <c:numFmt formatCode="General" sourceLinked="0"/>
        <c:tickLblPos val="nextTo"/>
        <c:crossAx val="192154240"/>
        <c:crosses val="autoZero"/>
        <c:auto val="1"/>
        <c:lblAlgn val="ctr"/>
        <c:lblOffset val="100"/>
      </c:catAx>
      <c:valAx>
        <c:axId val="192154240"/>
        <c:scaling>
          <c:orientation val="minMax"/>
        </c:scaling>
        <c:axPos val="l"/>
        <c:majorGridlines/>
        <c:numFmt formatCode="0%" sourceLinked="1"/>
        <c:tickLblPos val="nextTo"/>
        <c:crossAx val="192152704"/>
        <c:crosses val="autoZero"/>
        <c:crossBetween val="between"/>
      </c:valAx>
    </c:plotArea>
    <c:legend>
      <c:legendPos val="b"/>
    </c:legend>
    <c:plotVisOnly val="1"/>
    <c:dispBlanksAs val="gap"/>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доходов'!$A$61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доходов'!$B$61:$M$61</c:f>
              <c:numCache>
                <c:formatCode>0%</c:formatCode>
                <c:ptCount val="12"/>
                <c:pt idx="0">
                  <c:v>0.70591886103594759</c:v>
                </c:pt>
                <c:pt idx="1">
                  <c:v>0.41605226563115205</c:v>
                </c:pt>
                <c:pt idx="2">
                  <c:v>0.40878134272141675</c:v>
                </c:pt>
                <c:pt idx="3">
                  <c:v>0.50687887282384836</c:v>
                </c:pt>
                <c:pt idx="4">
                  <c:v>0.48365382832347431</c:v>
                </c:pt>
                <c:pt idx="5">
                  <c:v>0.46672191092520982</c:v>
                </c:pt>
                <c:pt idx="6">
                  <c:v>0.20452240924761711</c:v>
                </c:pt>
                <c:pt idx="7">
                  <c:v>0.97395400948968325</c:v>
                </c:pt>
                <c:pt idx="8">
                  <c:v>0.80071636127722878</c:v>
                </c:pt>
                <c:pt idx="9">
                  <c:v>0.33182255962835477</c:v>
                </c:pt>
                <c:pt idx="10">
                  <c:v>0.31538214629623323</c:v>
                </c:pt>
                <c:pt idx="11">
                  <c:v>0.25159914712153147</c:v>
                </c:pt>
              </c:numCache>
            </c:numRef>
          </c:val>
          <c:extLst xmlns:c16r2="http://schemas.microsoft.com/office/drawing/2015/06/chart">
            <c:ext xmlns:c16="http://schemas.microsoft.com/office/drawing/2014/chart" uri="{C3380CC4-5D6E-409C-BE32-E72D297353CC}">
              <c16:uniqueId val="{00000000-7495-412E-A830-7D85B618BDAC}"/>
            </c:ext>
          </c:extLst>
        </c:ser>
        <c:ser>
          <c:idx val="1"/>
          <c:order val="1"/>
          <c:tx>
            <c:strRef>
              <c:f>'Структура доходов'!$A$62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доходов'!$B$62:$M$62</c:f>
              <c:numCache>
                <c:formatCode>0%</c:formatCode>
                <c:ptCount val="12"/>
                <c:pt idx="0">
                  <c:v>0.11420437314425827</c:v>
                </c:pt>
                <c:pt idx="1">
                  <c:v>0.3212814525227613</c:v>
                </c:pt>
                <c:pt idx="2">
                  <c:v>0.57590665211309811</c:v>
                </c:pt>
                <c:pt idx="3">
                  <c:v>0.4931211271761583</c:v>
                </c:pt>
                <c:pt idx="4">
                  <c:v>0.51634617167652552</c:v>
                </c:pt>
                <c:pt idx="5">
                  <c:v>0.53327808907479024</c:v>
                </c:pt>
                <c:pt idx="6">
                  <c:v>0.58319813425268707</c:v>
                </c:pt>
                <c:pt idx="7">
                  <c:v>2.6045990510323826E-2</c:v>
                </c:pt>
                <c:pt idx="8">
                  <c:v>0.199283638722763</c:v>
                </c:pt>
                <c:pt idx="9">
                  <c:v>0.60847827318565562</c:v>
                </c:pt>
                <c:pt idx="10">
                  <c:v>0.58951817111879856</c:v>
                </c:pt>
                <c:pt idx="11">
                  <c:v>0.58160808858931168</c:v>
                </c:pt>
              </c:numCache>
            </c:numRef>
          </c:val>
          <c:extLst xmlns:c16r2="http://schemas.microsoft.com/office/drawing/2015/06/chart">
            <c:ext xmlns:c16="http://schemas.microsoft.com/office/drawing/2014/chart" uri="{C3380CC4-5D6E-409C-BE32-E72D297353CC}">
              <c16:uniqueId val="{00000001-7495-412E-A830-7D85B618BDAC}"/>
            </c:ext>
          </c:extLst>
        </c:ser>
        <c:ser>
          <c:idx val="2"/>
          <c:order val="2"/>
          <c:tx>
            <c:strRef>
              <c:f>'Структура доходов'!$A$63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доходов'!$B$63:$M$63</c:f>
              <c:numCache>
                <c:formatCode>0%</c:formatCode>
                <c:ptCount val="12"/>
                <c:pt idx="0">
                  <c:v>0.17987676581979409</c:v>
                </c:pt>
                <c:pt idx="1">
                  <c:v>0.26266628184608931</c:v>
                </c:pt>
                <c:pt idx="2">
                  <c:v>1.5312005165495721E-2</c:v>
                </c:pt>
                <c:pt idx="3">
                  <c:v>0</c:v>
                </c:pt>
                <c:pt idx="4">
                  <c:v>0</c:v>
                </c:pt>
                <c:pt idx="5">
                  <c:v>0</c:v>
                </c:pt>
                <c:pt idx="6">
                  <c:v>0.21227945649969757</c:v>
                </c:pt>
                <c:pt idx="7">
                  <c:v>0</c:v>
                </c:pt>
                <c:pt idx="8">
                  <c:v>0</c:v>
                </c:pt>
                <c:pt idx="9">
                  <c:v>5.9699167185995126E-2</c:v>
                </c:pt>
                <c:pt idx="10">
                  <c:v>9.5099682584971007E-2</c:v>
                </c:pt>
                <c:pt idx="11">
                  <c:v>0.16679276428915327</c:v>
                </c:pt>
              </c:numCache>
            </c:numRef>
          </c:val>
          <c:extLst xmlns:c16r2="http://schemas.microsoft.com/office/drawing/2015/06/chart">
            <c:ext xmlns:c16="http://schemas.microsoft.com/office/drawing/2014/chart" uri="{C3380CC4-5D6E-409C-BE32-E72D297353CC}">
              <c16:uniqueId val="{00000002-7495-412E-A830-7D85B618BDAC}"/>
            </c:ext>
          </c:extLst>
        </c:ser>
        <c:shape val="box"/>
        <c:axId val="192218240"/>
        <c:axId val="192219776"/>
        <c:axId val="0"/>
      </c:bar3DChart>
      <c:catAx>
        <c:axId val="192218240"/>
        <c:scaling>
          <c:orientation val="minMax"/>
        </c:scaling>
        <c:axPos val="b"/>
        <c:numFmt formatCode="General" sourceLinked="0"/>
        <c:tickLblPos val="nextTo"/>
        <c:crossAx val="192219776"/>
        <c:crosses val="autoZero"/>
        <c:auto val="1"/>
        <c:lblAlgn val="ctr"/>
        <c:lblOffset val="100"/>
      </c:catAx>
      <c:valAx>
        <c:axId val="192219776"/>
        <c:scaling>
          <c:orientation val="minMax"/>
        </c:scaling>
        <c:axPos val="l"/>
        <c:majorGridlines/>
        <c:numFmt formatCode="0%" sourceLinked="1"/>
        <c:tickLblPos val="nextTo"/>
        <c:crossAx val="192218240"/>
        <c:crosses val="autoZero"/>
        <c:crossBetween val="between"/>
      </c:valAx>
    </c:plotArea>
    <c:legend>
      <c:legendPos val="b"/>
    </c:legend>
    <c:plotVisOnly val="1"/>
    <c:dispBlanksAs val="gap"/>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доходов'!$A$66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доходов'!$B$66:$M$66</c:f>
              <c:numCache>
                <c:formatCode>0%</c:formatCode>
                <c:ptCount val="12"/>
                <c:pt idx="0">
                  <c:v>0.84818570523473569</c:v>
                </c:pt>
                <c:pt idx="1">
                  <c:v>0.30012451717829203</c:v>
                </c:pt>
                <c:pt idx="2">
                  <c:v>0.37682949260320425</c:v>
                </c:pt>
                <c:pt idx="3">
                  <c:v>0.32100951047799431</c:v>
                </c:pt>
                <c:pt idx="4">
                  <c:v>0.30083871486374614</c:v>
                </c:pt>
                <c:pt idx="5">
                  <c:v>0.34568702381810751</c:v>
                </c:pt>
                <c:pt idx="6">
                  <c:v>0.17250279389069387</c:v>
                </c:pt>
                <c:pt idx="7">
                  <c:v>0.73813164319712365</c:v>
                </c:pt>
                <c:pt idx="8">
                  <c:v>0.5520106293109811</c:v>
                </c:pt>
                <c:pt idx="9">
                  <c:v>0.27957555781554438</c:v>
                </c:pt>
                <c:pt idx="10">
                  <c:v>0.24410784171619257</c:v>
                </c:pt>
                <c:pt idx="11">
                  <c:v>0.17483395431718773</c:v>
                </c:pt>
              </c:numCache>
            </c:numRef>
          </c:val>
          <c:extLst xmlns:c16r2="http://schemas.microsoft.com/office/drawing/2015/06/chart">
            <c:ext xmlns:c16="http://schemas.microsoft.com/office/drawing/2014/chart" uri="{C3380CC4-5D6E-409C-BE32-E72D297353CC}">
              <c16:uniqueId val="{00000000-FA0B-416B-A106-DBF31B6827BB}"/>
            </c:ext>
          </c:extLst>
        </c:ser>
        <c:ser>
          <c:idx val="1"/>
          <c:order val="1"/>
          <c:tx>
            <c:strRef>
              <c:f>'Структура доходов'!$A$67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доходов'!$B$67:$M$67</c:f>
              <c:numCache>
                <c:formatCode>0%</c:formatCode>
                <c:ptCount val="12"/>
                <c:pt idx="0">
                  <c:v>0.13874487091456111</c:v>
                </c:pt>
                <c:pt idx="1">
                  <c:v>0.47828572880666831</c:v>
                </c:pt>
                <c:pt idx="2">
                  <c:v>0.58860393620096152</c:v>
                </c:pt>
                <c:pt idx="3">
                  <c:v>0.6427189262629176</c:v>
                </c:pt>
                <c:pt idx="4">
                  <c:v>0.6971515849835207</c:v>
                </c:pt>
                <c:pt idx="5">
                  <c:v>0.58220972432522866</c:v>
                </c:pt>
                <c:pt idx="6">
                  <c:v>0.74501090947794157</c:v>
                </c:pt>
                <c:pt idx="7">
                  <c:v>0.12275271893265044</c:v>
                </c:pt>
                <c:pt idx="8">
                  <c:v>0.43877073986894094</c:v>
                </c:pt>
                <c:pt idx="9">
                  <c:v>0.67561540440862289</c:v>
                </c:pt>
                <c:pt idx="10">
                  <c:v>0.65789244818090065</c:v>
                </c:pt>
                <c:pt idx="11">
                  <c:v>0.62232706949619365</c:v>
                </c:pt>
              </c:numCache>
            </c:numRef>
          </c:val>
          <c:extLst xmlns:c16r2="http://schemas.microsoft.com/office/drawing/2015/06/chart">
            <c:ext xmlns:c16="http://schemas.microsoft.com/office/drawing/2014/chart" uri="{C3380CC4-5D6E-409C-BE32-E72D297353CC}">
              <c16:uniqueId val="{00000001-FA0B-416B-A106-DBF31B6827BB}"/>
            </c:ext>
          </c:extLst>
        </c:ser>
        <c:ser>
          <c:idx val="2"/>
          <c:order val="2"/>
          <c:tx>
            <c:strRef>
              <c:f>'Структура доходов'!$A$68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доходов'!$B$68:$M$68</c:f>
              <c:numCache>
                <c:formatCode>0%</c:formatCode>
                <c:ptCount val="12"/>
                <c:pt idx="0">
                  <c:v>1.3069423850703393E-2</c:v>
                </c:pt>
                <c:pt idx="1">
                  <c:v>0.22158975401504372</c:v>
                </c:pt>
                <c:pt idx="2">
                  <c:v>3.4566571195837767E-2</c:v>
                </c:pt>
                <c:pt idx="3">
                  <c:v>3.627156325908848E-2</c:v>
                </c:pt>
                <c:pt idx="4">
                  <c:v>2.0097001527372427E-3</c:v>
                </c:pt>
                <c:pt idx="5">
                  <c:v>7.2103251856659473E-2</c:v>
                </c:pt>
                <c:pt idx="6">
                  <c:v>8.2486296631365419E-2</c:v>
                </c:pt>
                <c:pt idx="7">
                  <c:v>0.13911563787023287</c:v>
                </c:pt>
                <c:pt idx="8">
                  <c:v>9.2186308200808698E-3</c:v>
                </c:pt>
                <c:pt idx="9">
                  <c:v>4.4809037775844537E-2</c:v>
                </c:pt>
                <c:pt idx="10">
                  <c:v>9.7999710102913473E-2</c:v>
                </c:pt>
                <c:pt idx="11">
                  <c:v>0.20283897618661914</c:v>
                </c:pt>
              </c:numCache>
            </c:numRef>
          </c:val>
          <c:extLst xmlns:c16r2="http://schemas.microsoft.com/office/drawing/2015/06/chart">
            <c:ext xmlns:c16="http://schemas.microsoft.com/office/drawing/2014/chart" uri="{C3380CC4-5D6E-409C-BE32-E72D297353CC}">
              <c16:uniqueId val="{00000002-FA0B-416B-A106-DBF31B6827BB}"/>
            </c:ext>
          </c:extLst>
        </c:ser>
        <c:shape val="box"/>
        <c:axId val="192308352"/>
        <c:axId val="192309888"/>
        <c:axId val="0"/>
      </c:bar3DChart>
      <c:catAx>
        <c:axId val="192308352"/>
        <c:scaling>
          <c:orientation val="minMax"/>
        </c:scaling>
        <c:axPos val="b"/>
        <c:numFmt formatCode="General" sourceLinked="0"/>
        <c:tickLblPos val="nextTo"/>
        <c:crossAx val="192309888"/>
        <c:crosses val="autoZero"/>
        <c:auto val="1"/>
        <c:lblAlgn val="ctr"/>
        <c:lblOffset val="100"/>
      </c:catAx>
      <c:valAx>
        <c:axId val="192309888"/>
        <c:scaling>
          <c:orientation val="minMax"/>
        </c:scaling>
        <c:axPos val="l"/>
        <c:majorGridlines/>
        <c:numFmt formatCode="0%" sourceLinked="1"/>
        <c:tickLblPos val="nextTo"/>
        <c:crossAx val="192308352"/>
        <c:crosses val="autoZero"/>
        <c:crossBetween val="between"/>
      </c:valAx>
    </c:plotArea>
    <c:legend>
      <c:legendPos val="b"/>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'Соц. образование'!$C$1</c:f>
              <c:strCache>
                <c:ptCount val="1"/>
                <c:pt idx="0">
                  <c:v>Численность  обучающихся  в образовательных организациях, человек
в том числе: обучающихся во 2-3 смену, человек
</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'Соц. образование'!$B$2:$B$8</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образование'!$C$2:$C$8</c:f>
              <c:numCache>
                <c:formatCode>General</c:formatCode>
                <c:ptCount val="7"/>
                <c:pt idx="0">
                  <c:v>3095</c:v>
                </c:pt>
                <c:pt idx="1">
                  <c:v>3162</c:v>
                </c:pt>
                <c:pt idx="2">
                  <c:v>3106</c:v>
                </c:pt>
                <c:pt idx="3">
                  <c:v>3045</c:v>
                </c:pt>
                <c:pt idx="4">
                  <c:v>3025</c:v>
                </c:pt>
                <c:pt idx="5">
                  <c:v>3011</c:v>
                </c:pt>
                <c:pt idx="6">
                  <c:v>3080</c:v>
                </c:pt>
              </c:numCache>
            </c:numRef>
          </c:val>
          <c:extLst xmlns:c16r2="http://schemas.microsoft.com/office/drawing/2015/06/chart">
            <c:ext xmlns:c16="http://schemas.microsoft.com/office/drawing/2014/chart" uri="{C3380CC4-5D6E-409C-BE32-E72D297353CC}">
              <c16:uniqueId val="{00000000-76D2-4383-9E65-D4192E3D27E4}"/>
            </c:ext>
          </c:extLst>
        </c:ser>
        <c:overlap val="100"/>
        <c:axId val="88924544"/>
        <c:axId val="88926080"/>
      </c:barChart>
      <c:catAx>
        <c:axId val="88924544"/>
        <c:scaling>
          <c:orientation val="minMax"/>
        </c:scaling>
        <c:axPos val="b"/>
        <c:numFmt formatCode="General" sourceLinked="0"/>
        <c:tickLblPos val="nextTo"/>
        <c:crossAx val="88926080"/>
        <c:crosses val="autoZero"/>
        <c:auto val="1"/>
        <c:lblAlgn val="ctr"/>
        <c:lblOffset val="100"/>
      </c:catAx>
      <c:valAx>
        <c:axId val="88926080"/>
        <c:scaling>
          <c:orientation val="minMax"/>
        </c:scaling>
        <c:axPos val="l"/>
        <c:majorGridlines/>
        <c:numFmt formatCode="General" sourceLinked="1"/>
        <c:tickLblPos val="nextTo"/>
        <c:crossAx val="88924544"/>
        <c:crosses val="autoZero"/>
        <c:crossBetween val="between"/>
      </c:valAx>
    </c:plotArea>
    <c:plotVisOnly val="1"/>
    <c:dispBlanksAs val="gap"/>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доходов'!$A$71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доходов'!$B$71:$M$71</c:f>
              <c:numCache>
                <c:formatCode>0%</c:formatCode>
                <c:ptCount val="12"/>
                <c:pt idx="0">
                  <c:v>0.81268135311441314</c:v>
                </c:pt>
                <c:pt idx="1">
                  <c:v>0.30187236435198717</c:v>
                </c:pt>
                <c:pt idx="2">
                  <c:v>0.36495413301426338</c:v>
                </c:pt>
                <c:pt idx="3">
                  <c:v>0.35630157839917126</c:v>
                </c:pt>
                <c:pt idx="4">
                  <c:v>0.31262476767399144</c:v>
                </c:pt>
                <c:pt idx="5">
                  <c:v>0.3708918571559745</c:v>
                </c:pt>
                <c:pt idx="6">
                  <c:v>0.18402192716407184</c:v>
                </c:pt>
                <c:pt idx="7">
                  <c:v>0.84463800145168288</c:v>
                </c:pt>
                <c:pt idx="8">
                  <c:v>0.61587925026720947</c:v>
                </c:pt>
                <c:pt idx="9">
                  <c:v>0.30701129652557885</c:v>
                </c:pt>
                <c:pt idx="10">
                  <c:v>0.31720684862269438</c:v>
                </c:pt>
                <c:pt idx="11">
                  <c:v>0.2181233736415123</c:v>
                </c:pt>
              </c:numCache>
            </c:numRef>
          </c:val>
          <c:extLst xmlns:c16r2="http://schemas.microsoft.com/office/drawing/2015/06/chart">
            <c:ext xmlns:c16="http://schemas.microsoft.com/office/drawing/2014/chart" uri="{C3380CC4-5D6E-409C-BE32-E72D297353CC}">
              <c16:uniqueId val="{00000000-BFE9-4AA7-B7CC-630316466794}"/>
            </c:ext>
          </c:extLst>
        </c:ser>
        <c:ser>
          <c:idx val="1"/>
          <c:order val="1"/>
          <c:tx>
            <c:strRef>
              <c:f>'Структура доходов'!$A$72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доходов'!$B$72:$M$72</c:f>
              <c:numCache>
                <c:formatCode>0%</c:formatCode>
                <c:ptCount val="12"/>
                <c:pt idx="0">
                  <c:v>0.17325228902780979</c:v>
                </c:pt>
                <c:pt idx="1">
                  <c:v>0.39030643800956355</c:v>
                </c:pt>
                <c:pt idx="2">
                  <c:v>0.57852228537241956</c:v>
                </c:pt>
                <c:pt idx="3">
                  <c:v>0.48433619101033581</c:v>
                </c:pt>
                <c:pt idx="4">
                  <c:v>0.61737913310847192</c:v>
                </c:pt>
                <c:pt idx="5">
                  <c:v>0.5744055815661433</c:v>
                </c:pt>
                <c:pt idx="6">
                  <c:v>0.54811170272516907</c:v>
                </c:pt>
                <c:pt idx="7">
                  <c:v>0.15536199854832491</c:v>
                </c:pt>
                <c:pt idx="8">
                  <c:v>0.38412074973280097</c:v>
                </c:pt>
                <c:pt idx="9">
                  <c:v>0.36257354794175606</c:v>
                </c:pt>
                <c:pt idx="10">
                  <c:v>0.61177975739196866</c:v>
                </c:pt>
                <c:pt idx="11">
                  <c:v>0.61704314360062162</c:v>
                </c:pt>
              </c:numCache>
            </c:numRef>
          </c:val>
          <c:extLst xmlns:c16r2="http://schemas.microsoft.com/office/drawing/2015/06/chart">
            <c:ext xmlns:c16="http://schemas.microsoft.com/office/drawing/2014/chart" uri="{C3380CC4-5D6E-409C-BE32-E72D297353CC}">
              <c16:uniqueId val="{00000001-BFE9-4AA7-B7CC-630316466794}"/>
            </c:ext>
          </c:extLst>
        </c:ser>
        <c:ser>
          <c:idx val="2"/>
          <c:order val="2"/>
          <c:tx>
            <c:strRef>
              <c:f>'Структура доходов'!$A$73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доходов'!$B$73:$M$73</c:f>
              <c:numCache>
                <c:formatCode>0%</c:formatCode>
                <c:ptCount val="12"/>
                <c:pt idx="0">
                  <c:v>1.4066357857785167E-2</c:v>
                </c:pt>
                <c:pt idx="1">
                  <c:v>0.30782119763846427</c:v>
                </c:pt>
                <c:pt idx="2">
                  <c:v>5.6523581613321404E-2</c:v>
                </c:pt>
                <c:pt idx="3">
                  <c:v>0.15936223059050098</c:v>
                </c:pt>
                <c:pt idx="4">
                  <c:v>6.9996099217549929E-2</c:v>
                </c:pt>
                <c:pt idx="5">
                  <c:v>5.4702561277884913E-2</c:v>
                </c:pt>
                <c:pt idx="6">
                  <c:v>0.26786637011076297</c:v>
                </c:pt>
                <c:pt idx="7">
                  <c:v>0</c:v>
                </c:pt>
                <c:pt idx="8">
                  <c:v>0</c:v>
                </c:pt>
                <c:pt idx="9">
                  <c:v>0.33041515553267187</c:v>
                </c:pt>
                <c:pt idx="10">
                  <c:v>7.1013393985342524E-2</c:v>
                </c:pt>
                <c:pt idx="11">
                  <c:v>0.16483348275786894</c:v>
                </c:pt>
              </c:numCache>
            </c:numRef>
          </c:val>
          <c:extLst xmlns:c16r2="http://schemas.microsoft.com/office/drawing/2015/06/chart">
            <c:ext xmlns:c16="http://schemas.microsoft.com/office/drawing/2014/chart" uri="{C3380CC4-5D6E-409C-BE32-E72D297353CC}">
              <c16:uniqueId val="{00000002-BFE9-4AA7-B7CC-630316466794}"/>
            </c:ext>
          </c:extLst>
        </c:ser>
        <c:shape val="box"/>
        <c:axId val="192341120"/>
        <c:axId val="192342656"/>
        <c:axId val="0"/>
      </c:bar3DChart>
      <c:catAx>
        <c:axId val="192341120"/>
        <c:scaling>
          <c:orientation val="minMax"/>
        </c:scaling>
        <c:axPos val="b"/>
        <c:numFmt formatCode="General" sourceLinked="0"/>
        <c:tickLblPos val="nextTo"/>
        <c:crossAx val="192342656"/>
        <c:crosses val="autoZero"/>
        <c:auto val="1"/>
        <c:lblAlgn val="ctr"/>
        <c:lblOffset val="100"/>
      </c:catAx>
      <c:valAx>
        <c:axId val="192342656"/>
        <c:scaling>
          <c:orientation val="minMax"/>
        </c:scaling>
        <c:axPos val="l"/>
        <c:majorGridlines/>
        <c:numFmt formatCode="0%" sourceLinked="1"/>
        <c:tickLblPos val="nextTo"/>
        <c:crossAx val="192341120"/>
        <c:crosses val="autoZero"/>
        <c:crossBetween val="between"/>
      </c:valAx>
    </c:plotArea>
    <c:legend>
      <c:legendPos val="b"/>
    </c:legend>
    <c:plotVisOnly val="1"/>
    <c:dispBlanksAs val="gap"/>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Лист9!$C$2</c:f>
              <c:strCache>
                <c:ptCount val="1"/>
                <c:pt idx="0">
                  <c:v>доходы</c:v>
                </c:pt>
              </c:strCache>
            </c:strRef>
          </c:tx>
          <c:spPr>
            <a:noFill/>
          </c:spPr>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Лист9!$C$3:$C$9</c:f>
              <c:numCache>
                <c:formatCode>General</c:formatCode>
                <c:ptCount val="7"/>
                <c:pt idx="0">
                  <c:v>18586</c:v>
                </c:pt>
                <c:pt idx="1">
                  <c:v>18379.900000000001</c:v>
                </c:pt>
                <c:pt idx="2">
                  <c:v>29798.400000000001</c:v>
                </c:pt>
                <c:pt idx="3">
                  <c:v>31091.1</c:v>
                </c:pt>
                <c:pt idx="4">
                  <c:v>42536.9</c:v>
                </c:pt>
                <c:pt idx="5">
                  <c:v>30146.7</c:v>
                </c:pt>
                <c:pt idx="6">
                  <c:v>32360.899999999896</c:v>
                </c:pt>
              </c:numCache>
            </c:numRef>
          </c:val>
          <c:extLst xmlns:c16r2="http://schemas.microsoft.com/office/drawing/2015/06/chart">
            <c:ext xmlns:c16="http://schemas.microsoft.com/office/drawing/2014/chart" uri="{C3380CC4-5D6E-409C-BE32-E72D297353CC}">
              <c16:uniqueId val="{00000000-F7E8-4EFB-B8FF-92E33DBE87AE}"/>
            </c:ext>
          </c:extLst>
        </c:ser>
        <c:ser>
          <c:idx val="1"/>
          <c:order val="1"/>
          <c:tx>
            <c:strRef>
              <c:f>Лист9!$E$2</c:f>
              <c:strCache>
                <c:ptCount val="1"/>
                <c:pt idx="0">
                  <c:v>Дефицит/профицит</c:v>
                </c:pt>
              </c:strCache>
            </c:strRef>
          </c:tx>
          <c:spPr>
            <a:blipFill dpi="0" rotWithShape="1">
              <a:blip xmlns:r="http://schemas.openxmlformats.org/officeDocument/2006/relationships" r:embed="rId1"/>
              <a:srcRect/>
              <a:tile tx="0" ty="0" sx="100000" sy="100000" flip="none" algn="tl"/>
            </a:blipFill>
          </c:spPr>
          <c:dLbls>
            <c:dLbl>
              <c:idx val="6"/>
              <c:layout>
                <c:manualLayout>
                  <c:x val="2.9442691903259741E-2"/>
                  <c:y val="-3.0651340996168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E8-4EFB-B8FF-92E33DBE87AE}"/>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Лист9!$E$3:$E$9</c:f>
              <c:numCache>
                <c:formatCode>General</c:formatCode>
                <c:ptCount val="7"/>
                <c:pt idx="0">
                  <c:v>-2473.5</c:v>
                </c:pt>
                <c:pt idx="1">
                  <c:v>-1067.6000000000022</c:v>
                </c:pt>
                <c:pt idx="2">
                  <c:v>3033.7999999999947</c:v>
                </c:pt>
                <c:pt idx="3">
                  <c:v>2019.0999999999979</c:v>
                </c:pt>
                <c:pt idx="4">
                  <c:v>-5165.1000000000004</c:v>
                </c:pt>
                <c:pt idx="5">
                  <c:v>4225.2000000000007</c:v>
                </c:pt>
                <c:pt idx="6">
                  <c:v>-38.399999999997817</c:v>
                </c:pt>
              </c:numCache>
            </c:numRef>
          </c:val>
          <c:extLst xmlns:c16r2="http://schemas.microsoft.com/office/drawing/2015/06/chart">
            <c:ext xmlns:c16="http://schemas.microsoft.com/office/drawing/2014/chart" uri="{C3380CC4-5D6E-409C-BE32-E72D297353CC}">
              <c16:uniqueId val="{00000002-F7E8-4EFB-B8FF-92E33DBE87AE}"/>
            </c:ext>
          </c:extLst>
        </c:ser>
        <c:axId val="192424192"/>
        <c:axId val="192446464"/>
      </c:areaChart>
      <c:lineChart>
        <c:grouping val="standard"/>
        <c:ser>
          <c:idx val="2"/>
          <c:order val="2"/>
          <c:tx>
            <c:strRef>
              <c:f>Лист9!$C$2</c:f>
              <c:strCache>
                <c:ptCount val="1"/>
                <c:pt idx="0">
                  <c:v>доходы</c:v>
                </c:pt>
              </c:strCache>
            </c:strRef>
          </c:tx>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Лист9!$C$3:$C$9</c:f>
              <c:numCache>
                <c:formatCode>General</c:formatCode>
                <c:ptCount val="7"/>
                <c:pt idx="0">
                  <c:v>18586</c:v>
                </c:pt>
                <c:pt idx="1">
                  <c:v>18379.900000000001</c:v>
                </c:pt>
                <c:pt idx="2">
                  <c:v>29798.400000000001</c:v>
                </c:pt>
                <c:pt idx="3">
                  <c:v>31091.1</c:v>
                </c:pt>
                <c:pt idx="4">
                  <c:v>42536.9</c:v>
                </c:pt>
                <c:pt idx="5">
                  <c:v>30146.7</c:v>
                </c:pt>
                <c:pt idx="6">
                  <c:v>32360.899999999896</c:v>
                </c:pt>
              </c:numCache>
            </c:numRef>
          </c:val>
          <c:extLst xmlns:c16r2="http://schemas.microsoft.com/office/drawing/2015/06/chart">
            <c:ext xmlns:c16="http://schemas.microsoft.com/office/drawing/2014/chart" uri="{C3380CC4-5D6E-409C-BE32-E72D297353CC}">
              <c16:uniqueId val="{00000003-F7E8-4EFB-B8FF-92E33DBE87AE}"/>
            </c:ext>
          </c:extLst>
        </c:ser>
        <c:ser>
          <c:idx val="3"/>
          <c:order val="3"/>
          <c:tx>
            <c:strRef>
              <c:f>Лист9!$D$2</c:f>
              <c:strCache>
                <c:ptCount val="1"/>
                <c:pt idx="0">
                  <c:v>расходы</c:v>
                </c:pt>
              </c:strCache>
            </c:strRef>
          </c:tx>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Лист9!$D$3:$D$9</c:f>
              <c:numCache>
                <c:formatCode>General</c:formatCode>
                <c:ptCount val="7"/>
                <c:pt idx="0">
                  <c:v>16112.5</c:v>
                </c:pt>
                <c:pt idx="1">
                  <c:v>17312.3</c:v>
                </c:pt>
                <c:pt idx="2">
                  <c:v>32832.199999999997</c:v>
                </c:pt>
                <c:pt idx="3">
                  <c:v>33110.199999999997</c:v>
                </c:pt>
                <c:pt idx="4">
                  <c:v>37371.800000000003</c:v>
                </c:pt>
                <c:pt idx="5">
                  <c:v>34371.9</c:v>
                </c:pt>
                <c:pt idx="6">
                  <c:v>32322.5</c:v>
                </c:pt>
              </c:numCache>
            </c:numRef>
          </c:val>
          <c:extLst xmlns:c16r2="http://schemas.microsoft.com/office/drawing/2015/06/chart">
            <c:ext xmlns:c16="http://schemas.microsoft.com/office/drawing/2014/chart" uri="{C3380CC4-5D6E-409C-BE32-E72D297353CC}">
              <c16:uniqueId val="{00000004-F7E8-4EFB-B8FF-92E33DBE87AE}"/>
            </c:ext>
          </c:extLst>
        </c:ser>
        <c:marker val="1"/>
        <c:axId val="192424192"/>
        <c:axId val="192446464"/>
      </c:lineChart>
      <c:catAx>
        <c:axId val="192424192"/>
        <c:scaling>
          <c:orientation val="minMax"/>
        </c:scaling>
        <c:axPos val="b"/>
        <c:numFmt formatCode="General" sourceLinked="0"/>
        <c:tickLblPos val="nextTo"/>
        <c:crossAx val="192446464"/>
        <c:crosses val="autoZero"/>
        <c:auto val="1"/>
        <c:lblAlgn val="ctr"/>
        <c:lblOffset val="100"/>
      </c:catAx>
      <c:valAx>
        <c:axId val="192446464"/>
        <c:scaling>
          <c:orientation val="minMax"/>
        </c:scaling>
        <c:axPos val="l"/>
        <c:majorGridlines/>
        <c:numFmt formatCode="General" sourceLinked="1"/>
        <c:tickLblPos val="nextTo"/>
        <c:crossAx val="192424192"/>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Лист9!$C$10</c:f>
              <c:strCache>
                <c:ptCount val="1"/>
                <c:pt idx="0">
                  <c:v>доходы</c:v>
                </c:pt>
              </c:strCache>
            </c:strRef>
          </c:tx>
          <c:spPr>
            <a:noFill/>
          </c:spPr>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Лист9!$C$11:$C$17</c:f>
              <c:numCache>
                <c:formatCode>General</c:formatCode>
                <c:ptCount val="7"/>
                <c:pt idx="0">
                  <c:v>6488</c:v>
                </c:pt>
                <c:pt idx="1">
                  <c:v>6899.2999999999993</c:v>
                </c:pt>
                <c:pt idx="2">
                  <c:v>7373.2000000000007</c:v>
                </c:pt>
                <c:pt idx="3">
                  <c:v>8478.7000000000007</c:v>
                </c:pt>
                <c:pt idx="4">
                  <c:v>7622.6000000000013</c:v>
                </c:pt>
                <c:pt idx="5">
                  <c:v>7870.4</c:v>
                </c:pt>
                <c:pt idx="6">
                  <c:v>8892.5</c:v>
                </c:pt>
              </c:numCache>
            </c:numRef>
          </c:val>
          <c:extLst xmlns:c16r2="http://schemas.microsoft.com/office/drawing/2015/06/chart">
            <c:ext xmlns:c16="http://schemas.microsoft.com/office/drawing/2014/chart" uri="{C3380CC4-5D6E-409C-BE32-E72D297353CC}">
              <c16:uniqueId val="{00000000-B5B7-414F-A997-70DDD45AD40D}"/>
            </c:ext>
          </c:extLst>
        </c:ser>
        <c:ser>
          <c:idx val="1"/>
          <c:order val="1"/>
          <c:tx>
            <c:strRef>
              <c:f>Лист9!$E$10</c:f>
              <c:strCache>
                <c:ptCount val="1"/>
                <c:pt idx="0">
                  <c:v>Дефицит/профицит</c:v>
                </c:pt>
              </c:strCache>
            </c:strRef>
          </c:tx>
          <c:spPr>
            <a:blipFill>
              <a:blip xmlns:r="http://schemas.openxmlformats.org/officeDocument/2006/relationships" r:embed="rId1"/>
              <a:tile tx="0" ty="0" sx="100000" sy="100000" flip="none" algn="tl"/>
            </a:blipFill>
            <a:ln>
              <a:noFill/>
            </a:ln>
          </c:spPr>
          <c:dLbls>
            <c:dLbl>
              <c:idx val="0"/>
              <c:layout>
                <c:manualLayout>
                  <c:x val="-2.5477707006370014E-2"/>
                  <c:y val="1.12994350282485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B7-414F-A997-70DDD45AD40D}"/>
                </c:ext>
              </c:extLst>
            </c:dLbl>
            <c:dLbl>
              <c:idx val="5"/>
              <c:layout>
                <c:manualLayout>
                  <c:x val="1.486199575371552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B7-414F-A997-70DDD45AD40D}"/>
                </c:ext>
              </c:extLst>
            </c:dLbl>
            <c:dLbl>
              <c:idx val="6"/>
              <c:layout>
                <c:manualLayout>
                  <c:x val="2.5477707006370014E-2"/>
                  <c:y val="-4.89642184557439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B7-414F-A997-70DDD45AD40D}"/>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Лист9!$E$11:$E$17</c:f>
              <c:numCache>
                <c:formatCode>General</c:formatCode>
                <c:ptCount val="7"/>
                <c:pt idx="0">
                  <c:v>-275.69999999999965</c:v>
                </c:pt>
                <c:pt idx="1">
                  <c:v>-410.09999999999923</c:v>
                </c:pt>
                <c:pt idx="2">
                  <c:v>-591.10000000000059</c:v>
                </c:pt>
                <c:pt idx="3">
                  <c:v>-151.90000000000146</c:v>
                </c:pt>
                <c:pt idx="4">
                  <c:v>-673.7999999999995</c:v>
                </c:pt>
                <c:pt idx="5">
                  <c:v>-81.599999999999497</c:v>
                </c:pt>
                <c:pt idx="6">
                  <c:v>-91.899999999999636</c:v>
                </c:pt>
              </c:numCache>
            </c:numRef>
          </c:val>
          <c:extLst xmlns:c16r2="http://schemas.microsoft.com/office/drawing/2015/06/chart">
            <c:ext xmlns:c16="http://schemas.microsoft.com/office/drawing/2014/chart" uri="{C3380CC4-5D6E-409C-BE32-E72D297353CC}">
              <c16:uniqueId val="{00000004-B5B7-414F-A997-70DDD45AD40D}"/>
            </c:ext>
          </c:extLst>
        </c:ser>
        <c:axId val="192477824"/>
        <c:axId val="192491904"/>
      </c:areaChart>
      <c:lineChart>
        <c:grouping val="standard"/>
        <c:ser>
          <c:idx val="2"/>
          <c:order val="2"/>
          <c:tx>
            <c:strRef>
              <c:f>Лист9!$C$10</c:f>
              <c:strCache>
                <c:ptCount val="1"/>
                <c:pt idx="0">
                  <c:v>доходы</c:v>
                </c:pt>
              </c:strCache>
            </c:strRef>
          </c:tx>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Лист9!$C$11:$C$17</c:f>
              <c:numCache>
                <c:formatCode>General</c:formatCode>
                <c:ptCount val="7"/>
                <c:pt idx="0">
                  <c:v>6488</c:v>
                </c:pt>
                <c:pt idx="1">
                  <c:v>6899.2999999999993</c:v>
                </c:pt>
                <c:pt idx="2">
                  <c:v>7373.2000000000007</c:v>
                </c:pt>
                <c:pt idx="3">
                  <c:v>8478.7000000000007</c:v>
                </c:pt>
                <c:pt idx="4">
                  <c:v>7622.6000000000013</c:v>
                </c:pt>
                <c:pt idx="5">
                  <c:v>7870.4</c:v>
                </c:pt>
                <c:pt idx="6">
                  <c:v>8892.5</c:v>
                </c:pt>
              </c:numCache>
            </c:numRef>
          </c:val>
          <c:extLst xmlns:c16r2="http://schemas.microsoft.com/office/drawing/2015/06/chart">
            <c:ext xmlns:c16="http://schemas.microsoft.com/office/drawing/2014/chart" uri="{C3380CC4-5D6E-409C-BE32-E72D297353CC}">
              <c16:uniqueId val="{00000005-B5B7-414F-A997-70DDD45AD40D}"/>
            </c:ext>
          </c:extLst>
        </c:ser>
        <c:ser>
          <c:idx val="3"/>
          <c:order val="3"/>
          <c:tx>
            <c:strRef>
              <c:f>Лист9!$D$10</c:f>
              <c:strCache>
                <c:ptCount val="1"/>
                <c:pt idx="0">
                  <c:v>расходы</c:v>
                </c:pt>
              </c:strCache>
            </c:strRef>
          </c:tx>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Лист9!$D$11:$D$17</c:f>
              <c:numCache>
                <c:formatCode>General</c:formatCode>
                <c:ptCount val="7"/>
                <c:pt idx="0">
                  <c:v>6212.3</c:v>
                </c:pt>
                <c:pt idx="1">
                  <c:v>6489.2</c:v>
                </c:pt>
                <c:pt idx="2">
                  <c:v>6782.1</c:v>
                </c:pt>
                <c:pt idx="3">
                  <c:v>8326.7999999999811</c:v>
                </c:pt>
                <c:pt idx="4">
                  <c:v>6948.8</c:v>
                </c:pt>
                <c:pt idx="5">
                  <c:v>7788.8</c:v>
                </c:pt>
                <c:pt idx="6">
                  <c:v>8800.6</c:v>
                </c:pt>
              </c:numCache>
            </c:numRef>
          </c:val>
          <c:extLst xmlns:c16r2="http://schemas.microsoft.com/office/drawing/2015/06/chart">
            <c:ext xmlns:c16="http://schemas.microsoft.com/office/drawing/2014/chart" uri="{C3380CC4-5D6E-409C-BE32-E72D297353CC}">
              <c16:uniqueId val="{00000006-B5B7-414F-A997-70DDD45AD40D}"/>
            </c:ext>
          </c:extLst>
        </c:ser>
        <c:marker val="1"/>
        <c:axId val="192477824"/>
        <c:axId val="192491904"/>
      </c:lineChart>
      <c:catAx>
        <c:axId val="192477824"/>
        <c:scaling>
          <c:orientation val="minMax"/>
        </c:scaling>
        <c:axPos val="b"/>
        <c:numFmt formatCode="General" sourceLinked="0"/>
        <c:tickLblPos val="nextTo"/>
        <c:crossAx val="192491904"/>
        <c:crosses val="autoZero"/>
        <c:auto val="1"/>
        <c:lblAlgn val="ctr"/>
        <c:lblOffset val="100"/>
      </c:catAx>
      <c:valAx>
        <c:axId val="192491904"/>
        <c:scaling>
          <c:orientation val="minMax"/>
        </c:scaling>
        <c:axPos val="l"/>
        <c:majorGridlines/>
        <c:numFmt formatCode="General" sourceLinked="1"/>
        <c:tickLblPos val="nextTo"/>
        <c:crossAx val="192477824"/>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Лист9!$C$18</c:f>
              <c:strCache>
                <c:ptCount val="1"/>
                <c:pt idx="0">
                  <c:v>доходы</c:v>
                </c:pt>
              </c:strCache>
            </c:strRef>
          </c:tx>
          <c:spPr>
            <a:noFill/>
          </c:spPr>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Лист9!$C$19:$C$25</c:f>
              <c:numCache>
                <c:formatCode>General</c:formatCode>
                <c:ptCount val="7"/>
                <c:pt idx="0">
                  <c:v>5669</c:v>
                </c:pt>
                <c:pt idx="1">
                  <c:v>5245.8</c:v>
                </c:pt>
                <c:pt idx="2">
                  <c:v>5646.2000000000007</c:v>
                </c:pt>
                <c:pt idx="3">
                  <c:v>6738.1</c:v>
                </c:pt>
                <c:pt idx="4">
                  <c:v>6504.7000000000007</c:v>
                </c:pt>
                <c:pt idx="5">
                  <c:v>7611.4000000000005</c:v>
                </c:pt>
                <c:pt idx="6">
                  <c:v>8023.2000000000007</c:v>
                </c:pt>
              </c:numCache>
            </c:numRef>
          </c:val>
          <c:extLst xmlns:c16r2="http://schemas.microsoft.com/office/drawing/2015/06/chart">
            <c:ext xmlns:c16="http://schemas.microsoft.com/office/drawing/2014/chart" uri="{C3380CC4-5D6E-409C-BE32-E72D297353CC}">
              <c16:uniqueId val="{00000000-EF7F-4139-AC75-3C717A004FE8}"/>
            </c:ext>
          </c:extLst>
        </c:ser>
        <c:ser>
          <c:idx val="1"/>
          <c:order val="1"/>
          <c:tx>
            <c:strRef>
              <c:f>Лист9!$E$18</c:f>
              <c:strCache>
                <c:ptCount val="1"/>
                <c:pt idx="0">
                  <c:v>Дефицит/профицит</c:v>
                </c:pt>
              </c:strCache>
            </c:strRef>
          </c:tx>
          <c:spPr>
            <a:blipFill>
              <a:blip xmlns:r="http://schemas.openxmlformats.org/officeDocument/2006/relationships" r:embed="rId1"/>
              <a:tile tx="0" ty="0" sx="100000" sy="100000" flip="none" algn="tl"/>
            </a:blipFill>
          </c:spPr>
          <c:dLbls>
            <c:dLbl>
              <c:idx val="3"/>
              <c:layout>
                <c:manualLayout>
                  <c:x val="-2.1164021164021165E-3"/>
                  <c:y val="1.38888888888890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7F-4139-AC75-3C717A004FE8}"/>
                </c:ext>
              </c:extLst>
            </c:dLbl>
            <c:dLbl>
              <c:idx val="4"/>
              <c:layout>
                <c:manualLayout>
                  <c:x val="4.2328042328042331E-3"/>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7F-4139-AC75-3C717A004FE8}"/>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Лист9!$E$19:$E$25</c:f>
              <c:numCache>
                <c:formatCode>General</c:formatCode>
                <c:ptCount val="7"/>
                <c:pt idx="0">
                  <c:v>-430.30000000000018</c:v>
                </c:pt>
                <c:pt idx="1">
                  <c:v>-681.10000000000059</c:v>
                </c:pt>
                <c:pt idx="2">
                  <c:v>-6.8000000000010905</c:v>
                </c:pt>
                <c:pt idx="3">
                  <c:v>-108.30000000000018</c:v>
                </c:pt>
                <c:pt idx="4">
                  <c:v>-58.100000000000364</c:v>
                </c:pt>
                <c:pt idx="5">
                  <c:v>-973.60000000000059</c:v>
                </c:pt>
                <c:pt idx="6">
                  <c:v>-327.50000000000091</c:v>
                </c:pt>
              </c:numCache>
            </c:numRef>
          </c:val>
          <c:extLst xmlns:c16r2="http://schemas.microsoft.com/office/drawing/2015/06/chart">
            <c:ext xmlns:c16="http://schemas.microsoft.com/office/drawing/2014/chart" uri="{C3380CC4-5D6E-409C-BE32-E72D297353CC}">
              <c16:uniqueId val="{00000003-EF7F-4139-AC75-3C717A004FE8}"/>
            </c:ext>
          </c:extLst>
        </c:ser>
        <c:axId val="192543744"/>
        <c:axId val="192561920"/>
      </c:areaChart>
      <c:lineChart>
        <c:grouping val="standard"/>
        <c:ser>
          <c:idx val="2"/>
          <c:order val="2"/>
          <c:tx>
            <c:strRef>
              <c:f>Лист9!$C$18</c:f>
              <c:strCache>
                <c:ptCount val="1"/>
                <c:pt idx="0">
                  <c:v>доходы</c:v>
                </c:pt>
              </c:strCache>
            </c:strRef>
          </c:tx>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Лист9!$C$19:$C$25</c:f>
              <c:numCache>
                <c:formatCode>General</c:formatCode>
                <c:ptCount val="7"/>
                <c:pt idx="0">
                  <c:v>5669</c:v>
                </c:pt>
                <c:pt idx="1">
                  <c:v>5245.8</c:v>
                </c:pt>
                <c:pt idx="2">
                  <c:v>5646.2000000000007</c:v>
                </c:pt>
                <c:pt idx="3">
                  <c:v>6738.1</c:v>
                </c:pt>
                <c:pt idx="4">
                  <c:v>6504.7000000000007</c:v>
                </c:pt>
                <c:pt idx="5">
                  <c:v>7611.4000000000005</c:v>
                </c:pt>
                <c:pt idx="6">
                  <c:v>8023.2000000000007</c:v>
                </c:pt>
              </c:numCache>
            </c:numRef>
          </c:val>
          <c:extLst xmlns:c16r2="http://schemas.microsoft.com/office/drawing/2015/06/chart">
            <c:ext xmlns:c16="http://schemas.microsoft.com/office/drawing/2014/chart" uri="{C3380CC4-5D6E-409C-BE32-E72D297353CC}">
              <c16:uniqueId val="{00000004-EF7F-4139-AC75-3C717A004FE8}"/>
            </c:ext>
          </c:extLst>
        </c:ser>
        <c:ser>
          <c:idx val="3"/>
          <c:order val="3"/>
          <c:tx>
            <c:strRef>
              <c:f>Лист9!$D$18</c:f>
              <c:strCache>
                <c:ptCount val="1"/>
                <c:pt idx="0">
                  <c:v>расходы</c:v>
                </c:pt>
              </c:strCache>
            </c:strRef>
          </c:tx>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Лист9!$D$19:$D$25</c:f>
              <c:numCache>
                <c:formatCode>General</c:formatCode>
                <c:ptCount val="7"/>
                <c:pt idx="0">
                  <c:v>5238.7</c:v>
                </c:pt>
                <c:pt idx="1">
                  <c:v>4564.7</c:v>
                </c:pt>
                <c:pt idx="2">
                  <c:v>5639.4</c:v>
                </c:pt>
                <c:pt idx="3">
                  <c:v>6629.8</c:v>
                </c:pt>
                <c:pt idx="4">
                  <c:v>6446.6</c:v>
                </c:pt>
                <c:pt idx="5">
                  <c:v>6637.8</c:v>
                </c:pt>
                <c:pt idx="6">
                  <c:v>7695.7</c:v>
                </c:pt>
              </c:numCache>
            </c:numRef>
          </c:val>
          <c:extLst xmlns:c16r2="http://schemas.microsoft.com/office/drawing/2015/06/chart">
            <c:ext xmlns:c16="http://schemas.microsoft.com/office/drawing/2014/chart" uri="{C3380CC4-5D6E-409C-BE32-E72D297353CC}">
              <c16:uniqueId val="{00000005-EF7F-4139-AC75-3C717A004FE8}"/>
            </c:ext>
          </c:extLst>
        </c:ser>
        <c:marker val="1"/>
        <c:axId val="192543744"/>
        <c:axId val="192561920"/>
      </c:lineChart>
      <c:catAx>
        <c:axId val="192543744"/>
        <c:scaling>
          <c:orientation val="minMax"/>
        </c:scaling>
        <c:axPos val="b"/>
        <c:numFmt formatCode="General" sourceLinked="0"/>
        <c:tickLblPos val="nextTo"/>
        <c:crossAx val="192561920"/>
        <c:crosses val="autoZero"/>
        <c:auto val="1"/>
        <c:lblAlgn val="ctr"/>
        <c:lblOffset val="100"/>
      </c:catAx>
      <c:valAx>
        <c:axId val="192561920"/>
        <c:scaling>
          <c:orientation val="minMax"/>
        </c:scaling>
        <c:axPos val="l"/>
        <c:majorGridlines/>
        <c:numFmt formatCode="General" sourceLinked="1"/>
        <c:tickLblPos val="nextTo"/>
        <c:crossAx val="192543744"/>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Лист9!$C$26</c:f>
              <c:strCache>
                <c:ptCount val="1"/>
                <c:pt idx="0">
                  <c:v>доходы</c:v>
                </c:pt>
              </c:strCache>
            </c:strRef>
          </c:tx>
          <c:spPr>
            <a:noFill/>
          </c:spPr>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Лист9!$C$27:$C$33</c:f>
              <c:numCache>
                <c:formatCode>General</c:formatCode>
                <c:ptCount val="7"/>
                <c:pt idx="0">
                  <c:v>3501</c:v>
                </c:pt>
                <c:pt idx="1">
                  <c:v>3941.6</c:v>
                </c:pt>
                <c:pt idx="2">
                  <c:v>9490.7000000000007</c:v>
                </c:pt>
                <c:pt idx="3">
                  <c:v>5174.1000000000004</c:v>
                </c:pt>
                <c:pt idx="4">
                  <c:v>5422.4</c:v>
                </c:pt>
                <c:pt idx="5">
                  <c:v>4857.8</c:v>
                </c:pt>
                <c:pt idx="6">
                  <c:v>4992.4000000000005</c:v>
                </c:pt>
              </c:numCache>
            </c:numRef>
          </c:val>
          <c:extLst xmlns:c16r2="http://schemas.microsoft.com/office/drawing/2015/06/chart">
            <c:ext xmlns:c16="http://schemas.microsoft.com/office/drawing/2014/chart" uri="{C3380CC4-5D6E-409C-BE32-E72D297353CC}">
              <c16:uniqueId val="{00000000-0AB5-4C95-BBAC-9F11AE651B0F}"/>
            </c:ext>
          </c:extLst>
        </c:ser>
        <c:ser>
          <c:idx val="1"/>
          <c:order val="1"/>
          <c:tx>
            <c:strRef>
              <c:f>Лист9!$E$26</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Лист9!$E$27:$E$33</c:f>
              <c:numCache>
                <c:formatCode>General</c:formatCode>
                <c:ptCount val="7"/>
                <c:pt idx="0">
                  <c:v>-37.600000000000009</c:v>
                </c:pt>
                <c:pt idx="1">
                  <c:v>-129.29999999999973</c:v>
                </c:pt>
                <c:pt idx="2">
                  <c:v>-64.800000000001049</c:v>
                </c:pt>
                <c:pt idx="3">
                  <c:v>-97.60000000000035</c:v>
                </c:pt>
                <c:pt idx="4">
                  <c:v>-304.09999999999923</c:v>
                </c:pt>
                <c:pt idx="5">
                  <c:v>-29</c:v>
                </c:pt>
                <c:pt idx="6">
                  <c:v>456.19999999999965</c:v>
                </c:pt>
              </c:numCache>
            </c:numRef>
          </c:val>
          <c:extLst xmlns:c16r2="http://schemas.microsoft.com/office/drawing/2015/06/chart">
            <c:ext xmlns:c16="http://schemas.microsoft.com/office/drawing/2014/chart" uri="{C3380CC4-5D6E-409C-BE32-E72D297353CC}">
              <c16:uniqueId val="{00000001-0AB5-4C95-BBAC-9F11AE651B0F}"/>
            </c:ext>
          </c:extLst>
        </c:ser>
        <c:axId val="192605568"/>
        <c:axId val="192623744"/>
      </c:areaChart>
      <c:lineChart>
        <c:grouping val="standard"/>
        <c:ser>
          <c:idx val="2"/>
          <c:order val="2"/>
          <c:tx>
            <c:strRef>
              <c:f>Лист9!$C$26</c:f>
              <c:strCache>
                <c:ptCount val="1"/>
                <c:pt idx="0">
                  <c:v>доходы</c:v>
                </c:pt>
              </c:strCache>
            </c:strRef>
          </c:tx>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Лист9!$C$27:$C$33</c:f>
              <c:numCache>
                <c:formatCode>General</c:formatCode>
                <c:ptCount val="7"/>
                <c:pt idx="0">
                  <c:v>3501</c:v>
                </c:pt>
                <c:pt idx="1">
                  <c:v>3941.6</c:v>
                </c:pt>
                <c:pt idx="2">
                  <c:v>9490.7000000000007</c:v>
                </c:pt>
                <c:pt idx="3">
                  <c:v>5174.1000000000004</c:v>
                </c:pt>
                <c:pt idx="4">
                  <c:v>5422.4</c:v>
                </c:pt>
                <c:pt idx="5">
                  <c:v>4857.8</c:v>
                </c:pt>
                <c:pt idx="6">
                  <c:v>4992.4000000000005</c:v>
                </c:pt>
              </c:numCache>
            </c:numRef>
          </c:val>
          <c:extLst xmlns:c16r2="http://schemas.microsoft.com/office/drawing/2015/06/chart">
            <c:ext xmlns:c16="http://schemas.microsoft.com/office/drawing/2014/chart" uri="{C3380CC4-5D6E-409C-BE32-E72D297353CC}">
              <c16:uniqueId val="{00000002-0AB5-4C95-BBAC-9F11AE651B0F}"/>
            </c:ext>
          </c:extLst>
        </c:ser>
        <c:ser>
          <c:idx val="3"/>
          <c:order val="3"/>
          <c:tx>
            <c:strRef>
              <c:f>Лист9!$D$26</c:f>
              <c:strCache>
                <c:ptCount val="1"/>
                <c:pt idx="0">
                  <c:v>расходы</c:v>
                </c:pt>
              </c:strCache>
            </c:strRef>
          </c:tx>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Лист9!$D$27:$D$33</c:f>
              <c:numCache>
                <c:formatCode>General</c:formatCode>
                <c:ptCount val="7"/>
                <c:pt idx="0">
                  <c:v>3463.4</c:v>
                </c:pt>
                <c:pt idx="1">
                  <c:v>3812.3</c:v>
                </c:pt>
                <c:pt idx="2">
                  <c:v>9425.9</c:v>
                </c:pt>
                <c:pt idx="3">
                  <c:v>5076.5</c:v>
                </c:pt>
                <c:pt idx="4">
                  <c:v>5118.3</c:v>
                </c:pt>
                <c:pt idx="5">
                  <c:v>4828.8</c:v>
                </c:pt>
                <c:pt idx="6">
                  <c:v>5448.6</c:v>
                </c:pt>
              </c:numCache>
            </c:numRef>
          </c:val>
          <c:extLst xmlns:c16r2="http://schemas.microsoft.com/office/drawing/2015/06/chart">
            <c:ext xmlns:c16="http://schemas.microsoft.com/office/drawing/2014/chart" uri="{C3380CC4-5D6E-409C-BE32-E72D297353CC}">
              <c16:uniqueId val="{00000003-0AB5-4C95-BBAC-9F11AE651B0F}"/>
            </c:ext>
          </c:extLst>
        </c:ser>
        <c:marker val="1"/>
        <c:axId val="192605568"/>
        <c:axId val="192623744"/>
      </c:lineChart>
      <c:catAx>
        <c:axId val="192605568"/>
        <c:scaling>
          <c:orientation val="minMax"/>
        </c:scaling>
        <c:axPos val="b"/>
        <c:numFmt formatCode="General" sourceLinked="0"/>
        <c:tickLblPos val="nextTo"/>
        <c:crossAx val="192623744"/>
        <c:crosses val="autoZero"/>
        <c:auto val="1"/>
        <c:lblAlgn val="ctr"/>
        <c:lblOffset val="100"/>
      </c:catAx>
      <c:valAx>
        <c:axId val="192623744"/>
        <c:scaling>
          <c:orientation val="minMax"/>
        </c:scaling>
        <c:axPos val="l"/>
        <c:majorGridlines/>
        <c:numFmt formatCode="General" sourceLinked="1"/>
        <c:tickLblPos val="nextTo"/>
        <c:crossAx val="192605568"/>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Лист9!$C$34</c:f>
              <c:strCache>
                <c:ptCount val="1"/>
                <c:pt idx="0">
                  <c:v>доходы</c:v>
                </c:pt>
              </c:strCache>
            </c:strRef>
          </c:tx>
          <c:spPr>
            <a:noFill/>
          </c:spPr>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0-AA40-4860-B56C-8750706BF518}"/>
            </c:ext>
          </c:extLst>
        </c:ser>
        <c:ser>
          <c:idx val="1"/>
          <c:order val="1"/>
          <c:tx>
            <c:strRef>
              <c:f>Лист9!$E$34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Лист9!$E$35:$E$41</c:f>
              <c:numCache>
                <c:formatCode>General</c:formatCode>
                <c:ptCount val="7"/>
                <c:pt idx="0">
                  <c:v>-42.100000000000364</c:v>
                </c:pt>
                <c:pt idx="1">
                  <c:v>-280.80000000000018</c:v>
                </c:pt>
                <c:pt idx="2">
                  <c:v>-508.90000000000055</c:v>
                </c:pt>
                <c:pt idx="3">
                  <c:v>419.90000000000055</c:v>
                </c:pt>
                <c:pt idx="4">
                  <c:v>19.100000000000364</c:v>
                </c:pt>
                <c:pt idx="5">
                  <c:v>-200.59999999999945</c:v>
                </c:pt>
                <c:pt idx="6">
                  <c:v>-47.700000000000763</c:v>
                </c:pt>
              </c:numCache>
            </c:numRef>
          </c:val>
          <c:extLst xmlns:c16r2="http://schemas.microsoft.com/office/drawing/2015/06/chart">
            <c:ext xmlns:c16="http://schemas.microsoft.com/office/drawing/2014/chart" uri="{C3380CC4-5D6E-409C-BE32-E72D297353CC}">
              <c16:uniqueId val="{00000001-AA40-4860-B56C-8750706BF518}"/>
            </c:ext>
          </c:extLst>
        </c:ser>
        <c:axId val="192659456"/>
        <c:axId val="192660992"/>
      </c:areaChart>
      <c:lineChart>
        <c:grouping val="standard"/>
        <c:ser>
          <c:idx val="2"/>
          <c:order val="2"/>
          <c:tx>
            <c:strRef>
              <c:f>Лист9!$C$34</c:f>
              <c:strCache>
                <c:ptCount val="1"/>
                <c:pt idx="0">
                  <c:v>доходы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2-AA40-4860-B56C-8750706BF518}"/>
            </c:ext>
          </c:extLst>
        </c:ser>
        <c:ser>
          <c:idx val="3"/>
          <c:order val="3"/>
          <c:tx>
            <c:strRef>
              <c:f>Лист9!$D$34</c:f>
              <c:strCache>
                <c:ptCount val="1"/>
                <c:pt idx="0">
                  <c:v>расходы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Лист9!$D$35:$D$41</c:f>
              <c:numCache>
                <c:formatCode>General</c:formatCode>
                <c:ptCount val="7"/>
                <c:pt idx="0">
                  <c:v>5498.9</c:v>
                </c:pt>
                <c:pt idx="1">
                  <c:v>5556</c:v>
                </c:pt>
                <c:pt idx="2">
                  <c:v>6945.8</c:v>
                </c:pt>
                <c:pt idx="3">
                  <c:v>7887</c:v>
                </c:pt>
                <c:pt idx="4">
                  <c:v>5411.8</c:v>
                </c:pt>
                <c:pt idx="5">
                  <c:v>7263.2</c:v>
                </c:pt>
                <c:pt idx="6">
                  <c:v>8668.5</c:v>
                </c:pt>
              </c:numCache>
            </c:numRef>
          </c:val>
          <c:extLst xmlns:c16r2="http://schemas.microsoft.com/office/drawing/2015/06/chart">
            <c:ext xmlns:c16="http://schemas.microsoft.com/office/drawing/2014/chart" uri="{C3380CC4-5D6E-409C-BE32-E72D297353CC}">
              <c16:uniqueId val="{00000003-AA40-4860-B56C-8750706BF518}"/>
            </c:ext>
          </c:extLst>
        </c:ser>
        <c:marker val="1"/>
        <c:axId val="192659456"/>
        <c:axId val="192660992"/>
      </c:lineChart>
      <c:catAx>
        <c:axId val="192659456"/>
        <c:scaling>
          <c:orientation val="minMax"/>
        </c:scaling>
        <c:axPos val="b"/>
        <c:numFmt formatCode="General" sourceLinked="0"/>
        <c:tickLblPos val="nextTo"/>
        <c:crossAx val="192660992"/>
        <c:crosses val="autoZero"/>
        <c:auto val="1"/>
        <c:lblAlgn val="ctr"/>
        <c:lblOffset val="100"/>
      </c:catAx>
      <c:valAx>
        <c:axId val="192660992"/>
        <c:scaling>
          <c:orientation val="minMax"/>
        </c:scaling>
        <c:axPos val="l"/>
        <c:majorGridlines/>
        <c:numFmt formatCode="General" sourceLinked="1"/>
        <c:tickLblPos val="nextTo"/>
        <c:crossAx val="19265945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Лист9!$C$34</c:f>
              <c:strCache>
                <c:ptCount val="1"/>
                <c:pt idx="0">
                  <c:v>доходы</c:v>
                </c:pt>
              </c:strCache>
            </c:strRef>
          </c:tx>
          <c:spPr>
            <a:noFill/>
          </c:spPr>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0-B2E3-4A13-B87F-27B264CD9FCA}"/>
            </c:ext>
          </c:extLst>
        </c:ser>
        <c:ser>
          <c:idx val="1"/>
          <c:order val="1"/>
          <c:tx>
            <c:strRef>
              <c:f>Лист9!$E$34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Лист9!$E$35:$E$41</c:f>
              <c:numCache>
                <c:formatCode>General</c:formatCode>
                <c:ptCount val="7"/>
                <c:pt idx="0">
                  <c:v>-42.100000000000364</c:v>
                </c:pt>
                <c:pt idx="1">
                  <c:v>-280.80000000000018</c:v>
                </c:pt>
                <c:pt idx="2">
                  <c:v>-508.90000000000055</c:v>
                </c:pt>
                <c:pt idx="3">
                  <c:v>419.90000000000055</c:v>
                </c:pt>
                <c:pt idx="4">
                  <c:v>19.100000000000364</c:v>
                </c:pt>
                <c:pt idx="5">
                  <c:v>-200.59999999999945</c:v>
                </c:pt>
                <c:pt idx="6">
                  <c:v>-47.700000000000763</c:v>
                </c:pt>
              </c:numCache>
            </c:numRef>
          </c:val>
          <c:extLst xmlns:c16r2="http://schemas.microsoft.com/office/drawing/2015/06/chart">
            <c:ext xmlns:c16="http://schemas.microsoft.com/office/drawing/2014/chart" uri="{C3380CC4-5D6E-409C-BE32-E72D297353CC}">
              <c16:uniqueId val="{00000001-B2E3-4A13-B87F-27B264CD9FCA}"/>
            </c:ext>
          </c:extLst>
        </c:ser>
        <c:axId val="192725376"/>
        <c:axId val="192726912"/>
      </c:areaChart>
      <c:lineChart>
        <c:grouping val="standard"/>
        <c:ser>
          <c:idx val="2"/>
          <c:order val="2"/>
          <c:tx>
            <c:strRef>
              <c:f>Лист9!$C$34</c:f>
              <c:strCache>
                <c:ptCount val="1"/>
                <c:pt idx="0">
                  <c:v>доходы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2-B2E3-4A13-B87F-27B264CD9FCA}"/>
            </c:ext>
          </c:extLst>
        </c:ser>
        <c:ser>
          <c:idx val="3"/>
          <c:order val="3"/>
          <c:tx>
            <c:strRef>
              <c:f>Лист9!$D$34</c:f>
              <c:strCache>
                <c:ptCount val="1"/>
                <c:pt idx="0">
                  <c:v>расходы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Лист9!$D$35:$D$41</c:f>
              <c:numCache>
                <c:formatCode>General</c:formatCode>
                <c:ptCount val="7"/>
                <c:pt idx="0">
                  <c:v>5498.9</c:v>
                </c:pt>
                <c:pt idx="1">
                  <c:v>5556</c:v>
                </c:pt>
                <c:pt idx="2">
                  <c:v>6945.8</c:v>
                </c:pt>
                <c:pt idx="3">
                  <c:v>7887</c:v>
                </c:pt>
                <c:pt idx="4">
                  <c:v>5411.8</c:v>
                </c:pt>
                <c:pt idx="5">
                  <c:v>7263.2</c:v>
                </c:pt>
                <c:pt idx="6">
                  <c:v>8668.5</c:v>
                </c:pt>
              </c:numCache>
            </c:numRef>
          </c:val>
          <c:extLst xmlns:c16r2="http://schemas.microsoft.com/office/drawing/2015/06/chart">
            <c:ext xmlns:c16="http://schemas.microsoft.com/office/drawing/2014/chart" uri="{C3380CC4-5D6E-409C-BE32-E72D297353CC}">
              <c16:uniqueId val="{00000003-B2E3-4A13-B87F-27B264CD9FCA}"/>
            </c:ext>
          </c:extLst>
        </c:ser>
        <c:marker val="1"/>
        <c:axId val="192725376"/>
        <c:axId val="192726912"/>
      </c:lineChart>
      <c:catAx>
        <c:axId val="192725376"/>
        <c:scaling>
          <c:orientation val="minMax"/>
        </c:scaling>
        <c:axPos val="b"/>
        <c:numFmt formatCode="General" sourceLinked="0"/>
        <c:tickLblPos val="nextTo"/>
        <c:crossAx val="192726912"/>
        <c:crosses val="autoZero"/>
        <c:auto val="1"/>
        <c:lblAlgn val="ctr"/>
        <c:lblOffset val="100"/>
      </c:catAx>
      <c:valAx>
        <c:axId val="192726912"/>
        <c:scaling>
          <c:orientation val="minMax"/>
        </c:scaling>
        <c:axPos val="l"/>
        <c:majorGridlines/>
        <c:numFmt formatCode="General" sourceLinked="1"/>
        <c:tickLblPos val="nextTo"/>
        <c:crossAx val="19272537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Лист9!$C$50</c:f>
              <c:strCache>
                <c:ptCount val="1"/>
                <c:pt idx="0">
                  <c:v>доходы</c:v>
                </c:pt>
              </c:strCache>
            </c:strRef>
          </c:tx>
          <c:spPr>
            <a:noFill/>
          </c:spPr>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Лист9!$C$51:$C$57</c:f>
              <c:numCache>
                <c:formatCode>General</c:formatCode>
                <c:ptCount val="7"/>
                <c:pt idx="0">
                  <c:v>4037</c:v>
                </c:pt>
                <c:pt idx="1">
                  <c:v>4186.5</c:v>
                </c:pt>
                <c:pt idx="2">
                  <c:v>5575.3</c:v>
                </c:pt>
                <c:pt idx="3">
                  <c:v>4214.8</c:v>
                </c:pt>
                <c:pt idx="4">
                  <c:v>3944.7999999999997</c:v>
                </c:pt>
                <c:pt idx="5">
                  <c:v>3758.2</c:v>
                </c:pt>
                <c:pt idx="6">
                  <c:v>4451.1000000000013</c:v>
                </c:pt>
              </c:numCache>
            </c:numRef>
          </c:val>
          <c:extLst xmlns:c16r2="http://schemas.microsoft.com/office/drawing/2015/06/chart">
            <c:ext xmlns:c16="http://schemas.microsoft.com/office/drawing/2014/chart" uri="{C3380CC4-5D6E-409C-BE32-E72D297353CC}">
              <c16:uniqueId val="{00000000-48B0-48C9-83C2-6DFD52C4EBB8}"/>
            </c:ext>
          </c:extLst>
        </c:ser>
        <c:ser>
          <c:idx val="1"/>
          <c:order val="1"/>
          <c:tx>
            <c:strRef>
              <c:f>Лист9!$E$50</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Лист9!$E$51:$E$57</c:f>
              <c:numCache>
                <c:formatCode>General</c:formatCode>
                <c:ptCount val="7"/>
                <c:pt idx="0">
                  <c:v>-305</c:v>
                </c:pt>
                <c:pt idx="1">
                  <c:v>-121</c:v>
                </c:pt>
                <c:pt idx="2">
                  <c:v>-1639.7000000000003</c:v>
                </c:pt>
                <c:pt idx="3">
                  <c:v>1767.3999999999996</c:v>
                </c:pt>
                <c:pt idx="4">
                  <c:v>66.800000000000182</c:v>
                </c:pt>
                <c:pt idx="5">
                  <c:v>208.5</c:v>
                </c:pt>
                <c:pt idx="6">
                  <c:v>-218.79999999999922</c:v>
                </c:pt>
              </c:numCache>
            </c:numRef>
          </c:val>
          <c:extLst xmlns:c16r2="http://schemas.microsoft.com/office/drawing/2015/06/chart">
            <c:ext xmlns:c16="http://schemas.microsoft.com/office/drawing/2014/chart" uri="{C3380CC4-5D6E-409C-BE32-E72D297353CC}">
              <c16:uniqueId val="{00000001-48B0-48C9-83C2-6DFD52C4EBB8}"/>
            </c:ext>
          </c:extLst>
        </c:ser>
        <c:axId val="192779008"/>
        <c:axId val="192780544"/>
      </c:areaChart>
      <c:lineChart>
        <c:grouping val="standard"/>
        <c:ser>
          <c:idx val="2"/>
          <c:order val="2"/>
          <c:tx>
            <c:strRef>
              <c:f>Лист9!$C$50</c:f>
              <c:strCache>
                <c:ptCount val="1"/>
                <c:pt idx="0">
                  <c:v>доходы</c:v>
                </c:pt>
              </c:strCache>
            </c:strRef>
          </c:tx>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Лист9!$C$51:$C$57</c:f>
              <c:numCache>
                <c:formatCode>General</c:formatCode>
                <c:ptCount val="7"/>
                <c:pt idx="0">
                  <c:v>4037</c:v>
                </c:pt>
                <c:pt idx="1">
                  <c:v>4186.5</c:v>
                </c:pt>
                <c:pt idx="2">
                  <c:v>5575.3</c:v>
                </c:pt>
                <c:pt idx="3">
                  <c:v>4214.8</c:v>
                </c:pt>
                <c:pt idx="4">
                  <c:v>3944.7999999999997</c:v>
                </c:pt>
                <c:pt idx="5">
                  <c:v>3758.2</c:v>
                </c:pt>
                <c:pt idx="6">
                  <c:v>4451.1000000000013</c:v>
                </c:pt>
              </c:numCache>
            </c:numRef>
          </c:val>
          <c:extLst xmlns:c16r2="http://schemas.microsoft.com/office/drawing/2015/06/chart">
            <c:ext xmlns:c16="http://schemas.microsoft.com/office/drawing/2014/chart" uri="{C3380CC4-5D6E-409C-BE32-E72D297353CC}">
              <c16:uniqueId val="{00000002-48B0-48C9-83C2-6DFD52C4EBB8}"/>
            </c:ext>
          </c:extLst>
        </c:ser>
        <c:ser>
          <c:idx val="3"/>
          <c:order val="3"/>
          <c:tx>
            <c:strRef>
              <c:f>Лист9!$D$50</c:f>
              <c:strCache>
                <c:ptCount val="1"/>
                <c:pt idx="0">
                  <c:v>расходы</c:v>
                </c:pt>
              </c:strCache>
            </c:strRef>
          </c:tx>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Лист9!$D$51:$D$57</c:f>
              <c:numCache>
                <c:formatCode>General</c:formatCode>
                <c:ptCount val="7"/>
                <c:pt idx="0">
                  <c:v>3732</c:v>
                </c:pt>
                <c:pt idx="1">
                  <c:v>4065.5</c:v>
                </c:pt>
                <c:pt idx="2">
                  <c:v>3935.6</c:v>
                </c:pt>
                <c:pt idx="3">
                  <c:v>5982.2</c:v>
                </c:pt>
                <c:pt idx="4">
                  <c:v>4011.6</c:v>
                </c:pt>
                <c:pt idx="5">
                  <c:v>3966.7</c:v>
                </c:pt>
                <c:pt idx="6">
                  <c:v>4232.3</c:v>
                </c:pt>
              </c:numCache>
            </c:numRef>
          </c:val>
          <c:extLst xmlns:c16r2="http://schemas.microsoft.com/office/drawing/2015/06/chart">
            <c:ext xmlns:c16="http://schemas.microsoft.com/office/drawing/2014/chart" uri="{C3380CC4-5D6E-409C-BE32-E72D297353CC}">
              <c16:uniqueId val="{00000003-48B0-48C9-83C2-6DFD52C4EBB8}"/>
            </c:ext>
          </c:extLst>
        </c:ser>
        <c:marker val="1"/>
        <c:axId val="192779008"/>
        <c:axId val="192780544"/>
      </c:lineChart>
      <c:catAx>
        <c:axId val="192779008"/>
        <c:scaling>
          <c:orientation val="minMax"/>
        </c:scaling>
        <c:axPos val="b"/>
        <c:numFmt formatCode="General" sourceLinked="0"/>
        <c:tickLblPos val="nextTo"/>
        <c:crossAx val="192780544"/>
        <c:crosses val="autoZero"/>
        <c:auto val="1"/>
        <c:lblAlgn val="ctr"/>
        <c:lblOffset val="100"/>
      </c:catAx>
      <c:valAx>
        <c:axId val="192780544"/>
        <c:scaling>
          <c:orientation val="minMax"/>
        </c:scaling>
        <c:axPos val="l"/>
        <c:majorGridlines/>
        <c:numFmt formatCode="General" sourceLinked="1"/>
        <c:tickLblPos val="nextTo"/>
        <c:crossAx val="192779008"/>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Лист9!$C$58</c:f>
              <c:strCache>
                <c:ptCount val="1"/>
                <c:pt idx="0">
                  <c:v>доходы</c:v>
                </c:pt>
              </c:strCache>
            </c:strRef>
          </c:tx>
          <c:spPr>
            <a:noFill/>
          </c:spPr>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Лист9!$C$59:$C$65</c:f>
              <c:numCache>
                <c:formatCode>General</c:formatCode>
                <c:ptCount val="7"/>
                <c:pt idx="0">
                  <c:v>10058</c:v>
                </c:pt>
                <c:pt idx="1">
                  <c:v>11147</c:v>
                </c:pt>
                <c:pt idx="2">
                  <c:v>10956.2</c:v>
                </c:pt>
                <c:pt idx="3">
                  <c:v>11921.199999999983</c:v>
                </c:pt>
                <c:pt idx="4">
                  <c:v>14816.1</c:v>
                </c:pt>
                <c:pt idx="5">
                  <c:v>8109.8</c:v>
                </c:pt>
                <c:pt idx="6">
                  <c:v>9230.7000000000007</c:v>
                </c:pt>
              </c:numCache>
            </c:numRef>
          </c:val>
          <c:extLst xmlns:c16r2="http://schemas.microsoft.com/office/drawing/2015/06/chart">
            <c:ext xmlns:c16="http://schemas.microsoft.com/office/drawing/2014/chart" uri="{C3380CC4-5D6E-409C-BE32-E72D297353CC}">
              <c16:uniqueId val="{00000000-95D0-46D8-9975-E76A664543A5}"/>
            </c:ext>
          </c:extLst>
        </c:ser>
        <c:ser>
          <c:idx val="1"/>
          <c:order val="1"/>
          <c:tx>
            <c:strRef>
              <c:f>Лист9!$E$58</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Лист9!$E$59:$E$65</c:f>
              <c:numCache>
                <c:formatCode>General</c:formatCode>
                <c:ptCount val="7"/>
                <c:pt idx="0">
                  <c:v>4347</c:v>
                </c:pt>
                <c:pt idx="1">
                  <c:v>-906.70000000000073</c:v>
                </c:pt>
                <c:pt idx="2">
                  <c:v>296.29999999999899</c:v>
                </c:pt>
                <c:pt idx="3">
                  <c:v>1501.0000000000018</c:v>
                </c:pt>
                <c:pt idx="4">
                  <c:v>-1913.8999999999996</c:v>
                </c:pt>
                <c:pt idx="5">
                  <c:v>2221.1999999999998</c:v>
                </c:pt>
                <c:pt idx="6">
                  <c:v>949.2999999999995</c:v>
                </c:pt>
              </c:numCache>
            </c:numRef>
          </c:val>
          <c:extLst xmlns:c16r2="http://schemas.microsoft.com/office/drawing/2015/06/chart">
            <c:ext xmlns:c16="http://schemas.microsoft.com/office/drawing/2014/chart" uri="{C3380CC4-5D6E-409C-BE32-E72D297353CC}">
              <c16:uniqueId val="{00000001-95D0-46D8-9975-E76A664543A5}"/>
            </c:ext>
          </c:extLst>
        </c:ser>
        <c:axId val="192836736"/>
        <c:axId val="192838272"/>
      </c:areaChart>
      <c:lineChart>
        <c:grouping val="standard"/>
        <c:ser>
          <c:idx val="2"/>
          <c:order val="2"/>
          <c:tx>
            <c:strRef>
              <c:f>Лист9!$C$58</c:f>
              <c:strCache>
                <c:ptCount val="1"/>
                <c:pt idx="0">
                  <c:v>доходы</c:v>
                </c:pt>
              </c:strCache>
            </c:strRef>
          </c:tx>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Лист9!$C$59:$C$65</c:f>
              <c:numCache>
                <c:formatCode>General</c:formatCode>
                <c:ptCount val="7"/>
                <c:pt idx="0">
                  <c:v>10058</c:v>
                </c:pt>
                <c:pt idx="1">
                  <c:v>11147</c:v>
                </c:pt>
                <c:pt idx="2">
                  <c:v>10956.2</c:v>
                </c:pt>
                <c:pt idx="3">
                  <c:v>11921.199999999983</c:v>
                </c:pt>
                <c:pt idx="4">
                  <c:v>14816.1</c:v>
                </c:pt>
                <c:pt idx="5">
                  <c:v>8109.8</c:v>
                </c:pt>
                <c:pt idx="6">
                  <c:v>9230.7000000000007</c:v>
                </c:pt>
              </c:numCache>
            </c:numRef>
          </c:val>
          <c:extLst xmlns:c16r2="http://schemas.microsoft.com/office/drawing/2015/06/chart">
            <c:ext xmlns:c16="http://schemas.microsoft.com/office/drawing/2014/chart" uri="{C3380CC4-5D6E-409C-BE32-E72D297353CC}">
              <c16:uniqueId val="{00000002-95D0-46D8-9975-E76A664543A5}"/>
            </c:ext>
          </c:extLst>
        </c:ser>
        <c:ser>
          <c:idx val="3"/>
          <c:order val="3"/>
          <c:tx>
            <c:strRef>
              <c:f>Лист9!$D$58</c:f>
              <c:strCache>
                <c:ptCount val="1"/>
                <c:pt idx="0">
                  <c:v>расходы</c:v>
                </c:pt>
              </c:strCache>
            </c:strRef>
          </c:tx>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Лист9!$D$59:$D$65</c:f>
              <c:numCache>
                <c:formatCode>General</c:formatCode>
                <c:ptCount val="7"/>
                <c:pt idx="0">
                  <c:v>14405</c:v>
                </c:pt>
                <c:pt idx="1">
                  <c:v>10240.299999999987</c:v>
                </c:pt>
                <c:pt idx="2">
                  <c:v>11252.5</c:v>
                </c:pt>
                <c:pt idx="3">
                  <c:v>13422.2</c:v>
                </c:pt>
                <c:pt idx="4">
                  <c:v>12902.2</c:v>
                </c:pt>
                <c:pt idx="5">
                  <c:v>10331</c:v>
                </c:pt>
                <c:pt idx="6">
                  <c:v>10180</c:v>
                </c:pt>
              </c:numCache>
            </c:numRef>
          </c:val>
          <c:extLst xmlns:c16r2="http://schemas.microsoft.com/office/drawing/2015/06/chart">
            <c:ext xmlns:c16="http://schemas.microsoft.com/office/drawing/2014/chart" uri="{C3380CC4-5D6E-409C-BE32-E72D297353CC}">
              <c16:uniqueId val="{00000003-95D0-46D8-9975-E76A664543A5}"/>
            </c:ext>
          </c:extLst>
        </c:ser>
        <c:marker val="1"/>
        <c:axId val="192836736"/>
        <c:axId val="192838272"/>
      </c:lineChart>
      <c:catAx>
        <c:axId val="192836736"/>
        <c:scaling>
          <c:orientation val="minMax"/>
        </c:scaling>
        <c:axPos val="b"/>
        <c:numFmt formatCode="General" sourceLinked="0"/>
        <c:tickLblPos val="nextTo"/>
        <c:crossAx val="192838272"/>
        <c:crosses val="autoZero"/>
        <c:auto val="1"/>
        <c:lblAlgn val="ctr"/>
        <c:lblOffset val="100"/>
      </c:catAx>
      <c:valAx>
        <c:axId val="192838272"/>
        <c:scaling>
          <c:orientation val="minMax"/>
        </c:scaling>
        <c:axPos val="l"/>
        <c:majorGridlines/>
        <c:numFmt formatCode="General" sourceLinked="1"/>
        <c:tickLblPos val="nextTo"/>
        <c:crossAx val="19283673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Лист9!$C$66</c:f>
              <c:strCache>
                <c:ptCount val="1"/>
                <c:pt idx="0">
                  <c:v>доходы</c:v>
                </c:pt>
              </c:strCache>
            </c:strRef>
          </c:tx>
          <c:spPr>
            <a:noFill/>
          </c:spPr>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Лист9!$C$67:$C$73</c:f>
              <c:numCache>
                <c:formatCode>General</c:formatCode>
                <c:ptCount val="7"/>
                <c:pt idx="0">
                  <c:v>12155</c:v>
                </c:pt>
                <c:pt idx="1">
                  <c:v>15074.6</c:v>
                </c:pt>
                <c:pt idx="2">
                  <c:v>13902.1</c:v>
                </c:pt>
                <c:pt idx="3">
                  <c:v>19384.5</c:v>
                </c:pt>
                <c:pt idx="4">
                  <c:v>18342.7</c:v>
                </c:pt>
                <c:pt idx="5">
                  <c:v>12192.7</c:v>
                </c:pt>
                <c:pt idx="6">
                  <c:v>11508.1</c:v>
                </c:pt>
              </c:numCache>
            </c:numRef>
          </c:val>
          <c:extLst xmlns:c16r2="http://schemas.microsoft.com/office/drawing/2015/06/chart">
            <c:ext xmlns:c16="http://schemas.microsoft.com/office/drawing/2014/chart" uri="{C3380CC4-5D6E-409C-BE32-E72D297353CC}">
              <c16:uniqueId val="{00000000-FF1E-471E-96FE-ED855DDCC2C9}"/>
            </c:ext>
          </c:extLst>
        </c:ser>
        <c:ser>
          <c:idx val="1"/>
          <c:order val="1"/>
          <c:tx>
            <c:strRef>
              <c:f>Лист9!$E$66</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Лист9!$E$67:$E$73</c:f>
              <c:numCache>
                <c:formatCode>General</c:formatCode>
                <c:ptCount val="7"/>
                <c:pt idx="0">
                  <c:v>944.5</c:v>
                </c:pt>
                <c:pt idx="1">
                  <c:v>-3476.6000000000004</c:v>
                </c:pt>
                <c:pt idx="2">
                  <c:v>-1924.3999999999996</c:v>
                </c:pt>
                <c:pt idx="3">
                  <c:v>-3521.8999999999996</c:v>
                </c:pt>
                <c:pt idx="4">
                  <c:v>1494</c:v>
                </c:pt>
                <c:pt idx="5">
                  <c:v>-776.80000000000109</c:v>
                </c:pt>
                <c:pt idx="6">
                  <c:v>-718.70000000000073</c:v>
                </c:pt>
              </c:numCache>
            </c:numRef>
          </c:val>
          <c:extLst xmlns:c16r2="http://schemas.microsoft.com/office/drawing/2015/06/chart">
            <c:ext xmlns:c16="http://schemas.microsoft.com/office/drawing/2014/chart" uri="{C3380CC4-5D6E-409C-BE32-E72D297353CC}">
              <c16:uniqueId val="{00000001-FF1E-471E-96FE-ED855DDCC2C9}"/>
            </c:ext>
          </c:extLst>
        </c:ser>
        <c:axId val="192951808"/>
        <c:axId val="192953344"/>
      </c:areaChart>
      <c:lineChart>
        <c:grouping val="standard"/>
        <c:ser>
          <c:idx val="2"/>
          <c:order val="2"/>
          <c:tx>
            <c:strRef>
              <c:f>Лист9!$C$66</c:f>
              <c:strCache>
                <c:ptCount val="1"/>
                <c:pt idx="0">
                  <c:v>доходы</c:v>
                </c:pt>
              </c:strCache>
            </c:strRef>
          </c:tx>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Лист9!$C$67:$C$73</c:f>
              <c:numCache>
                <c:formatCode>General</c:formatCode>
                <c:ptCount val="7"/>
                <c:pt idx="0">
                  <c:v>12155</c:v>
                </c:pt>
                <c:pt idx="1">
                  <c:v>15074.6</c:v>
                </c:pt>
                <c:pt idx="2">
                  <c:v>13902.1</c:v>
                </c:pt>
                <c:pt idx="3">
                  <c:v>19384.5</c:v>
                </c:pt>
                <c:pt idx="4">
                  <c:v>18342.7</c:v>
                </c:pt>
                <c:pt idx="5">
                  <c:v>12192.7</c:v>
                </c:pt>
                <c:pt idx="6">
                  <c:v>11508.1</c:v>
                </c:pt>
              </c:numCache>
            </c:numRef>
          </c:val>
          <c:extLst xmlns:c16r2="http://schemas.microsoft.com/office/drawing/2015/06/chart">
            <c:ext xmlns:c16="http://schemas.microsoft.com/office/drawing/2014/chart" uri="{C3380CC4-5D6E-409C-BE32-E72D297353CC}">
              <c16:uniqueId val="{00000002-FF1E-471E-96FE-ED855DDCC2C9}"/>
            </c:ext>
          </c:extLst>
        </c:ser>
        <c:ser>
          <c:idx val="3"/>
          <c:order val="3"/>
          <c:tx>
            <c:strRef>
              <c:f>Лист9!$D$66</c:f>
              <c:strCache>
                <c:ptCount val="1"/>
                <c:pt idx="0">
                  <c:v>расходы</c:v>
                </c:pt>
              </c:strCache>
            </c:strRef>
          </c:tx>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Лист9!$D$67:$D$73</c:f>
              <c:numCache>
                <c:formatCode>General</c:formatCode>
                <c:ptCount val="7"/>
                <c:pt idx="0">
                  <c:v>13099.5</c:v>
                </c:pt>
                <c:pt idx="1">
                  <c:v>11598</c:v>
                </c:pt>
                <c:pt idx="2">
                  <c:v>11977.7</c:v>
                </c:pt>
                <c:pt idx="3">
                  <c:v>15862.6</c:v>
                </c:pt>
                <c:pt idx="4">
                  <c:v>19836.7</c:v>
                </c:pt>
                <c:pt idx="5">
                  <c:v>11415.9</c:v>
                </c:pt>
                <c:pt idx="6">
                  <c:v>10789.4</c:v>
                </c:pt>
              </c:numCache>
            </c:numRef>
          </c:val>
          <c:extLst xmlns:c16r2="http://schemas.microsoft.com/office/drawing/2015/06/chart">
            <c:ext xmlns:c16="http://schemas.microsoft.com/office/drawing/2014/chart" uri="{C3380CC4-5D6E-409C-BE32-E72D297353CC}">
              <c16:uniqueId val="{00000003-FF1E-471E-96FE-ED855DDCC2C9}"/>
            </c:ext>
          </c:extLst>
        </c:ser>
        <c:marker val="1"/>
        <c:axId val="192951808"/>
        <c:axId val="192953344"/>
      </c:lineChart>
      <c:catAx>
        <c:axId val="192951808"/>
        <c:scaling>
          <c:orientation val="minMax"/>
        </c:scaling>
        <c:axPos val="b"/>
        <c:numFmt formatCode="General" sourceLinked="0"/>
        <c:tickLblPos val="nextTo"/>
        <c:crossAx val="192953344"/>
        <c:crosses val="autoZero"/>
        <c:auto val="1"/>
        <c:lblAlgn val="ctr"/>
        <c:lblOffset val="100"/>
      </c:catAx>
      <c:valAx>
        <c:axId val="192953344"/>
        <c:scaling>
          <c:orientation val="minMax"/>
        </c:scaling>
        <c:axPos val="l"/>
        <c:majorGridlines/>
        <c:numFmt formatCode="General" sourceLinked="1"/>
        <c:tickLblPos val="nextTo"/>
        <c:crossAx val="192951808"/>
        <c:crosses val="autoZero"/>
        <c:crossBetween val="between"/>
      </c:valAx>
    </c:plotArea>
    <c:legend>
      <c:legendPos val="b"/>
      <c:legendEntry>
        <c:idx val="0"/>
        <c:delete val="1"/>
      </c:legendEntry>
    </c:legend>
    <c:plotVisOnly val="1"/>
    <c:dispBlanksAs val="zero"/>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A66B69-C4C3-41AF-8B4F-62D1B3CE4F9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55ADB696-ACEF-4A47-B8F8-2DF207CE3DD7}">
      <dgm:prSet phldrT="[Текст]" custT="1"/>
      <dgm:spPr/>
      <dgm:t>
        <a:bodyPr/>
        <a:lstStyle/>
        <a:p>
          <a:r>
            <a:rPr lang="ru-RU" sz="1000" baseline="0">
              <a:latin typeface="Times New Roman" pitchFamily="18" charset="0"/>
            </a:rPr>
            <a:t>Социально-демографическое</a:t>
          </a:r>
          <a:r>
            <a:rPr lang="ru-RU" sz="900"/>
            <a:t> развитие</a:t>
          </a:r>
        </a:p>
      </dgm:t>
    </dgm:pt>
    <dgm:pt modelId="{FB550D43-0FCD-413E-A73B-D82F40006CFF}" type="parTrans" cxnId="{B6E5877B-B796-4C73-B142-DDAACA32B090}">
      <dgm:prSet/>
      <dgm:spPr/>
      <dgm:t>
        <a:bodyPr/>
        <a:lstStyle/>
        <a:p>
          <a:endParaRPr lang="ru-RU"/>
        </a:p>
      </dgm:t>
    </dgm:pt>
    <dgm:pt modelId="{786A708A-2FCC-4AD2-A7DB-C9C83326F9B0}" type="sibTrans" cxnId="{B6E5877B-B796-4C73-B142-DDAACA32B090}">
      <dgm:prSet/>
      <dgm:spPr/>
      <dgm:t>
        <a:bodyPr/>
        <a:lstStyle/>
        <a:p>
          <a:endParaRPr lang="ru-RU"/>
        </a:p>
      </dgm:t>
    </dgm:pt>
    <dgm:pt modelId="{5050BFDC-633B-4429-97BE-651AF16A4FE5}">
      <dgm:prSet phldrT="[Текст]" custT="1"/>
      <dgm:spPr/>
      <dgm:t>
        <a:bodyPr/>
        <a:lstStyle/>
        <a:p>
          <a:r>
            <a:rPr lang="ru-RU" sz="1000" baseline="0">
              <a:latin typeface="Times New Roman" pitchFamily="18" charset="0"/>
            </a:rPr>
            <a:t>Экономическое развитие</a:t>
          </a:r>
        </a:p>
      </dgm:t>
    </dgm:pt>
    <dgm:pt modelId="{727EACA5-2EFD-4626-9151-91E69435E012}" type="parTrans" cxnId="{704E01A8-7B72-4A3C-B4A2-1BC85AA9B7B3}">
      <dgm:prSet/>
      <dgm:spPr/>
      <dgm:t>
        <a:bodyPr/>
        <a:lstStyle/>
        <a:p>
          <a:endParaRPr lang="ru-RU"/>
        </a:p>
      </dgm:t>
    </dgm:pt>
    <dgm:pt modelId="{2327D5D6-8B08-4F1E-B103-2BDE684E2C88}" type="sibTrans" cxnId="{704E01A8-7B72-4A3C-B4A2-1BC85AA9B7B3}">
      <dgm:prSet/>
      <dgm:spPr/>
      <dgm:t>
        <a:bodyPr/>
        <a:lstStyle/>
        <a:p>
          <a:endParaRPr lang="ru-RU"/>
        </a:p>
      </dgm:t>
    </dgm:pt>
    <dgm:pt modelId="{8C7A206A-7576-465A-9622-3033D52AF6A6}">
      <dgm:prSet phldrT="[Текст]" custT="1"/>
      <dgm:spPr/>
      <dgm:t>
        <a:bodyPr/>
        <a:lstStyle/>
        <a:p>
          <a:r>
            <a:rPr lang="ru-RU" sz="1000" baseline="0">
              <a:latin typeface="Times New Roman" pitchFamily="18" charset="0"/>
            </a:rPr>
            <a:t>Экология</a:t>
          </a:r>
        </a:p>
      </dgm:t>
    </dgm:pt>
    <dgm:pt modelId="{6D3CAB68-9F8C-4FBF-B296-A48AEE0AE749}" type="parTrans" cxnId="{645908FF-CF77-4E33-BD69-FE30A39300CF}">
      <dgm:prSet/>
      <dgm:spPr/>
      <dgm:t>
        <a:bodyPr/>
        <a:lstStyle/>
        <a:p>
          <a:endParaRPr lang="ru-RU"/>
        </a:p>
      </dgm:t>
    </dgm:pt>
    <dgm:pt modelId="{A36D9DE4-83A7-4CED-AF64-F0DA5A6D1DDD}" type="sibTrans" cxnId="{645908FF-CF77-4E33-BD69-FE30A39300CF}">
      <dgm:prSet/>
      <dgm:spPr/>
      <dgm:t>
        <a:bodyPr/>
        <a:lstStyle/>
        <a:p>
          <a:endParaRPr lang="ru-RU"/>
        </a:p>
      </dgm:t>
    </dgm:pt>
    <dgm:pt modelId="{97919737-9406-4E93-95DC-E2CFE367D3D2}" type="pres">
      <dgm:prSet presAssocID="{F1A66B69-C4C3-41AF-8B4F-62D1B3CE4F9B}" presName="cycle" presStyleCnt="0">
        <dgm:presLayoutVars>
          <dgm:dir/>
          <dgm:resizeHandles val="exact"/>
        </dgm:presLayoutVars>
      </dgm:prSet>
      <dgm:spPr/>
      <dgm:t>
        <a:bodyPr/>
        <a:lstStyle/>
        <a:p>
          <a:endParaRPr lang="ru-RU"/>
        </a:p>
      </dgm:t>
    </dgm:pt>
    <dgm:pt modelId="{CF7D46B3-6A06-4D30-8067-103FDB138B69}" type="pres">
      <dgm:prSet presAssocID="{55ADB696-ACEF-4A47-B8F8-2DF207CE3DD7}" presName="node" presStyleLbl="node1" presStyleIdx="0" presStyleCnt="3">
        <dgm:presLayoutVars>
          <dgm:bulletEnabled val="1"/>
        </dgm:presLayoutVars>
      </dgm:prSet>
      <dgm:spPr/>
      <dgm:t>
        <a:bodyPr/>
        <a:lstStyle/>
        <a:p>
          <a:endParaRPr lang="ru-RU"/>
        </a:p>
      </dgm:t>
    </dgm:pt>
    <dgm:pt modelId="{57D168A7-B9A8-49BA-B004-2090D62410B6}" type="pres">
      <dgm:prSet presAssocID="{786A708A-2FCC-4AD2-A7DB-C9C83326F9B0}" presName="sibTrans" presStyleLbl="sibTrans2D1" presStyleIdx="0" presStyleCnt="3"/>
      <dgm:spPr/>
      <dgm:t>
        <a:bodyPr/>
        <a:lstStyle/>
        <a:p>
          <a:endParaRPr lang="ru-RU"/>
        </a:p>
      </dgm:t>
    </dgm:pt>
    <dgm:pt modelId="{EE0F5A03-71D3-451C-A161-3E4060589389}" type="pres">
      <dgm:prSet presAssocID="{786A708A-2FCC-4AD2-A7DB-C9C83326F9B0}" presName="connectorText" presStyleLbl="sibTrans2D1" presStyleIdx="0" presStyleCnt="3"/>
      <dgm:spPr/>
      <dgm:t>
        <a:bodyPr/>
        <a:lstStyle/>
        <a:p>
          <a:endParaRPr lang="ru-RU"/>
        </a:p>
      </dgm:t>
    </dgm:pt>
    <dgm:pt modelId="{CE06DE3D-EF09-4C5C-A8B2-7B4011E67727}" type="pres">
      <dgm:prSet presAssocID="{5050BFDC-633B-4429-97BE-651AF16A4FE5}" presName="node" presStyleLbl="node1" presStyleIdx="1" presStyleCnt="3">
        <dgm:presLayoutVars>
          <dgm:bulletEnabled val="1"/>
        </dgm:presLayoutVars>
      </dgm:prSet>
      <dgm:spPr/>
      <dgm:t>
        <a:bodyPr/>
        <a:lstStyle/>
        <a:p>
          <a:endParaRPr lang="ru-RU"/>
        </a:p>
      </dgm:t>
    </dgm:pt>
    <dgm:pt modelId="{67F5B178-8A82-4266-A37F-5F2C05F42131}" type="pres">
      <dgm:prSet presAssocID="{2327D5D6-8B08-4F1E-B103-2BDE684E2C88}" presName="sibTrans" presStyleLbl="sibTrans2D1" presStyleIdx="1" presStyleCnt="3"/>
      <dgm:spPr/>
      <dgm:t>
        <a:bodyPr/>
        <a:lstStyle/>
        <a:p>
          <a:endParaRPr lang="ru-RU"/>
        </a:p>
      </dgm:t>
    </dgm:pt>
    <dgm:pt modelId="{91CA2FDF-4E81-4C05-8608-310FC1D04A58}" type="pres">
      <dgm:prSet presAssocID="{2327D5D6-8B08-4F1E-B103-2BDE684E2C88}" presName="connectorText" presStyleLbl="sibTrans2D1" presStyleIdx="1" presStyleCnt="3"/>
      <dgm:spPr/>
      <dgm:t>
        <a:bodyPr/>
        <a:lstStyle/>
        <a:p>
          <a:endParaRPr lang="ru-RU"/>
        </a:p>
      </dgm:t>
    </dgm:pt>
    <dgm:pt modelId="{7EC8F3F3-9D77-4E31-8F95-CC8FAF8DD09D}" type="pres">
      <dgm:prSet presAssocID="{8C7A206A-7576-465A-9622-3033D52AF6A6}" presName="node" presStyleLbl="node1" presStyleIdx="2" presStyleCnt="3">
        <dgm:presLayoutVars>
          <dgm:bulletEnabled val="1"/>
        </dgm:presLayoutVars>
      </dgm:prSet>
      <dgm:spPr/>
      <dgm:t>
        <a:bodyPr/>
        <a:lstStyle/>
        <a:p>
          <a:endParaRPr lang="ru-RU"/>
        </a:p>
      </dgm:t>
    </dgm:pt>
    <dgm:pt modelId="{C0488F7C-07B8-4F30-B03F-213E318B72B5}" type="pres">
      <dgm:prSet presAssocID="{A36D9DE4-83A7-4CED-AF64-F0DA5A6D1DDD}" presName="sibTrans" presStyleLbl="sibTrans2D1" presStyleIdx="2" presStyleCnt="3"/>
      <dgm:spPr/>
      <dgm:t>
        <a:bodyPr/>
        <a:lstStyle/>
        <a:p>
          <a:endParaRPr lang="ru-RU"/>
        </a:p>
      </dgm:t>
    </dgm:pt>
    <dgm:pt modelId="{82A964B3-CE0F-4685-B78E-7AB45063BC0F}" type="pres">
      <dgm:prSet presAssocID="{A36D9DE4-83A7-4CED-AF64-F0DA5A6D1DDD}" presName="connectorText" presStyleLbl="sibTrans2D1" presStyleIdx="2" presStyleCnt="3"/>
      <dgm:spPr/>
      <dgm:t>
        <a:bodyPr/>
        <a:lstStyle/>
        <a:p>
          <a:endParaRPr lang="ru-RU"/>
        </a:p>
      </dgm:t>
    </dgm:pt>
  </dgm:ptLst>
  <dgm:cxnLst>
    <dgm:cxn modelId="{EFA2F9C5-4E6C-4109-8E70-DDD57E803582}" type="presOf" srcId="{2327D5D6-8B08-4F1E-B103-2BDE684E2C88}" destId="{67F5B178-8A82-4266-A37F-5F2C05F42131}" srcOrd="0" destOrd="0" presId="urn:microsoft.com/office/officeart/2005/8/layout/cycle2"/>
    <dgm:cxn modelId="{5469DA71-3680-4F21-B794-11EB849CA60F}" type="presOf" srcId="{786A708A-2FCC-4AD2-A7DB-C9C83326F9B0}" destId="{57D168A7-B9A8-49BA-B004-2090D62410B6}" srcOrd="0" destOrd="0" presId="urn:microsoft.com/office/officeart/2005/8/layout/cycle2"/>
    <dgm:cxn modelId="{B6E5877B-B796-4C73-B142-DDAACA32B090}" srcId="{F1A66B69-C4C3-41AF-8B4F-62D1B3CE4F9B}" destId="{55ADB696-ACEF-4A47-B8F8-2DF207CE3DD7}" srcOrd="0" destOrd="0" parTransId="{FB550D43-0FCD-413E-A73B-D82F40006CFF}" sibTransId="{786A708A-2FCC-4AD2-A7DB-C9C83326F9B0}"/>
    <dgm:cxn modelId="{A2CA8372-0533-488E-B24F-5439D4864704}" type="presOf" srcId="{55ADB696-ACEF-4A47-B8F8-2DF207CE3DD7}" destId="{CF7D46B3-6A06-4D30-8067-103FDB138B69}" srcOrd="0" destOrd="0" presId="urn:microsoft.com/office/officeart/2005/8/layout/cycle2"/>
    <dgm:cxn modelId="{604AFDF5-F710-43A4-9CC0-88244B6EFC24}" type="presOf" srcId="{F1A66B69-C4C3-41AF-8B4F-62D1B3CE4F9B}" destId="{97919737-9406-4E93-95DC-E2CFE367D3D2}" srcOrd="0" destOrd="0" presId="urn:microsoft.com/office/officeart/2005/8/layout/cycle2"/>
    <dgm:cxn modelId="{645908FF-CF77-4E33-BD69-FE30A39300CF}" srcId="{F1A66B69-C4C3-41AF-8B4F-62D1B3CE4F9B}" destId="{8C7A206A-7576-465A-9622-3033D52AF6A6}" srcOrd="2" destOrd="0" parTransId="{6D3CAB68-9F8C-4FBF-B296-A48AEE0AE749}" sibTransId="{A36D9DE4-83A7-4CED-AF64-F0DA5A6D1DDD}"/>
    <dgm:cxn modelId="{704E01A8-7B72-4A3C-B4A2-1BC85AA9B7B3}" srcId="{F1A66B69-C4C3-41AF-8B4F-62D1B3CE4F9B}" destId="{5050BFDC-633B-4429-97BE-651AF16A4FE5}" srcOrd="1" destOrd="0" parTransId="{727EACA5-2EFD-4626-9151-91E69435E012}" sibTransId="{2327D5D6-8B08-4F1E-B103-2BDE684E2C88}"/>
    <dgm:cxn modelId="{9B1E4094-FD4F-4DC4-A702-F569465C7429}" type="presOf" srcId="{A36D9DE4-83A7-4CED-AF64-F0DA5A6D1DDD}" destId="{C0488F7C-07B8-4F30-B03F-213E318B72B5}" srcOrd="0" destOrd="0" presId="urn:microsoft.com/office/officeart/2005/8/layout/cycle2"/>
    <dgm:cxn modelId="{293B32E3-F254-4AFA-BAAF-A4C9AE508237}" type="presOf" srcId="{8C7A206A-7576-465A-9622-3033D52AF6A6}" destId="{7EC8F3F3-9D77-4E31-8F95-CC8FAF8DD09D}" srcOrd="0" destOrd="0" presId="urn:microsoft.com/office/officeart/2005/8/layout/cycle2"/>
    <dgm:cxn modelId="{66987B3A-7AB5-4ADE-8EE6-7DDF289AC57D}" type="presOf" srcId="{5050BFDC-633B-4429-97BE-651AF16A4FE5}" destId="{CE06DE3D-EF09-4C5C-A8B2-7B4011E67727}" srcOrd="0" destOrd="0" presId="urn:microsoft.com/office/officeart/2005/8/layout/cycle2"/>
    <dgm:cxn modelId="{7EBD3265-4BDC-42F7-B563-FC9E541955EC}" type="presOf" srcId="{A36D9DE4-83A7-4CED-AF64-F0DA5A6D1DDD}" destId="{82A964B3-CE0F-4685-B78E-7AB45063BC0F}" srcOrd="1" destOrd="0" presId="urn:microsoft.com/office/officeart/2005/8/layout/cycle2"/>
    <dgm:cxn modelId="{803837C5-576B-4E66-B0A2-1C226FA25503}" type="presOf" srcId="{786A708A-2FCC-4AD2-A7DB-C9C83326F9B0}" destId="{EE0F5A03-71D3-451C-A161-3E4060589389}" srcOrd="1" destOrd="0" presId="urn:microsoft.com/office/officeart/2005/8/layout/cycle2"/>
    <dgm:cxn modelId="{7CC79740-AB44-49A2-A266-0ADEF1EC1C91}" type="presOf" srcId="{2327D5D6-8B08-4F1E-B103-2BDE684E2C88}" destId="{91CA2FDF-4E81-4C05-8608-310FC1D04A58}" srcOrd="1" destOrd="0" presId="urn:microsoft.com/office/officeart/2005/8/layout/cycle2"/>
    <dgm:cxn modelId="{1FF74957-9C47-4C90-9A4E-F5B430B45EC6}" type="presParOf" srcId="{97919737-9406-4E93-95DC-E2CFE367D3D2}" destId="{CF7D46B3-6A06-4D30-8067-103FDB138B69}" srcOrd="0" destOrd="0" presId="urn:microsoft.com/office/officeart/2005/8/layout/cycle2"/>
    <dgm:cxn modelId="{2401B6CC-CFA2-4958-BC13-9C1EB64C370A}" type="presParOf" srcId="{97919737-9406-4E93-95DC-E2CFE367D3D2}" destId="{57D168A7-B9A8-49BA-B004-2090D62410B6}" srcOrd="1" destOrd="0" presId="urn:microsoft.com/office/officeart/2005/8/layout/cycle2"/>
    <dgm:cxn modelId="{79297BF3-D564-406C-BB3F-48BE4A179E94}" type="presParOf" srcId="{57D168A7-B9A8-49BA-B004-2090D62410B6}" destId="{EE0F5A03-71D3-451C-A161-3E4060589389}" srcOrd="0" destOrd="0" presId="urn:microsoft.com/office/officeart/2005/8/layout/cycle2"/>
    <dgm:cxn modelId="{121CDDFE-F492-4057-8208-29C029853592}" type="presParOf" srcId="{97919737-9406-4E93-95DC-E2CFE367D3D2}" destId="{CE06DE3D-EF09-4C5C-A8B2-7B4011E67727}" srcOrd="2" destOrd="0" presId="urn:microsoft.com/office/officeart/2005/8/layout/cycle2"/>
    <dgm:cxn modelId="{322C30EB-DB79-43B8-AF90-FFA4CD83B4F7}" type="presParOf" srcId="{97919737-9406-4E93-95DC-E2CFE367D3D2}" destId="{67F5B178-8A82-4266-A37F-5F2C05F42131}" srcOrd="3" destOrd="0" presId="urn:microsoft.com/office/officeart/2005/8/layout/cycle2"/>
    <dgm:cxn modelId="{3AA15AAB-BDAB-484F-95B3-A2890CD0F554}" type="presParOf" srcId="{67F5B178-8A82-4266-A37F-5F2C05F42131}" destId="{91CA2FDF-4E81-4C05-8608-310FC1D04A58}" srcOrd="0" destOrd="0" presId="urn:microsoft.com/office/officeart/2005/8/layout/cycle2"/>
    <dgm:cxn modelId="{C111CE18-2288-457E-92EE-9EE712623C95}" type="presParOf" srcId="{97919737-9406-4E93-95DC-E2CFE367D3D2}" destId="{7EC8F3F3-9D77-4E31-8F95-CC8FAF8DD09D}" srcOrd="4" destOrd="0" presId="urn:microsoft.com/office/officeart/2005/8/layout/cycle2"/>
    <dgm:cxn modelId="{50593CAF-8EBF-4F78-AE4A-F61B40C2ED88}" type="presParOf" srcId="{97919737-9406-4E93-95DC-E2CFE367D3D2}" destId="{C0488F7C-07B8-4F30-B03F-213E318B72B5}" srcOrd="5" destOrd="0" presId="urn:microsoft.com/office/officeart/2005/8/layout/cycle2"/>
    <dgm:cxn modelId="{50A71912-EC29-4059-B179-261968D1D5F7}" type="presParOf" srcId="{C0488F7C-07B8-4F30-B03F-213E318B72B5}" destId="{82A964B3-CE0F-4685-B78E-7AB45063BC0F}" srcOrd="0" destOrd="0" presId="urn:microsoft.com/office/officeart/2005/8/layout/cycle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7D46B3-6A06-4D30-8067-103FDB138B69}">
      <dsp:nvSpPr>
        <dsp:cNvPr id="0" name=""/>
        <dsp:cNvSpPr/>
      </dsp:nvSpPr>
      <dsp:spPr>
        <a:xfrm>
          <a:off x="2048023" y="635"/>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Социально-демографическое</a:t>
          </a:r>
          <a:r>
            <a:rPr lang="ru-RU" sz="900" kern="1200"/>
            <a:t> развитие</a:t>
          </a:r>
        </a:p>
      </dsp:txBody>
      <dsp:txXfrm>
        <a:off x="2048023" y="635"/>
        <a:ext cx="1390352" cy="1390352"/>
      </dsp:txXfrm>
    </dsp:sp>
    <dsp:sp modelId="{57D168A7-B9A8-49BA-B004-2090D62410B6}">
      <dsp:nvSpPr>
        <dsp:cNvPr id="0" name=""/>
        <dsp:cNvSpPr/>
      </dsp:nvSpPr>
      <dsp:spPr>
        <a:xfrm rot="3600000">
          <a:off x="3075077" y="1356507"/>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3600000">
        <a:off x="3075077" y="1356507"/>
        <a:ext cx="370068" cy="469243"/>
      </dsp:txXfrm>
    </dsp:sp>
    <dsp:sp modelId="{CE06DE3D-EF09-4C5C-A8B2-7B4011E67727}">
      <dsp:nvSpPr>
        <dsp:cNvPr id="0" name=""/>
        <dsp:cNvSpPr/>
      </dsp:nvSpPr>
      <dsp:spPr>
        <a:xfrm>
          <a:off x="3092320" y="1809411"/>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Экономическое развитие</a:t>
          </a:r>
        </a:p>
      </dsp:txBody>
      <dsp:txXfrm>
        <a:off x="3092320" y="1809411"/>
        <a:ext cx="1390352" cy="1390352"/>
      </dsp:txXfrm>
    </dsp:sp>
    <dsp:sp modelId="{67F5B178-8A82-4266-A37F-5F2C05F42131}">
      <dsp:nvSpPr>
        <dsp:cNvPr id="0" name=""/>
        <dsp:cNvSpPr/>
      </dsp:nvSpPr>
      <dsp:spPr>
        <a:xfrm rot="10800000">
          <a:off x="2568639" y="2269965"/>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2568639" y="2269965"/>
        <a:ext cx="370068" cy="469243"/>
      </dsp:txXfrm>
    </dsp:sp>
    <dsp:sp modelId="{7EC8F3F3-9D77-4E31-8F95-CC8FAF8DD09D}">
      <dsp:nvSpPr>
        <dsp:cNvPr id="0" name=""/>
        <dsp:cNvSpPr/>
      </dsp:nvSpPr>
      <dsp:spPr>
        <a:xfrm>
          <a:off x="1003726" y="1809411"/>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Экология</a:t>
          </a:r>
        </a:p>
      </dsp:txBody>
      <dsp:txXfrm>
        <a:off x="1003726" y="1809411"/>
        <a:ext cx="1390352" cy="1390352"/>
      </dsp:txXfrm>
    </dsp:sp>
    <dsp:sp modelId="{C0488F7C-07B8-4F30-B03F-213E318B72B5}">
      <dsp:nvSpPr>
        <dsp:cNvPr id="0" name=""/>
        <dsp:cNvSpPr/>
      </dsp:nvSpPr>
      <dsp:spPr>
        <a:xfrm rot="18000000">
          <a:off x="2030780" y="1374648"/>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8000000">
        <a:off x="2030780" y="1374648"/>
        <a:ext cx="370068" cy="46924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21673-140C-43B9-B825-C0B45EE9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47588</Words>
  <Characters>271256</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Ильнур</dc:creator>
  <cp:lastModifiedBy>Ахмарова</cp:lastModifiedBy>
  <cp:revision>6</cp:revision>
  <cp:lastPrinted>2018-06-05T10:23:00Z</cp:lastPrinted>
  <dcterms:created xsi:type="dcterms:W3CDTF">2018-05-29T05:55:00Z</dcterms:created>
  <dcterms:modified xsi:type="dcterms:W3CDTF">2018-06-05T10:42:00Z</dcterms:modified>
</cp:coreProperties>
</file>