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7" w:rsidRPr="00F7521C" w:rsidRDefault="00EE27C7" w:rsidP="000429E5">
      <w:pPr>
        <w:pStyle w:val="ConsPlusNormal"/>
        <w:jc w:val="both"/>
        <w:outlineLvl w:val="0"/>
        <w:rPr>
          <w:rFonts w:ascii="Times New Roman" w:hAnsi="Times New Roman" w:cs="Times New Roman"/>
          <w:sz w:val="28"/>
          <w:szCs w:val="28"/>
        </w:rPr>
      </w:pPr>
      <w:r w:rsidRPr="00F7521C">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page">
              <wp:posOffset>3609975</wp:posOffset>
            </wp:positionH>
            <wp:positionV relativeFrom="paragraph">
              <wp:posOffset>-386715</wp:posOffset>
            </wp:positionV>
            <wp:extent cx="855345" cy="857250"/>
            <wp:effectExtent l="19050" t="0" r="190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55345" cy="857250"/>
                    </a:xfrm>
                    <a:prstGeom prst="rect">
                      <a:avLst/>
                    </a:prstGeom>
                    <a:noFill/>
                    <a:ln w="9525">
                      <a:noFill/>
                      <a:miter lim="800000"/>
                      <a:headEnd/>
                      <a:tailEnd/>
                    </a:ln>
                  </pic:spPr>
                </pic:pic>
              </a:graphicData>
            </a:graphic>
          </wp:anchor>
        </w:drawing>
      </w:r>
    </w:p>
    <w:p w:rsidR="00A57EB7" w:rsidRPr="00F7521C" w:rsidRDefault="00A57EB7" w:rsidP="000429E5">
      <w:pPr>
        <w:pStyle w:val="ConsPlusNormal"/>
        <w:jc w:val="both"/>
        <w:outlineLvl w:val="0"/>
        <w:rPr>
          <w:rFonts w:ascii="Times New Roman" w:hAnsi="Times New Roman" w:cs="Times New Roman"/>
          <w:sz w:val="28"/>
          <w:szCs w:val="28"/>
        </w:rPr>
      </w:pPr>
    </w:p>
    <w:p w:rsidR="00EE27C7" w:rsidRPr="00F7521C" w:rsidRDefault="00EE27C7" w:rsidP="000429E5">
      <w:pPr>
        <w:spacing w:after="0" w:line="240" w:lineRule="auto"/>
        <w:jc w:val="center"/>
        <w:rPr>
          <w:rFonts w:ascii="Times New Roman" w:hAnsi="Times New Roman"/>
          <w:sz w:val="28"/>
          <w:szCs w:val="28"/>
        </w:rPr>
      </w:pPr>
    </w:p>
    <w:p w:rsidR="002A5905" w:rsidRPr="00F7521C" w:rsidRDefault="002A5905" w:rsidP="000429E5">
      <w:pPr>
        <w:spacing w:after="0" w:line="240" w:lineRule="auto"/>
        <w:jc w:val="center"/>
        <w:rPr>
          <w:rFonts w:ascii="Times New Roman" w:hAnsi="Times New Roman"/>
          <w:sz w:val="28"/>
          <w:szCs w:val="28"/>
        </w:rPr>
      </w:pPr>
    </w:p>
    <w:p w:rsidR="00EE27C7" w:rsidRPr="00F7521C" w:rsidRDefault="00EE27C7" w:rsidP="000429E5">
      <w:pPr>
        <w:spacing w:after="0" w:line="240" w:lineRule="auto"/>
        <w:jc w:val="center"/>
        <w:rPr>
          <w:rFonts w:ascii="Times New Roman" w:hAnsi="Times New Roman"/>
          <w:sz w:val="28"/>
          <w:szCs w:val="28"/>
        </w:rPr>
      </w:pPr>
      <w:r w:rsidRPr="00F7521C">
        <w:rPr>
          <w:rFonts w:ascii="Times New Roman" w:hAnsi="Times New Roman"/>
          <w:sz w:val="28"/>
          <w:szCs w:val="28"/>
        </w:rPr>
        <w:t>ДУМА</w:t>
      </w:r>
    </w:p>
    <w:p w:rsidR="00EE27C7" w:rsidRPr="00F7521C" w:rsidRDefault="00EE27C7" w:rsidP="000429E5">
      <w:pPr>
        <w:spacing w:after="0" w:line="240" w:lineRule="auto"/>
        <w:jc w:val="center"/>
        <w:rPr>
          <w:rFonts w:ascii="Times New Roman" w:hAnsi="Times New Roman"/>
          <w:sz w:val="28"/>
          <w:szCs w:val="28"/>
        </w:rPr>
      </w:pPr>
      <w:r w:rsidRPr="00F7521C">
        <w:rPr>
          <w:rFonts w:ascii="Times New Roman" w:hAnsi="Times New Roman"/>
          <w:sz w:val="28"/>
          <w:szCs w:val="28"/>
        </w:rPr>
        <w:t>БАРДЫМСКОГО МУНИЦИПАЛЬНОГО ОКРУГА</w:t>
      </w:r>
    </w:p>
    <w:p w:rsidR="00EE27C7" w:rsidRPr="00F7521C" w:rsidRDefault="00EE27C7" w:rsidP="000429E5">
      <w:pPr>
        <w:spacing w:after="0" w:line="240" w:lineRule="auto"/>
        <w:jc w:val="center"/>
        <w:rPr>
          <w:rFonts w:ascii="Times New Roman" w:hAnsi="Times New Roman"/>
          <w:sz w:val="28"/>
          <w:szCs w:val="28"/>
        </w:rPr>
      </w:pPr>
      <w:r w:rsidRPr="00F7521C">
        <w:rPr>
          <w:rFonts w:ascii="Times New Roman" w:hAnsi="Times New Roman"/>
          <w:sz w:val="28"/>
          <w:szCs w:val="28"/>
        </w:rPr>
        <w:t>ПЕРМСКОГО КРАЯ</w:t>
      </w:r>
    </w:p>
    <w:p w:rsidR="00EE27C7" w:rsidRPr="00F7521C" w:rsidRDefault="00EE27C7" w:rsidP="000429E5">
      <w:pPr>
        <w:spacing w:after="0" w:line="240" w:lineRule="auto"/>
        <w:jc w:val="center"/>
        <w:rPr>
          <w:rFonts w:ascii="Times New Roman" w:hAnsi="Times New Roman"/>
          <w:sz w:val="28"/>
          <w:szCs w:val="28"/>
        </w:rPr>
      </w:pPr>
    </w:p>
    <w:p w:rsidR="00EE27C7" w:rsidRPr="00F7521C" w:rsidRDefault="001E62D4" w:rsidP="000429E5">
      <w:pPr>
        <w:spacing w:after="0" w:line="240" w:lineRule="auto"/>
        <w:jc w:val="center"/>
        <w:rPr>
          <w:rFonts w:ascii="Times New Roman" w:hAnsi="Times New Roman"/>
          <w:sz w:val="28"/>
          <w:szCs w:val="28"/>
        </w:rPr>
      </w:pPr>
      <w:r w:rsidRPr="00F7521C">
        <w:rPr>
          <w:rFonts w:ascii="Times New Roman" w:hAnsi="Times New Roman"/>
          <w:sz w:val="28"/>
          <w:szCs w:val="28"/>
        </w:rPr>
        <w:t xml:space="preserve">ДВАДЦАТЬ </w:t>
      </w:r>
      <w:r w:rsidR="005D0562" w:rsidRPr="00F7521C">
        <w:rPr>
          <w:rFonts w:ascii="Times New Roman" w:hAnsi="Times New Roman"/>
          <w:sz w:val="28"/>
          <w:szCs w:val="28"/>
        </w:rPr>
        <w:t>СЕДЬМОЕ</w:t>
      </w:r>
      <w:r w:rsidR="00EE27C7" w:rsidRPr="00F7521C">
        <w:rPr>
          <w:rFonts w:ascii="Times New Roman" w:hAnsi="Times New Roman"/>
          <w:sz w:val="28"/>
          <w:szCs w:val="28"/>
        </w:rPr>
        <w:t xml:space="preserve"> ЗАСЕДАНИЕ</w:t>
      </w:r>
    </w:p>
    <w:p w:rsidR="00EE27C7" w:rsidRPr="00F7521C" w:rsidRDefault="00EE27C7" w:rsidP="000429E5">
      <w:pPr>
        <w:spacing w:after="0" w:line="240" w:lineRule="auto"/>
        <w:jc w:val="center"/>
        <w:rPr>
          <w:rFonts w:ascii="Times New Roman" w:hAnsi="Times New Roman"/>
          <w:sz w:val="28"/>
          <w:szCs w:val="28"/>
        </w:rPr>
      </w:pPr>
    </w:p>
    <w:p w:rsidR="00EE27C7" w:rsidRPr="00F7521C" w:rsidRDefault="00EE27C7" w:rsidP="000429E5">
      <w:pPr>
        <w:spacing w:after="0" w:line="240" w:lineRule="auto"/>
        <w:jc w:val="center"/>
        <w:rPr>
          <w:rFonts w:ascii="Times New Roman" w:hAnsi="Times New Roman"/>
          <w:sz w:val="28"/>
          <w:szCs w:val="28"/>
        </w:rPr>
      </w:pPr>
      <w:r w:rsidRPr="00F7521C">
        <w:rPr>
          <w:rFonts w:ascii="Times New Roman" w:hAnsi="Times New Roman"/>
          <w:sz w:val="28"/>
          <w:szCs w:val="28"/>
        </w:rPr>
        <w:t>РЕШЕНИЕ</w:t>
      </w:r>
    </w:p>
    <w:p w:rsidR="004425C5" w:rsidRPr="00F7521C" w:rsidRDefault="004425C5" w:rsidP="000429E5">
      <w:pPr>
        <w:spacing w:after="0" w:line="240" w:lineRule="auto"/>
        <w:jc w:val="center"/>
        <w:rPr>
          <w:rFonts w:ascii="Times New Roman" w:hAnsi="Times New Roman"/>
          <w:sz w:val="28"/>
          <w:szCs w:val="28"/>
        </w:rPr>
      </w:pPr>
    </w:p>
    <w:p w:rsidR="007510E2" w:rsidRPr="00F7521C" w:rsidRDefault="00C6115E" w:rsidP="000429E5">
      <w:pPr>
        <w:spacing w:after="0" w:line="240" w:lineRule="auto"/>
        <w:ind w:firstLine="708"/>
        <w:jc w:val="center"/>
        <w:rPr>
          <w:rFonts w:ascii="Times New Roman" w:hAnsi="Times New Roman"/>
          <w:sz w:val="28"/>
          <w:szCs w:val="28"/>
        </w:rPr>
      </w:pPr>
      <w:r w:rsidRPr="00F7521C">
        <w:rPr>
          <w:rFonts w:ascii="Times New Roman" w:hAnsi="Times New Roman"/>
          <w:sz w:val="28"/>
          <w:szCs w:val="28"/>
        </w:rPr>
        <w:t>2</w:t>
      </w:r>
      <w:r w:rsidR="004F119E" w:rsidRPr="00F7521C">
        <w:rPr>
          <w:rFonts w:ascii="Times New Roman" w:hAnsi="Times New Roman"/>
          <w:sz w:val="28"/>
          <w:szCs w:val="28"/>
        </w:rPr>
        <w:t>0.04</w:t>
      </w:r>
      <w:r w:rsidR="00B8133B" w:rsidRPr="00F7521C">
        <w:rPr>
          <w:rFonts w:ascii="Times New Roman" w:hAnsi="Times New Roman"/>
          <w:sz w:val="28"/>
          <w:szCs w:val="28"/>
        </w:rPr>
        <w:t>.2022</w:t>
      </w:r>
      <w:r w:rsidR="00C730F9" w:rsidRPr="00F7521C">
        <w:rPr>
          <w:rFonts w:ascii="Times New Roman" w:hAnsi="Times New Roman"/>
          <w:sz w:val="28"/>
          <w:szCs w:val="28"/>
        </w:rPr>
        <w:tab/>
      </w:r>
      <w:r w:rsidR="00C730F9" w:rsidRPr="00F7521C">
        <w:rPr>
          <w:rFonts w:ascii="Times New Roman" w:hAnsi="Times New Roman"/>
          <w:sz w:val="28"/>
          <w:szCs w:val="28"/>
        </w:rPr>
        <w:tab/>
      </w:r>
      <w:r w:rsidR="004F3B08">
        <w:rPr>
          <w:rFonts w:ascii="Times New Roman" w:hAnsi="Times New Roman"/>
          <w:sz w:val="28"/>
          <w:szCs w:val="28"/>
        </w:rPr>
        <w:t xml:space="preserve">                                                                     </w:t>
      </w:r>
      <w:r w:rsidR="00C730F9" w:rsidRPr="00F7521C">
        <w:rPr>
          <w:rFonts w:ascii="Times New Roman" w:hAnsi="Times New Roman"/>
          <w:sz w:val="28"/>
          <w:szCs w:val="28"/>
        </w:rPr>
        <w:tab/>
        <w:t xml:space="preserve"> № </w:t>
      </w:r>
      <w:r w:rsidR="004F119E" w:rsidRPr="00F7521C">
        <w:rPr>
          <w:rFonts w:ascii="Times New Roman" w:hAnsi="Times New Roman"/>
          <w:sz w:val="28"/>
          <w:szCs w:val="28"/>
        </w:rPr>
        <w:t>40</w:t>
      </w:r>
      <w:r w:rsidR="005F3135" w:rsidRPr="00F7521C">
        <w:rPr>
          <w:rFonts w:ascii="Times New Roman" w:hAnsi="Times New Roman"/>
          <w:sz w:val="28"/>
          <w:szCs w:val="28"/>
        </w:rPr>
        <w:t>6</w:t>
      </w:r>
    </w:p>
    <w:p w:rsidR="007510E2" w:rsidRPr="00F7521C" w:rsidRDefault="007510E2" w:rsidP="000429E5">
      <w:pPr>
        <w:spacing w:after="0" w:line="240" w:lineRule="auto"/>
        <w:ind w:firstLine="708"/>
        <w:rPr>
          <w:rFonts w:ascii="Times New Roman" w:hAnsi="Times New Roman"/>
          <w:sz w:val="28"/>
          <w:szCs w:val="28"/>
        </w:rPr>
      </w:pPr>
    </w:p>
    <w:p w:rsidR="000F03C2" w:rsidRPr="00F7521C" w:rsidRDefault="000F03C2" w:rsidP="000429E5">
      <w:pPr>
        <w:spacing w:after="0" w:line="240" w:lineRule="auto"/>
        <w:ind w:firstLine="708"/>
        <w:rPr>
          <w:rFonts w:ascii="Times New Roman" w:hAnsi="Times New Roman"/>
          <w:sz w:val="28"/>
          <w:szCs w:val="28"/>
        </w:rPr>
      </w:pPr>
    </w:p>
    <w:p w:rsidR="005F3135" w:rsidRPr="00F7521C" w:rsidRDefault="005F3135" w:rsidP="00F7521C">
      <w:pPr>
        <w:tabs>
          <w:tab w:val="left" w:pos="9214"/>
        </w:tabs>
        <w:spacing w:after="0" w:line="240" w:lineRule="auto"/>
        <w:rPr>
          <w:rFonts w:ascii="Times New Roman" w:hAnsi="Times New Roman"/>
          <w:b/>
          <w:sz w:val="28"/>
          <w:szCs w:val="28"/>
        </w:rPr>
      </w:pPr>
      <w:r w:rsidRPr="00F7521C">
        <w:rPr>
          <w:rFonts w:ascii="Times New Roman" w:hAnsi="Times New Roman"/>
          <w:b/>
          <w:sz w:val="28"/>
          <w:szCs w:val="28"/>
        </w:rPr>
        <w:t xml:space="preserve">Об утверждении отчета деятельности </w:t>
      </w:r>
    </w:p>
    <w:p w:rsidR="005F3135" w:rsidRPr="00F7521C" w:rsidRDefault="005F3135" w:rsidP="00F7521C">
      <w:pPr>
        <w:tabs>
          <w:tab w:val="left" w:pos="9214"/>
        </w:tabs>
        <w:spacing w:after="0" w:line="240" w:lineRule="auto"/>
        <w:rPr>
          <w:rFonts w:ascii="Times New Roman" w:hAnsi="Times New Roman"/>
          <w:b/>
          <w:sz w:val="28"/>
          <w:szCs w:val="28"/>
        </w:rPr>
      </w:pPr>
      <w:r w:rsidRPr="00F7521C">
        <w:rPr>
          <w:rFonts w:ascii="Times New Roman" w:hAnsi="Times New Roman"/>
          <w:b/>
          <w:sz w:val="28"/>
          <w:szCs w:val="28"/>
        </w:rPr>
        <w:t xml:space="preserve">Контрольно – счетной палаты </w:t>
      </w:r>
    </w:p>
    <w:p w:rsidR="005F3135" w:rsidRPr="00F7521C" w:rsidRDefault="005F3135" w:rsidP="00F7521C">
      <w:pPr>
        <w:tabs>
          <w:tab w:val="left" w:pos="9214"/>
        </w:tabs>
        <w:spacing w:after="0" w:line="240" w:lineRule="auto"/>
        <w:rPr>
          <w:rFonts w:ascii="Times New Roman" w:hAnsi="Times New Roman"/>
          <w:b/>
          <w:sz w:val="28"/>
          <w:szCs w:val="28"/>
        </w:rPr>
      </w:pPr>
      <w:r w:rsidRPr="00F7521C">
        <w:rPr>
          <w:rFonts w:ascii="Times New Roman" w:hAnsi="Times New Roman"/>
          <w:b/>
          <w:sz w:val="28"/>
          <w:szCs w:val="28"/>
        </w:rPr>
        <w:t xml:space="preserve">Бардымского муниципального округа </w:t>
      </w:r>
    </w:p>
    <w:p w:rsidR="005F3135" w:rsidRPr="00F7521C" w:rsidRDefault="005F3135" w:rsidP="00F7521C">
      <w:pPr>
        <w:tabs>
          <w:tab w:val="left" w:pos="9214"/>
        </w:tabs>
        <w:spacing w:after="0" w:line="240" w:lineRule="auto"/>
        <w:rPr>
          <w:rFonts w:ascii="Times New Roman" w:hAnsi="Times New Roman"/>
          <w:b/>
          <w:sz w:val="28"/>
          <w:szCs w:val="28"/>
        </w:rPr>
      </w:pPr>
      <w:r w:rsidRPr="00F7521C">
        <w:rPr>
          <w:rFonts w:ascii="Times New Roman" w:hAnsi="Times New Roman"/>
          <w:b/>
          <w:sz w:val="28"/>
          <w:szCs w:val="28"/>
        </w:rPr>
        <w:t xml:space="preserve">Пермского края за 2021 год  </w:t>
      </w:r>
    </w:p>
    <w:p w:rsidR="005F3135" w:rsidRPr="00F7521C" w:rsidRDefault="005F3135" w:rsidP="00F7521C">
      <w:pPr>
        <w:spacing w:after="0" w:line="240" w:lineRule="auto"/>
        <w:ind w:firstLine="708"/>
        <w:jc w:val="both"/>
        <w:rPr>
          <w:rFonts w:ascii="Times New Roman" w:hAnsi="Times New Roman"/>
          <w:color w:val="000000"/>
          <w:sz w:val="28"/>
          <w:szCs w:val="28"/>
        </w:rPr>
      </w:pPr>
    </w:p>
    <w:p w:rsidR="005F3135" w:rsidRPr="00F7521C" w:rsidRDefault="005F3135" w:rsidP="00F7521C">
      <w:pPr>
        <w:widowControl w:val="0"/>
        <w:autoSpaceDE w:val="0"/>
        <w:autoSpaceDN w:val="0"/>
        <w:adjustRightInd w:val="0"/>
        <w:spacing w:after="0" w:line="240" w:lineRule="auto"/>
        <w:ind w:firstLine="709"/>
        <w:jc w:val="both"/>
        <w:rPr>
          <w:rFonts w:ascii="Times New Roman" w:hAnsi="Times New Roman"/>
          <w:sz w:val="28"/>
          <w:szCs w:val="28"/>
        </w:rPr>
      </w:pPr>
      <w:r w:rsidRPr="00F7521C">
        <w:rPr>
          <w:rFonts w:ascii="Times New Roman" w:hAnsi="Times New Roman"/>
          <w:sz w:val="28"/>
          <w:szCs w:val="28"/>
        </w:rPr>
        <w:t>В соответствии со статьей 19 Федерального закона от 07.02.2011 г. № 6-ФЗ «Об общих принципах организации и деятельности контрольно – счетных органов субъектов Российской Федерации и муниципальных образований», пункта 2 статьи 18 Положения о Контрольно – счетной палате Бардымского муниципального окр</w:t>
      </w:r>
      <w:r w:rsidR="00B3696A">
        <w:rPr>
          <w:rFonts w:ascii="Times New Roman" w:hAnsi="Times New Roman"/>
          <w:sz w:val="28"/>
          <w:szCs w:val="28"/>
        </w:rPr>
        <w:t>уга Пермского края, утвержденного</w:t>
      </w:r>
      <w:r w:rsidRPr="00F7521C">
        <w:rPr>
          <w:rFonts w:ascii="Times New Roman" w:hAnsi="Times New Roman"/>
          <w:sz w:val="28"/>
          <w:szCs w:val="28"/>
        </w:rPr>
        <w:t xml:space="preserve"> решением Думы Бардымского муниципального округа от 27.01.2021 г. № 98, Дума Бардымского муниципального округа</w:t>
      </w:r>
    </w:p>
    <w:p w:rsidR="005F3135" w:rsidRPr="00F7521C" w:rsidRDefault="005F3135" w:rsidP="00F7521C">
      <w:pPr>
        <w:widowControl w:val="0"/>
        <w:autoSpaceDE w:val="0"/>
        <w:autoSpaceDN w:val="0"/>
        <w:adjustRightInd w:val="0"/>
        <w:spacing w:after="0" w:line="240" w:lineRule="auto"/>
        <w:ind w:firstLine="709"/>
        <w:jc w:val="both"/>
        <w:rPr>
          <w:rFonts w:ascii="Times New Roman" w:hAnsi="Times New Roman"/>
          <w:sz w:val="28"/>
          <w:szCs w:val="28"/>
        </w:rPr>
      </w:pPr>
      <w:r w:rsidRPr="00F7521C">
        <w:rPr>
          <w:rFonts w:ascii="Times New Roman" w:hAnsi="Times New Roman"/>
          <w:sz w:val="28"/>
          <w:szCs w:val="28"/>
        </w:rPr>
        <w:t xml:space="preserve"> РЕШАЕТ:</w:t>
      </w:r>
    </w:p>
    <w:p w:rsidR="005F3135" w:rsidRPr="00F7521C" w:rsidRDefault="005F3135" w:rsidP="00F7521C">
      <w:pPr>
        <w:tabs>
          <w:tab w:val="left" w:pos="9214"/>
        </w:tabs>
        <w:spacing w:after="0" w:line="240" w:lineRule="auto"/>
        <w:ind w:firstLine="709"/>
        <w:jc w:val="both"/>
        <w:rPr>
          <w:rFonts w:ascii="Times New Roman" w:hAnsi="Times New Roman"/>
          <w:sz w:val="28"/>
          <w:szCs w:val="28"/>
        </w:rPr>
      </w:pPr>
      <w:r w:rsidRPr="00F7521C">
        <w:rPr>
          <w:rFonts w:ascii="Times New Roman" w:hAnsi="Times New Roman"/>
          <w:sz w:val="28"/>
          <w:szCs w:val="28"/>
        </w:rPr>
        <w:t>1. Утвердить отчет о деятельности Контрольно – счетной палаты Бардымского муниципального округа Пермского края за 2021 год.</w:t>
      </w:r>
    </w:p>
    <w:p w:rsidR="005F3135" w:rsidRPr="00F7521C" w:rsidRDefault="005F3135" w:rsidP="00F7521C">
      <w:pPr>
        <w:shd w:val="clear" w:color="auto" w:fill="FFFFFF"/>
        <w:spacing w:after="0" w:line="240" w:lineRule="auto"/>
        <w:ind w:firstLine="709"/>
        <w:jc w:val="both"/>
        <w:rPr>
          <w:rFonts w:ascii="Times New Roman" w:hAnsi="Times New Roman"/>
          <w:color w:val="000000"/>
          <w:sz w:val="28"/>
          <w:szCs w:val="28"/>
        </w:rPr>
      </w:pPr>
      <w:r w:rsidRPr="00F7521C">
        <w:rPr>
          <w:rFonts w:ascii="Times New Roman" w:hAnsi="Times New Roman"/>
          <w:sz w:val="28"/>
          <w:szCs w:val="28"/>
        </w:rPr>
        <w:t xml:space="preserve">2. Опубликовать </w:t>
      </w:r>
      <w:r w:rsidRPr="00F7521C">
        <w:rPr>
          <w:rFonts w:ascii="Times New Roman" w:hAnsi="Times New Roman"/>
          <w:color w:val="000000"/>
          <w:sz w:val="28"/>
          <w:szCs w:val="28"/>
        </w:rPr>
        <w:t>настоящее решение в газете «Тан» («Рассвет») и разместить на официальном сайте Бардымского муниципального округа Пермского края барда.рф.</w:t>
      </w:r>
    </w:p>
    <w:p w:rsidR="005F3135" w:rsidRPr="00F7521C" w:rsidRDefault="004F3B08" w:rsidP="00F7521C">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5F3135" w:rsidRPr="00F7521C">
        <w:rPr>
          <w:rFonts w:ascii="Times New Roman" w:hAnsi="Times New Roman"/>
          <w:color w:val="000000"/>
          <w:sz w:val="28"/>
          <w:szCs w:val="28"/>
        </w:rPr>
        <w:t>Настоящее решение вступает в силу со дня подписания.</w:t>
      </w:r>
    </w:p>
    <w:p w:rsidR="005F3135" w:rsidRPr="00F7521C" w:rsidRDefault="004F3B08" w:rsidP="00F752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5F3135" w:rsidRPr="00F7521C">
        <w:rPr>
          <w:rFonts w:ascii="Times New Roman" w:hAnsi="Times New Roman"/>
          <w:sz w:val="28"/>
          <w:szCs w:val="28"/>
        </w:rPr>
        <w:t>Контроль исполнения настоящего решения возложить на председателя Думы Бардымского муниципального округа.</w:t>
      </w:r>
    </w:p>
    <w:p w:rsidR="005F3135" w:rsidRPr="00F7521C" w:rsidRDefault="005F3135" w:rsidP="00F7521C">
      <w:pPr>
        <w:spacing w:after="0" w:line="240" w:lineRule="auto"/>
        <w:jc w:val="both"/>
        <w:rPr>
          <w:rFonts w:ascii="Times New Roman" w:hAnsi="Times New Roman"/>
          <w:sz w:val="28"/>
          <w:szCs w:val="28"/>
        </w:rPr>
      </w:pPr>
    </w:p>
    <w:p w:rsidR="005F3135" w:rsidRPr="00F7521C" w:rsidRDefault="005F3135" w:rsidP="00F7521C">
      <w:pPr>
        <w:spacing w:after="0" w:line="240" w:lineRule="auto"/>
        <w:rPr>
          <w:rFonts w:ascii="Times New Roman" w:hAnsi="Times New Roman"/>
          <w:sz w:val="28"/>
          <w:szCs w:val="28"/>
        </w:rPr>
      </w:pPr>
    </w:p>
    <w:p w:rsidR="005F3135" w:rsidRPr="00F7521C" w:rsidRDefault="005F3135" w:rsidP="00F7521C">
      <w:pPr>
        <w:tabs>
          <w:tab w:val="left" w:pos="142"/>
        </w:tabs>
        <w:autoSpaceDE w:val="0"/>
        <w:autoSpaceDN w:val="0"/>
        <w:adjustRightInd w:val="0"/>
        <w:spacing w:after="0" w:line="240" w:lineRule="auto"/>
        <w:jc w:val="both"/>
        <w:rPr>
          <w:rFonts w:ascii="Times New Roman" w:hAnsi="Times New Roman"/>
          <w:sz w:val="28"/>
          <w:szCs w:val="28"/>
        </w:rPr>
      </w:pPr>
      <w:r w:rsidRPr="00F7521C">
        <w:rPr>
          <w:rFonts w:ascii="Times New Roman" w:hAnsi="Times New Roman"/>
          <w:sz w:val="28"/>
          <w:szCs w:val="28"/>
        </w:rPr>
        <w:t xml:space="preserve">Председатель Думы </w:t>
      </w:r>
    </w:p>
    <w:p w:rsidR="005F3135" w:rsidRPr="00F7521C" w:rsidRDefault="005F3135" w:rsidP="00F7521C">
      <w:pPr>
        <w:tabs>
          <w:tab w:val="left" w:pos="142"/>
        </w:tabs>
        <w:autoSpaceDE w:val="0"/>
        <w:autoSpaceDN w:val="0"/>
        <w:adjustRightInd w:val="0"/>
        <w:spacing w:after="0" w:line="240" w:lineRule="auto"/>
        <w:jc w:val="both"/>
        <w:rPr>
          <w:rFonts w:ascii="Times New Roman" w:hAnsi="Times New Roman"/>
          <w:sz w:val="28"/>
          <w:szCs w:val="28"/>
        </w:rPr>
      </w:pPr>
      <w:r w:rsidRPr="00F7521C">
        <w:rPr>
          <w:rFonts w:ascii="Times New Roman" w:hAnsi="Times New Roman"/>
          <w:sz w:val="28"/>
          <w:szCs w:val="28"/>
        </w:rPr>
        <w:t>Бардымского муниципального округа</w:t>
      </w:r>
      <w:r w:rsidRPr="00F7521C">
        <w:rPr>
          <w:rFonts w:ascii="Times New Roman" w:hAnsi="Times New Roman"/>
          <w:sz w:val="28"/>
          <w:szCs w:val="28"/>
        </w:rPr>
        <w:tab/>
      </w:r>
      <w:r w:rsidRPr="00F7521C">
        <w:rPr>
          <w:rFonts w:ascii="Times New Roman" w:hAnsi="Times New Roman"/>
          <w:sz w:val="28"/>
          <w:szCs w:val="28"/>
        </w:rPr>
        <w:tab/>
      </w:r>
      <w:r w:rsidRPr="00F7521C">
        <w:rPr>
          <w:rFonts w:ascii="Times New Roman" w:hAnsi="Times New Roman"/>
          <w:sz w:val="28"/>
          <w:szCs w:val="28"/>
        </w:rPr>
        <w:tab/>
        <w:t xml:space="preserve">                        </w:t>
      </w:r>
      <w:r w:rsidR="00B3696A">
        <w:rPr>
          <w:rFonts w:ascii="Times New Roman" w:hAnsi="Times New Roman"/>
          <w:sz w:val="28"/>
          <w:szCs w:val="28"/>
        </w:rPr>
        <w:t xml:space="preserve">    </w:t>
      </w:r>
      <w:r w:rsidRPr="00F7521C">
        <w:rPr>
          <w:rFonts w:ascii="Times New Roman" w:hAnsi="Times New Roman"/>
          <w:sz w:val="28"/>
          <w:szCs w:val="28"/>
        </w:rPr>
        <w:t xml:space="preserve">    И.Р. Вахитов</w:t>
      </w:r>
    </w:p>
    <w:p w:rsidR="005F3135" w:rsidRPr="00F7521C" w:rsidRDefault="005F3135" w:rsidP="00F7521C">
      <w:pPr>
        <w:tabs>
          <w:tab w:val="left" w:pos="142"/>
        </w:tabs>
        <w:autoSpaceDE w:val="0"/>
        <w:autoSpaceDN w:val="0"/>
        <w:adjustRightInd w:val="0"/>
        <w:spacing w:after="0" w:line="240" w:lineRule="auto"/>
        <w:jc w:val="both"/>
        <w:rPr>
          <w:rFonts w:ascii="Times New Roman" w:hAnsi="Times New Roman"/>
          <w:sz w:val="28"/>
          <w:szCs w:val="28"/>
        </w:rPr>
      </w:pPr>
    </w:p>
    <w:p w:rsidR="005F3135" w:rsidRPr="00F7521C" w:rsidRDefault="005F3135" w:rsidP="00F7521C">
      <w:pPr>
        <w:tabs>
          <w:tab w:val="left" w:pos="142"/>
        </w:tabs>
        <w:autoSpaceDE w:val="0"/>
        <w:autoSpaceDN w:val="0"/>
        <w:adjustRightInd w:val="0"/>
        <w:spacing w:after="0" w:line="240" w:lineRule="auto"/>
        <w:jc w:val="both"/>
        <w:rPr>
          <w:rFonts w:ascii="Times New Roman" w:hAnsi="Times New Roman"/>
          <w:sz w:val="28"/>
          <w:szCs w:val="28"/>
        </w:rPr>
      </w:pPr>
    </w:p>
    <w:p w:rsidR="005F3135" w:rsidRPr="00F7521C" w:rsidRDefault="005F3135" w:rsidP="00F7521C">
      <w:pPr>
        <w:tabs>
          <w:tab w:val="left" w:pos="142"/>
        </w:tabs>
        <w:autoSpaceDE w:val="0"/>
        <w:autoSpaceDN w:val="0"/>
        <w:adjustRightInd w:val="0"/>
        <w:spacing w:after="0" w:line="240" w:lineRule="auto"/>
        <w:jc w:val="both"/>
        <w:rPr>
          <w:rFonts w:ascii="Times New Roman" w:hAnsi="Times New Roman"/>
          <w:sz w:val="28"/>
          <w:szCs w:val="28"/>
        </w:rPr>
      </w:pPr>
      <w:r w:rsidRPr="00F7521C">
        <w:rPr>
          <w:rFonts w:ascii="Times New Roman" w:hAnsi="Times New Roman"/>
          <w:sz w:val="28"/>
          <w:szCs w:val="28"/>
        </w:rPr>
        <w:t>Глава муниципального округа –</w:t>
      </w:r>
    </w:p>
    <w:p w:rsidR="005F3135" w:rsidRPr="00F7521C" w:rsidRDefault="005F3135" w:rsidP="00F7521C">
      <w:pPr>
        <w:tabs>
          <w:tab w:val="left" w:pos="142"/>
        </w:tabs>
        <w:autoSpaceDE w:val="0"/>
        <w:autoSpaceDN w:val="0"/>
        <w:adjustRightInd w:val="0"/>
        <w:spacing w:after="0" w:line="240" w:lineRule="auto"/>
        <w:jc w:val="both"/>
        <w:rPr>
          <w:rFonts w:ascii="Times New Roman" w:hAnsi="Times New Roman"/>
          <w:sz w:val="28"/>
          <w:szCs w:val="28"/>
        </w:rPr>
      </w:pPr>
      <w:r w:rsidRPr="00F7521C">
        <w:rPr>
          <w:rFonts w:ascii="Times New Roman" w:hAnsi="Times New Roman"/>
          <w:sz w:val="28"/>
          <w:szCs w:val="28"/>
        </w:rPr>
        <w:t>глава администрации Бардымского</w:t>
      </w:r>
    </w:p>
    <w:p w:rsidR="005F3135" w:rsidRPr="00F7521C" w:rsidRDefault="005F3135" w:rsidP="00F7521C">
      <w:pPr>
        <w:tabs>
          <w:tab w:val="left" w:pos="142"/>
        </w:tabs>
        <w:autoSpaceDE w:val="0"/>
        <w:autoSpaceDN w:val="0"/>
        <w:adjustRightInd w:val="0"/>
        <w:spacing w:after="0" w:line="240" w:lineRule="auto"/>
        <w:jc w:val="both"/>
        <w:rPr>
          <w:rFonts w:ascii="Times New Roman" w:hAnsi="Times New Roman"/>
          <w:sz w:val="28"/>
          <w:szCs w:val="28"/>
        </w:rPr>
      </w:pPr>
      <w:r w:rsidRPr="00F7521C">
        <w:rPr>
          <w:rFonts w:ascii="Times New Roman" w:hAnsi="Times New Roman"/>
          <w:sz w:val="28"/>
          <w:szCs w:val="28"/>
        </w:rPr>
        <w:t>муниципального округа</w:t>
      </w:r>
      <w:r w:rsidRPr="00F7521C">
        <w:rPr>
          <w:rFonts w:ascii="Times New Roman" w:hAnsi="Times New Roman"/>
          <w:sz w:val="28"/>
          <w:szCs w:val="28"/>
        </w:rPr>
        <w:tab/>
      </w:r>
      <w:r w:rsidRPr="00F7521C">
        <w:rPr>
          <w:rFonts w:ascii="Times New Roman" w:hAnsi="Times New Roman"/>
          <w:sz w:val="28"/>
          <w:szCs w:val="28"/>
        </w:rPr>
        <w:tab/>
      </w:r>
      <w:r w:rsidRPr="00F7521C">
        <w:rPr>
          <w:rFonts w:ascii="Times New Roman" w:hAnsi="Times New Roman"/>
          <w:sz w:val="28"/>
          <w:szCs w:val="28"/>
        </w:rPr>
        <w:tab/>
      </w:r>
      <w:r w:rsidRPr="00F7521C">
        <w:rPr>
          <w:rFonts w:ascii="Times New Roman" w:hAnsi="Times New Roman"/>
          <w:sz w:val="28"/>
          <w:szCs w:val="28"/>
        </w:rPr>
        <w:tab/>
        <w:t xml:space="preserve">                                    </w:t>
      </w:r>
      <w:r w:rsidR="00B3696A">
        <w:rPr>
          <w:rFonts w:ascii="Times New Roman" w:hAnsi="Times New Roman"/>
          <w:sz w:val="28"/>
          <w:szCs w:val="28"/>
        </w:rPr>
        <w:t xml:space="preserve">    </w:t>
      </w:r>
      <w:r w:rsidRPr="00F7521C">
        <w:rPr>
          <w:rFonts w:ascii="Times New Roman" w:hAnsi="Times New Roman"/>
          <w:sz w:val="28"/>
          <w:szCs w:val="28"/>
        </w:rPr>
        <w:t>Х.Г. Алапанов</w:t>
      </w:r>
    </w:p>
    <w:p w:rsidR="005F3135" w:rsidRPr="00F7521C" w:rsidRDefault="005F3135" w:rsidP="00F7521C">
      <w:pPr>
        <w:tabs>
          <w:tab w:val="left" w:pos="142"/>
        </w:tabs>
        <w:autoSpaceDE w:val="0"/>
        <w:autoSpaceDN w:val="0"/>
        <w:adjustRightInd w:val="0"/>
        <w:spacing w:after="0" w:line="240" w:lineRule="auto"/>
        <w:jc w:val="both"/>
        <w:rPr>
          <w:rFonts w:ascii="Times New Roman" w:hAnsi="Times New Roman"/>
          <w:sz w:val="28"/>
          <w:szCs w:val="28"/>
        </w:rPr>
      </w:pPr>
    </w:p>
    <w:p w:rsidR="00F7521C" w:rsidRDefault="00F7521C" w:rsidP="00F7521C">
      <w:pPr>
        <w:tabs>
          <w:tab w:val="left" w:pos="6946"/>
        </w:tabs>
        <w:spacing w:after="0" w:line="240" w:lineRule="auto"/>
        <w:jc w:val="right"/>
        <w:rPr>
          <w:rFonts w:ascii="Times New Roman" w:hAnsi="Times New Roman"/>
          <w:sz w:val="28"/>
          <w:szCs w:val="28"/>
        </w:rPr>
      </w:pPr>
      <w:r>
        <w:rPr>
          <w:rFonts w:ascii="Times New Roman" w:hAnsi="Times New Roman"/>
          <w:sz w:val="28"/>
          <w:szCs w:val="28"/>
        </w:rPr>
        <w:lastRenderedPageBreak/>
        <w:t>УТВЕРЖДЕНО</w:t>
      </w:r>
    </w:p>
    <w:p w:rsidR="00F7521C" w:rsidRDefault="004F3B08" w:rsidP="00F7521C">
      <w:pPr>
        <w:tabs>
          <w:tab w:val="left" w:pos="6946"/>
        </w:tabs>
        <w:spacing w:after="0" w:line="240" w:lineRule="auto"/>
        <w:jc w:val="right"/>
        <w:rPr>
          <w:rFonts w:ascii="Times New Roman" w:hAnsi="Times New Roman"/>
          <w:sz w:val="28"/>
          <w:szCs w:val="28"/>
        </w:rPr>
      </w:pPr>
      <w:r>
        <w:rPr>
          <w:rFonts w:ascii="Times New Roman" w:hAnsi="Times New Roman"/>
          <w:sz w:val="28"/>
          <w:szCs w:val="28"/>
        </w:rPr>
        <w:t>р</w:t>
      </w:r>
      <w:r w:rsidR="005F3135" w:rsidRPr="00F7521C">
        <w:rPr>
          <w:rFonts w:ascii="Times New Roman" w:hAnsi="Times New Roman"/>
          <w:sz w:val="28"/>
          <w:szCs w:val="28"/>
        </w:rPr>
        <w:t>ешением</w:t>
      </w:r>
      <w:r>
        <w:rPr>
          <w:rFonts w:ascii="Times New Roman" w:hAnsi="Times New Roman"/>
          <w:sz w:val="28"/>
          <w:szCs w:val="28"/>
        </w:rPr>
        <w:t xml:space="preserve"> </w:t>
      </w:r>
      <w:r w:rsidR="005F3135" w:rsidRPr="00F7521C">
        <w:rPr>
          <w:rFonts w:ascii="Times New Roman" w:hAnsi="Times New Roman"/>
          <w:sz w:val="28"/>
          <w:szCs w:val="28"/>
        </w:rPr>
        <w:t xml:space="preserve">Думы </w:t>
      </w:r>
    </w:p>
    <w:p w:rsidR="005F3135" w:rsidRPr="00F7521C" w:rsidRDefault="005F3135" w:rsidP="00F7521C">
      <w:pPr>
        <w:tabs>
          <w:tab w:val="left" w:pos="6946"/>
        </w:tabs>
        <w:spacing w:after="0" w:line="240" w:lineRule="auto"/>
        <w:jc w:val="right"/>
        <w:rPr>
          <w:rFonts w:ascii="Times New Roman" w:hAnsi="Times New Roman"/>
          <w:sz w:val="28"/>
          <w:szCs w:val="28"/>
        </w:rPr>
      </w:pPr>
      <w:r w:rsidRPr="00F7521C">
        <w:rPr>
          <w:rFonts w:ascii="Times New Roman" w:hAnsi="Times New Roman"/>
          <w:sz w:val="28"/>
          <w:szCs w:val="28"/>
        </w:rPr>
        <w:t>Бардымского муниципального округа</w:t>
      </w:r>
    </w:p>
    <w:p w:rsidR="005F3135" w:rsidRPr="00F7521C" w:rsidRDefault="00F7521C" w:rsidP="00F7521C">
      <w:pPr>
        <w:tabs>
          <w:tab w:val="left" w:pos="8789"/>
        </w:tabs>
        <w:spacing w:after="0" w:line="240" w:lineRule="auto"/>
        <w:jc w:val="right"/>
        <w:rPr>
          <w:rFonts w:ascii="Times New Roman" w:hAnsi="Times New Roman"/>
          <w:sz w:val="28"/>
          <w:szCs w:val="28"/>
        </w:rPr>
      </w:pPr>
      <w:r>
        <w:rPr>
          <w:rFonts w:ascii="Times New Roman" w:hAnsi="Times New Roman"/>
          <w:sz w:val="28"/>
          <w:szCs w:val="28"/>
        </w:rPr>
        <w:t xml:space="preserve">от 20.04.2022 № 406            </w:t>
      </w:r>
    </w:p>
    <w:p w:rsidR="005F3135" w:rsidRPr="00F7521C" w:rsidRDefault="005F3135" w:rsidP="00F7521C">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F7521C" w:rsidRDefault="00F7521C" w:rsidP="00F7521C">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5F3135" w:rsidRPr="00F7521C" w:rsidRDefault="005F3135" w:rsidP="00F7521C">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F7521C">
        <w:rPr>
          <w:rFonts w:ascii="Times New Roman" w:hAnsi="Times New Roman"/>
          <w:b/>
          <w:sz w:val="28"/>
          <w:szCs w:val="28"/>
        </w:rPr>
        <w:t>ОТЧЕТ</w:t>
      </w:r>
    </w:p>
    <w:p w:rsidR="005F3135" w:rsidRDefault="005F3135" w:rsidP="00F7521C">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F7521C">
        <w:rPr>
          <w:rFonts w:ascii="Times New Roman" w:hAnsi="Times New Roman"/>
          <w:b/>
          <w:sz w:val="28"/>
          <w:szCs w:val="28"/>
        </w:rPr>
        <w:t>о деятельности Контрольно-счетной палаты Бардымского муниципального ок</w:t>
      </w:r>
      <w:r w:rsidR="00F7521C">
        <w:rPr>
          <w:rFonts w:ascii="Times New Roman" w:hAnsi="Times New Roman"/>
          <w:b/>
          <w:sz w:val="28"/>
          <w:szCs w:val="28"/>
        </w:rPr>
        <w:t>руга Пермского края за 2021 год</w:t>
      </w:r>
    </w:p>
    <w:p w:rsidR="00F7521C" w:rsidRPr="00F7521C" w:rsidRDefault="00F7521C" w:rsidP="00F7521C">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5F3135" w:rsidRPr="00F7521C" w:rsidRDefault="005F3135" w:rsidP="00F7521C">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F7521C">
        <w:rPr>
          <w:rFonts w:ascii="Times New Roman" w:hAnsi="Times New Roman"/>
          <w:iCs/>
          <w:sz w:val="28"/>
          <w:szCs w:val="28"/>
        </w:rPr>
        <w:t xml:space="preserve">Отчет о деятельности Контрольно-счетной палаты Бардымского   </w:t>
      </w:r>
      <w:r w:rsidRPr="00F7521C">
        <w:rPr>
          <w:rFonts w:ascii="Times New Roman" w:hAnsi="Times New Roman"/>
          <w:sz w:val="28"/>
          <w:szCs w:val="28"/>
        </w:rPr>
        <w:t xml:space="preserve">муниципального округа Пермского края </w:t>
      </w:r>
      <w:r w:rsidRPr="00F7521C">
        <w:rPr>
          <w:rFonts w:ascii="Times New Roman" w:hAnsi="Times New Roman"/>
          <w:iCs/>
          <w:sz w:val="28"/>
          <w:szCs w:val="28"/>
        </w:rPr>
        <w:t xml:space="preserve">за 2021 год подготовлен в соответствии с пунктом 2 статьи 18 Положения о Контрольно - счетной палате Бардымского </w:t>
      </w:r>
      <w:r w:rsidRPr="00F7521C">
        <w:rPr>
          <w:rFonts w:ascii="Times New Roman" w:hAnsi="Times New Roman"/>
          <w:sz w:val="28"/>
          <w:szCs w:val="28"/>
        </w:rPr>
        <w:t xml:space="preserve">муниципального округа Пермского края </w:t>
      </w:r>
      <w:r w:rsidRPr="00F7521C">
        <w:rPr>
          <w:rFonts w:ascii="Times New Roman" w:hAnsi="Times New Roman"/>
          <w:iCs/>
          <w:sz w:val="28"/>
          <w:szCs w:val="28"/>
        </w:rPr>
        <w:t xml:space="preserve">- о ежегодном предоставлении Думе Бардымского муниципального округа отчета о деятельности Контрольно-счетной палаты Бардымского </w:t>
      </w:r>
      <w:r w:rsidRPr="00F7521C">
        <w:rPr>
          <w:rFonts w:ascii="Times New Roman" w:hAnsi="Times New Roman"/>
          <w:sz w:val="28"/>
          <w:szCs w:val="28"/>
        </w:rPr>
        <w:t>муниципального округа Пермского края</w:t>
      </w:r>
      <w:r w:rsidRPr="00F7521C">
        <w:rPr>
          <w:rFonts w:ascii="Times New Roman" w:hAnsi="Times New Roman"/>
          <w:iCs/>
          <w:sz w:val="28"/>
          <w:szCs w:val="28"/>
        </w:rPr>
        <w:t>.</w:t>
      </w:r>
    </w:p>
    <w:p w:rsidR="005F3135" w:rsidRPr="00F7521C" w:rsidRDefault="005F3135" w:rsidP="00F7521C">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 xml:space="preserve">В отчете  представлены  основные  итоги деятельности  Контрольно-счетной палаты  Бардымского  </w:t>
      </w:r>
      <w:r w:rsidRPr="00F7521C">
        <w:rPr>
          <w:rFonts w:ascii="Times New Roman" w:hAnsi="Times New Roman"/>
          <w:sz w:val="28"/>
          <w:szCs w:val="28"/>
        </w:rPr>
        <w:t xml:space="preserve">муниципального округа Пермского края </w:t>
      </w:r>
      <w:r w:rsidRPr="00F7521C">
        <w:rPr>
          <w:rFonts w:ascii="Times New Roman" w:hAnsi="Times New Roman"/>
          <w:iCs/>
          <w:sz w:val="28"/>
          <w:szCs w:val="28"/>
        </w:rPr>
        <w:t xml:space="preserve">по реализации задач, возложенных  Бюджетным кодексом  Российской  Федерации,  Федеральным  законом от  07.02.2011  № 6 - 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Бардымского муниципального округа Пермского края, утвержденным решением Думы Бардымского муниципального округа  от 27.01.2021  № 98 «О создании Контрольно-счетной палаты Бардымского муниципального округа Пермского края и утверждения  Положения о Контрольно-счетной палате  Бардымского муниципального округа Пермского края». </w:t>
      </w:r>
    </w:p>
    <w:p w:rsidR="005F3135" w:rsidRDefault="005F3135" w:rsidP="00F7521C">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Организация работы Контрольно-счетной палаты Бардымского муниципального округа Пермского края строится на укреплении и развитии основополагающих принципов: законности, эффективности, независимости, объективности, открытости и гласности.</w:t>
      </w:r>
    </w:p>
    <w:p w:rsidR="00F7521C" w:rsidRPr="00F7521C" w:rsidRDefault="00F7521C" w:rsidP="00F7521C">
      <w:pPr>
        <w:shd w:val="clear" w:color="auto" w:fill="FFFFFF"/>
        <w:spacing w:after="0" w:line="240" w:lineRule="auto"/>
        <w:ind w:firstLine="680"/>
        <w:jc w:val="both"/>
        <w:rPr>
          <w:rFonts w:ascii="Times New Roman" w:hAnsi="Times New Roman"/>
          <w:iCs/>
          <w:sz w:val="28"/>
          <w:szCs w:val="28"/>
        </w:rPr>
      </w:pPr>
    </w:p>
    <w:p w:rsidR="005F3135" w:rsidRDefault="00F7521C" w:rsidP="00F7521C">
      <w:pPr>
        <w:shd w:val="clear" w:color="auto" w:fill="FFFFFF"/>
        <w:spacing w:after="0" w:line="240" w:lineRule="auto"/>
        <w:ind w:firstLine="680"/>
        <w:jc w:val="center"/>
        <w:rPr>
          <w:rFonts w:ascii="Times New Roman" w:hAnsi="Times New Roman"/>
          <w:b/>
          <w:iCs/>
          <w:sz w:val="28"/>
          <w:szCs w:val="28"/>
        </w:rPr>
      </w:pPr>
      <w:r>
        <w:rPr>
          <w:rFonts w:ascii="Times New Roman" w:hAnsi="Times New Roman"/>
          <w:b/>
          <w:iCs/>
          <w:sz w:val="28"/>
          <w:szCs w:val="28"/>
        </w:rPr>
        <w:t>1.Общие положения</w:t>
      </w:r>
    </w:p>
    <w:p w:rsidR="00F7521C" w:rsidRPr="00F7521C" w:rsidRDefault="00F7521C" w:rsidP="00F7521C">
      <w:pPr>
        <w:shd w:val="clear" w:color="auto" w:fill="FFFFFF"/>
        <w:spacing w:after="0" w:line="240" w:lineRule="auto"/>
        <w:ind w:firstLine="680"/>
        <w:jc w:val="center"/>
        <w:rPr>
          <w:rFonts w:ascii="Times New Roman" w:hAnsi="Times New Roman"/>
          <w:b/>
          <w:iCs/>
          <w:sz w:val="28"/>
          <w:szCs w:val="28"/>
        </w:rPr>
      </w:pPr>
    </w:p>
    <w:p w:rsidR="005F3135" w:rsidRPr="00F7521C" w:rsidRDefault="005F3135" w:rsidP="00F7521C">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 xml:space="preserve">В соответствии с предоставленными полномочиями Контрольно-счетная палата Бардымского муниципального округа Пермского края в 2021 году осуществляла контрольную, экспертно - аналитическую деятельность в соответствии с планами работы, утвержденными председателем Контрольно-счетной палаты Бардымского муниципального района от 25.12.2020 года, председателем Контрольно-счетной палаты Бардымского муниципального округа Пермского края от 11.05.2021 года. </w:t>
      </w:r>
    </w:p>
    <w:p w:rsidR="005F3135" w:rsidRPr="00F7521C" w:rsidRDefault="005F3135" w:rsidP="00F7521C">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При формировании плана работы учитывались предложения председателя Думы Бардымского муниципального округа, главы Бардымского муниципального округа – главы администрации Бардымского муниципального округа, предложения участников бюджетного процесса.</w:t>
      </w:r>
    </w:p>
    <w:p w:rsidR="005F3135" w:rsidRPr="00F7521C" w:rsidRDefault="005F3135" w:rsidP="00F7521C">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lastRenderedPageBreak/>
        <w:t>В отчетном году проведено 18 контрольных мероприятий, 6 экспертно-аналитических мероприятий, 13 внешних проверок бюджетной отчетности.</w:t>
      </w:r>
      <w:r w:rsidR="00B3696A">
        <w:rPr>
          <w:rFonts w:ascii="Times New Roman" w:hAnsi="Times New Roman"/>
          <w:iCs/>
          <w:sz w:val="28"/>
          <w:szCs w:val="28"/>
        </w:rPr>
        <w:t xml:space="preserve"> </w:t>
      </w:r>
      <w:r w:rsidRPr="00F7521C">
        <w:rPr>
          <w:rFonts w:ascii="Times New Roman" w:hAnsi="Times New Roman"/>
          <w:iCs/>
          <w:sz w:val="28"/>
          <w:szCs w:val="28"/>
        </w:rPr>
        <w:t>Контр</w:t>
      </w:r>
      <w:r w:rsidR="004B234F">
        <w:rPr>
          <w:rFonts w:ascii="Times New Roman" w:hAnsi="Times New Roman"/>
          <w:iCs/>
          <w:sz w:val="28"/>
          <w:szCs w:val="28"/>
        </w:rPr>
        <w:t>ольными мероприятиями охвачено 25</w:t>
      </w:r>
      <w:r w:rsidRPr="00F7521C">
        <w:rPr>
          <w:rFonts w:ascii="Times New Roman" w:hAnsi="Times New Roman"/>
          <w:iCs/>
          <w:sz w:val="28"/>
          <w:szCs w:val="28"/>
        </w:rPr>
        <w:t xml:space="preserve"> объектов, составлено 33 заключения, 18 актов. </w:t>
      </w:r>
    </w:p>
    <w:p w:rsidR="005F3135" w:rsidRDefault="005F3135" w:rsidP="00F7521C">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Согласно мониторинга деятельности контрольно-счетных органов муниципальных образований Пермского края за 2021 года по Пермскому краю среднее количество контрольных мероприятий составляет 6,4. Динамика контрольных мероприятий за 2018-2021 годы представлена на Диаграмме №1.</w:t>
      </w:r>
    </w:p>
    <w:p w:rsidR="004D056B" w:rsidRPr="00F7521C" w:rsidRDefault="004D056B" w:rsidP="00F7521C">
      <w:pPr>
        <w:shd w:val="clear" w:color="auto" w:fill="FFFFFF"/>
        <w:spacing w:after="0" w:line="240" w:lineRule="auto"/>
        <w:ind w:firstLine="680"/>
        <w:jc w:val="both"/>
        <w:rPr>
          <w:rFonts w:ascii="Times New Roman" w:hAnsi="Times New Roman"/>
          <w:iCs/>
          <w:sz w:val="28"/>
          <w:szCs w:val="28"/>
        </w:rPr>
      </w:pPr>
    </w:p>
    <w:p w:rsidR="005F3135" w:rsidRPr="00F7521C" w:rsidRDefault="005F3135" w:rsidP="00F7521C">
      <w:pPr>
        <w:shd w:val="clear" w:color="auto" w:fill="FFFFFF"/>
        <w:spacing w:after="0" w:line="240" w:lineRule="auto"/>
        <w:ind w:firstLine="680"/>
        <w:jc w:val="right"/>
        <w:rPr>
          <w:rFonts w:ascii="Times New Roman" w:hAnsi="Times New Roman"/>
          <w:iCs/>
          <w:sz w:val="28"/>
          <w:szCs w:val="28"/>
        </w:rPr>
      </w:pPr>
      <w:r w:rsidRPr="00F7521C">
        <w:rPr>
          <w:rFonts w:ascii="Times New Roman" w:hAnsi="Times New Roman"/>
          <w:iCs/>
          <w:sz w:val="28"/>
          <w:szCs w:val="28"/>
        </w:rPr>
        <w:t>Диаграмма №1</w:t>
      </w:r>
    </w:p>
    <w:p w:rsidR="005F3135" w:rsidRPr="00F7521C" w:rsidRDefault="005F3135" w:rsidP="00F7521C">
      <w:pPr>
        <w:shd w:val="clear" w:color="auto" w:fill="FFFFFF"/>
        <w:spacing w:after="0" w:line="240" w:lineRule="auto"/>
        <w:ind w:firstLine="680"/>
        <w:jc w:val="both"/>
        <w:rPr>
          <w:rFonts w:ascii="Times New Roman" w:hAnsi="Times New Roman"/>
          <w:iCs/>
          <w:sz w:val="28"/>
          <w:szCs w:val="28"/>
        </w:rPr>
      </w:pPr>
    </w:p>
    <w:p w:rsidR="00E12B03" w:rsidRDefault="005F3135" w:rsidP="00E12B03">
      <w:pPr>
        <w:shd w:val="clear" w:color="auto" w:fill="FFFFFF"/>
        <w:ind w:firstLine="680"/>
        <w:jc w:val="both"/>
        <w:rPr>
          <w:rFonts w:ascii="Times New Roman" w:hAnsi="Times New Roman"/>
          <w:iCs/>
          <w:sz w:val="28"/>
          <w:szCs w:val="28"/>
        </w:rPr>
      </w:pPr>
      <w:r w:rsidRPr="00F7521C">
        <w:rPr>
          <w:rFonts w:ascii="Times New Roman" w:hAnsi="Times New Roman"/>
          <w:noProof/>
          <w:sz w:val="28"/>
          <w:szCs w:val="28"/>
          <w:lang w:eastAsia="ru-RU"/>
        </w:rPr>
        <w:drawing>
          <wp:inline distT="0" distB="0" distL="0" distR="0">
            <wp:extent cx="5852160" cy="2384425"/>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F7521C">
        <w:rPr>
          <w:rFonts w:ascii="Times New Roman" w:hAnsi="Times New Roman"/>
          <w:iCs/>
          <w:sz w:val="28"/>
          <w:szCs w:val="28"/>
        </w:rPr>
        <w:t xml:space="preserve">По итогам контрольных мероприятий выявлены нарушения действующего законодательства, имеющих стоимостную оценку, на общую сумму 7 753,9 тыс. руб.  В динамике за 2018-2020 годы прослеживается уменьшение суммы выявленных нарушений и увеличение количества проведенных контрольных мероприятий, в 2021 году нарушения в стоимостном выражении увеличились, при уменьшении количества проведенных контрольных мероприятий (Диаграмма №2). </w:t>
      </w:r>
    </w:p>
    <w:p w:rsidR="005F3135" w:rsidRPr="00F7521C" w:rsidRDefault="005F3135" w:rsidP="00E12B03">
      <w:pPr>
        <w:shd w:val="clear" w:color="auto" w:fill="FFFFFF"/>
        <w:ind w:firstLine="680"/>
        <w:jc w:val="right"/>
        <w:rPr>
          <w:rFonts w:ascii="Times New Roman" w:hAnsi="Times New Roman"/>
          <w:iCs/>
          <w:sz w:val="28"/>
          <w:szCs w:val="28"/>
        </w:rPr>
      </w:pPr>
      <w:r w:rsidRPr="00F7521C">
        <w:rPr>
          <w:rFonts w:ascii="Times New Roman" w:hAnsi="Times New Roman"/>
          <w:iCs/>
          <w:sz w:val="28"/>
          <w:szCs w:val="28"/>
        </w:rPr>
        <w:t>Диаграмма №2</w:t>
      </w:r>
    </w:p>
    <w:p w:rsidR="0063516A" w:rsidRDefault="005F3135" w:rsidP="005F3135">
      <w:pPr>
        <w:shd w:val="clear" w:color="auto" w:fill="FFFFFF"/>
        <w:ind w:firstLine="284"/>
        <w:jc w:val="both"/>
        <w:rPr>
          <w:rFonts w:ascii="Times New Roman" w:hAnsi="Times New Roman"/>
          <w:sz w:val="28"/>
          <w:szCs w:val="28"/>
        </w:rPr>
      </w:pPr>
      <w:r w:rsidRPr="00F7521C">
        <w:rPr>
          <w:rFonts w:ascii="Times New Roman" w:hAnsi="Times New Roman"/>
          <w:noProof/>
          <w:sz w:val="28"/>
          <w:szCs w:val="28"/>
          <w:lang w:eastAsia="ru-RU"/>
        </w:rPr>
        <w:drawing>
          <wp:inline distT="0" distB="0" distL="0" distR="0">
            <wp:extent cx="6217920" cy="2231390"/>
            <wp:effectExtent l="0" t="0" r="0"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3135" w:rsidRPr="00F7521C" w:rsidRDefault="005F3135" w:rsidP="005F3135">
      <w:pPr>
        <w:shd w:val="clear" w:color="auto" w:fill="FFFFFF"/>
        <w:ind w:firstLine="284"/>
        <w:jc w:val="both"/>
        <w:rPr>
          <w:rFonts w:ascii="Times New Roman" w:hAnsi="Times New Roman"/>
          <w:iCs/>
          <w:sz w:val="28"/>
          <w:szCs w:val="28"/>
        </w:rPr>
      </w:pPr>
      <w:r w:rsidRPr="00F7521C">
        <w:rPr>
          <w:rFonts w:ascii="Times New Roman" w:hAnsi="Times New Roman"/>
          <w:iCs/>
          <w:sz w:val="28"/>
          <w:szCs w:val="28"/>
        </w:rPr>
        <w:lastRenderedPageBreak/>
        <w:t xml:space="preserve">Причинами снижения количества мероприятий в сравнении с 2020 годом являются объединительные процессы, проходящие в Бардымском муниципальном образований, сокращение на 1 штатную единицу численности КСП Бардымского муниципального округа Пермского края, а также рекомендации КСП Пермского края об обобщении проводимых мероприятий.  </w:t>
      </w:r>
    </w:p>
    <w:p w:rsidR="005F3135" w:rsidRPr="00F7521C" w:rsidRDefault="005F3135" w:rsidP="005F3135">
      <w:pPr>
        <w:shd w:val="clear" w:color="auto" w:fill="FFFFFF"/>
        <w:ind w:firstLine="284"/>
        <w:jc w:val="both"/>
        <w:rPr>
          <w:rFonts w:ascii="Times New Roman" w:hAnsi="Times New Roman"/>
          <w:iCs/>
          <w:sz w:val="28"/>
          <w:szCs w:val="28"/>
        </w:rPr>
      </w:pPr>
      <w:r w:rsidRPr="00F7521C">
        <w:rPr>
          <w:rFonts w:ascii="Times New Roman" w:hAnsi="Times New Roman"/>
          <w:iCs/>
          <w:sz w:val="28"/>
          <w:szCs w:val="28"/>
        </w:rPr>
        <w:t xml:space="preserve">Динамика структуры нарушений законодательства, установленных Контрольно-счетной палатой Бардымского муниципального округа Пермского края, приведена в Диаграмме №3. </w:t>
      </w:r>
    </w:p>
    <w:p w:rsidR="005F3135" w:rsidRPr="00F7521C" w:rsidRDefault="005F3135" w:rsidP="005F3135">
      <w:pPr>
        <w:shd w:val="clear" w:color="auto" w:fill="FFFFFF"/>
        <w:ind w:firstLine="680"/>
        <w:jc w:val="right"/>
        <w:rPr>
          <w:rFonts w:ascii="Times New Roman" w:hAnsi="Times New Roman"/>
          <w:iCs/>
          <w:sz w:val="28"/>
          <w:szCs w:val="28"/>
        </w:rPr>
      </w:pPr>
      <w:r w:rsidRPr="00F7521C">
        <w:rPr>
          <w:rFonts w:ascii="Times New Roman" w:hAnsi="Times New Roman"/>
          <w:iCs/>
          <w:sz w:val="28"/>
          <w:szCs w:val="28"/>
        </w:rPr>
        <w:t>Диаграмма №3</w:t>
      </w:r>
    </w:p>
    <w:p w:rsidR="005F3135" w:rsidRPr="00F7521C" w:rsidRDefault="004F3B08" w:rsidP="005F3135">
      <w:pPr>
        <w:shd w:val="clear" w:color="auto" w:fill="FFFFFF"/>
        <w:ind w:firstLine="426"/>
        <w:jc w:val="both"/>
        <w:rPr>
          <w:rFonts w:ascii="Times New Roman" w:hAnsi="Times New Roman"/>
          <w:sz w:val="28"/>
          <w:szCs w:val="28"/>
        </w:rPr>
      </w:pPr>
      <w:r w:rsidRPr="009B726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6pt;height:305.3pt">
            <v:imagedata r:id="rId10" o:title=""/>
            <o:lock v:ext="edit" aspectratio="f"/>
          </v:shape>
        </w:pict>
      </w:r>
    </w:p>
    <w:p w:rsidR="005F3135" w:rsidRPr="00F7521C" w:rsidRDefault="005F3135" w:rsidP="005F3135">
      <w:pPr>
        <w:shd w:val="clear" w:color="auto" w:fill="FFFFFF"/>
        <w:ind w:firstLine="680"/>
        <w:jc w:val="both"/>
        <w:rPr>
          <w:rFonts w:ascii="Times New Roman" w:hAnsi="Times New Roman"/>
          <w:sz w:val="28"/>
          <w:szCs w:val="28"/>
        </w:rPr>
      </w:pPr>
      <w:r w:rsidRPr="00F7521C">
        <w:rPr>
          <w:rFonts w:ascii="Times New Roman" w:hAnsi="Times New Roman"/>
          <w:iCs/>
          <w:sz w:val="28"/>
          <w:szCs w:val="28"/>
        </w:rPr>
        <w:t>В динамике на 2021 год прослеживается уменьшение неэффективного использования бюджетных средств, иных нарушений и снижение нецелевого использования бюджетных средств.</w:t>
      </w:r>
    </w:p>
    <w:p w:rsidR="005F3135" w:rsidRPr="00F7521C" w:rsidRDefault="005F3135" w:rsidP="005F3135">
      <w:pPr>
        <w:shd w:val="clear" w:color="auto" w:fill="FFFFFF"/>
        <w:ind w:firstLine="680"/>
        <w:jc w:val="both"/>
        <w:rPr>
          <w:rFonts w:ascii="Times New Roman" w:hAnsi="Times New Roman"/>
          <w:sz w:val="28"/>
          <w:szCs w:val="28"/>
        </w:rPr>
      </w:pPr>
      <w:r w:rsidRPr="00F7521C">
        <w:rPr>
          <w:rFonts w:ascii="Times New Roman" w:hAnsi="Times New Roman"/>
          <w:sz w:val="28"/>
          <w:szCs w:val="28"/>
        </w:rPr>
        <w:t>Наибольший удельный вес в структуре выявленных нарушений в 2021 году занимают нарушения при исполнении бюджетов – 60,1% (4661,5 тыс.руб.), нарушения при осуществлении государственных закупок составляют 39,4% (3053,5 тыс.руб.), иные нарушения составляют 0,5% (38,9 тыс.руб.).</w:t>
      </w:r>
    </w:p>
    <w:p w:rsidR="00E12B03" w:rsidRDefault="00E12B03" w:rsidP="005F3135">
      <w:pPr>
        <w:shd w:val="clear" w:color="auto" w:fill="FFFFFF"/>
        <w:ind w:firstLine="426"/>
        <w:jc w:val="right"/>
        <w:rPr>
          <w:rFonts w:ascii="Times New Roman" w:hAnsi="Times New Roman"/>
          <w:sz w:val="28"/>
          <w:szCs w:val="28"/>
        </w:rPr>
      </w:pPr>
    </w:p>
    <w:p w:rsidR="00E12B03" w:rsidRDefault="00E12B03" w:rsidP="005F3135">
      <w:pPr>
        <w:shd w:val="clear" w:color="auto" w:fill="FFFFFF"/>
        <w:ind w:firstLine="426"/>
        <w:jc w:val="right"/>
        <w:rPr>
          <w:rFonts w:ascii="Times New Roman" w:hAnsi="Times New Roman"/>
          <w:sz w:val="28"/>
          <w:szCs w:val="28"/>
        </w:rPr>
      </w:pPr>
    </w:p>
    <w:p w:rsidR="005F3135" w:rsidRPr="00F7521C" w:rsidRDefault="005F3135" w:rsidP="005F3135">
      <w:pPr>
        <w:shd w:val="clear" w:color="auto" w:fill="FFFFFF"/>
        <w:ind w:firstLine="426"/>
        <w:jc w:val="right"/>
        <w:rPr>
          <w:rFonts w:ascii="Times New Roman" w:hAnsi="Times New Roman"/>
          <w:sz w:val="28"/>
          <w:szCs w:val="28"/>
        </w:rPr>
      </w:pPr>
      <w:r w:rsidRPr="00F7521C">
        <w:rPr>
          <w:rFonts w:ascii="Times New Roman" w:hAnsi="Times New Roman"/>
          <w:sz w:val="28"/>
          <w:szCs w:val="28"/>
        </w:rPr>
        <w:lastRenderedPageBreak/>
        <w:t>Диаграмма №4</w:t>
      </w:r>
    </w:p>
    <w:p w:rsidR="005F3135" w:rsidRPr="00F7521C" w:rsidRDefault="005F3135" w:rsidP="005F3135">
      <w:pPr>
        <w:shd w:val="clear" w:color="auto" w:fill="FFFFFF"/>
        <w:ind w:firstLine="680"/>
        <w:jc w:val="both"/>
        <w:rPr>
          <w:rFonts w:ascii="Times New Roman" w:hAnsi="Times New Roman"/>
          <w:sz w:val="28"/>
          <w:szCs w:val="28"/>
        </w:rPr>
      </w:pPr>
      <w:r w:rsidRPr="00F7521C">
        <w:rPr>
          <w:rFonts w:ascii="Times New Roman" w:hAnsi="Times New Roman"/>
          <w:noProof/>
          <w:sz w:val="28"/>
          <w:szCs w:val="28"/>
          <w:lang w:eastAsia="ru-RU"/>
        </w:rPr>
        <w:drawing>
          <wp:inline distT="0" distB="0" distL="0" distR="0">
            <wp:extent cx="5896052" cy="210248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3135" w:rsidRPr="00F7521C" w:rsidRDefault="005F3135" w:rsidP="00E12B03">
      <w:pPr>
        <w:shd w:val="clear" w:color="auto" w:fill="FFFFFF"/>
        <w:spacing w:after="0"/>
        <w:ind w:firstLine="680"/>
        <w:jc w:val="both"/>
        <w:rPr>
          <w:rFonts w:ascii="Times New Roman" w:hAnsi="Times New Roman"/>
          <w:iCs/>
          <w:sz w:val="28"/>
          <w:szCs w:val="28"/>
        </w:rPr>
      </w:pPr>
      <w:r w:rsidRPr="00F7521C">
        <w:rPr>
          <w:rFonts w:ascii="Times New Roman" w:hAnsi="Times New Roman"/>
          <w:iCs/>
          <w:sz w:val="28"/>
          <w:szCs w:val="28"/>
        </w:rPr>
        <w:tab/>
        <w:t xml:space="preserve">По результатам всех проверок получена информация об устранении нарушений. </w:t>
      </w:r>
    </w:p>
    <w:p w:rsidR="005F3135" w:rsidRPr="00F7521C" w:rsidRDefault="005F3135" w:rsidP="00E12B03">
      <w:pPr>
        <w:shd w:val="clear" w:color="auto" w:fill="FFFFFF"/>
        <w:spacing w:after="0"/>
        <w:ind w:firstLine="680"/>
        <w:jc w:val="both"/>
        <w:rPr>
          <w:rFonts w:ascii="Times New Roman" w:hAnsi="Times New Roman"/>
          <w:iCs/>
          <w:sz w:val="28"/>
          <w:szCs w:val="28"/>
        </w:rPr>
      </w:pPr>
      <w:r w:rsidRPr="00F7521C">
        <w:rPr>
          <w:rFonts w:ascii="Times New Roman" w:hAnsi="Times New Roman"/>
          <w:iCs/>
          <w:sz w:val="28"/>
          <w:szCs w:val="28"/>
        </w:rPr>
        <w:t xml:space="preserve">Главе муниципального округа – главе Администрации Бардымского муниципального округа, главам сельских поселений направлены заключения по внешней проверке годовых отчетов и заключения по проектам бюджетов. </w:t>
      </w:r>
    </w:p>
    <w:p w:rsidR="005F3135" w:rsidRPr="00F7521C" w:rsidRDefault="005F3135" w:rsidP="00E12B03">
      <w:pPr>
        <w:shd w:val="clear" w:color="auto" w:fill="FFFFFF"/>
        <w:spacing w:after="0"/>
        <w:ind w:firstLine="680"/>
        <w:jc w:val="both"/>
        <w:rPr>
          <w:rFonts w:ascii="Times New Roman" w:hAnsi="Times New Roman"/>
          <w:iCs/>
          <w:sz w:val="28"/>
          <w:szCs w:val="28"/>
        </w:rPr>
      </w:pPr>
      <w:r w:rsidRPr="00F7521C">
        <w:rPr>
          <w:rFonts w:ascii="Times New Roman" w:hAnsi="Times New Roman"/>
          <w:iCs/>
          <w:sz w:val="28"/>
          <w:szCs w:val="28"/>
        </w:rPr>
        <w:t>Контрольно-счетной палатой Бардымского муниципального округа Пермского края в 2021 году всего проведено 37 контрольных и экспертно-аналитических мероприятий, что на 25 меньше по сравнению с 2020 годом (Диаграмма №5).</w:t>
      </w:r>
    </w:p>
    <w:p w:rsidR="0063516A" w:rsidRDefault="005F3135" w:rsidP="00E12B03">
      <w:pPr>
        <w:shd w:val="clear" w:color="auto" w:fill="FFFFFF"/>
        <w:ind w:firstLine="680"/>
        <w:jc w:val="both"/>
        <w:rPr>
          <w:rFonts w:ascii="Times New Roman" w:hAnsi="Times New Roman"/>
          <w:iCs/>
          <w:sz w:val="28"/>
          <w:szCs w:val="28"/>
        </w:rPr>
      </w:pPr>
      <w:r w:rsidRPr="00F7521C">
        <w:rPr>
          <w:rFonts w:ascii="Times New Roman" w:hAnsi="Times New Roman"/>
          <w:iCs/>
          <w:sz w:val="28"/>
          <w:szCs w:val="28"/>
        </w:rPr>
        <w:t xml:space="preserve">Из них 2 по поручению Думы Бардымского муниципального округа, 1 по запросу главы Бардымского муниципального округа, 2 по обращению органов прокуратуры и правоохранительных органов, 32 по инициативе КСП Бардымского муниципального округа Пермского края.            </w:t>
      </w:r>
    </w:p>
    <w:p w:rsidR="005F3135" w:rsidRPr="00F7521C" w:rsidRDefault="005F3135" w:rsidP="005F3135">
      <w:pPr>
        <w:shd w:val="clear" w:color="auto" w:fill="FFFFFF"/>
        <w:ind w:firstLine="680"/>
        <w:jc w:val="right"/>
        <w:rPr>
          <w:rFonts w:ascii="Times New Roman" w:hAnsi="Times New Roman"/>
          <w:sz w:val="28"/>
          <w:szCs w:val="28"/>
        </w:rPr>
      </w:pPr>
      <w:r w:rsidRPr="00F7521C">
        <w:rPr>
          <w:rFonts w:ascii="Times New Roman" w:hAnsi="Times New Roman"/>
          <w:sz w:val="28"/>
          <w:szCs w:val="28"/>
        </w:rPr>
        <w:t>Диаграмма №5</w:t>
      </w:r>
    </w:p>
    <w:p w:rsidR="005F3135" w:rsidRPr="00F7521C" w:rsidRDefault="005F3135" w:rsidP="005F3135">
      <w:pPr>
        <w:shd w:val="clear" w:color="auto" w:fill="FFFFFF"/>
        <w:ind w:firstLine="142"/>
        <w:jc w:val="both"/>
        <w:rPr>
          <w:rFonts w:ascii="Times New Roman" w:hAnsi="Times New Roman"/>
          <w:b/>
          <w:iCs/>
          <w:sz w:val="28"/>
          <w:szCs w:val="28"/>
        </w:rPr>
      </w:pPr>
      <w:r w:rsidRPr="00F7521C">
        <w:rPr>
          <w:rFonts w:ascii="Times New Roman" w:hAnsi="Times New Roman"/>
          <w:noProof/>
          <w:sz w:val="28"/>
          <w:szCs w:val="28"/>
          <w:lang w:eastAsia="ru-RU"/>
        </w:rPr>
        <w:drawing>
          <wp:inline distT="0" distB="0" distL="0" distR="0">
            <wp:extent cx="6583680" cy="3182112"/>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3135" w:rsidRPr="00F7521C" w:rsidRDefault="005F3135" w:rsidP="005F3135">
      <w:pPr>
        <w:shd w:val="clear" w:color="auto" w:fill="FFFFFF"/>
        <w:ind w:firstLine="680"/>
        <w:jc w:val="both"/>
        <w:rPr>
          <w:rFonts w:ascii="Times New Roman" w:hAnsi="Times New Roman"/>
          <w:sz w:val="28"/>
          <w:szCs w:val="28"/>
        </w:rPr>
      </w:pPr>
      <w:r w:rsidRPr="00F7521C">
        <w:rPr>
          <w:rFonts w:ascii="Times New Roman" w:hAnsi="Times New Roman"/>
          <w:sz w:val="28"/>
          <w:szCs w:val="28"/>
        </w:rPr>
        <w:lastRenderedPageBreak/>
        <w:t>Контрольно-счетной палатой Бардымского муниципального округа в 2021 году проведено 18 контрольных мероприятий. Среднее количество контрольных мероприятий по Контрольно-счетным органам Пермского края составляет 6,4 ед. на 1 КСО.</w:t>
      </w:r>
    </w:p>
    <w:p w:rsidR="005F3135" w:rsidRPr="00F7521C" w:rsidRDefault="005F3135" w:rsidP="005F3135">
      <w:pPr>
        <w:shd w:val="clear" w:color="auto" w:fill="FFFFFF"/>
        <w:ind w:firstLine="680"/>
        <w:jc w:val="both"/>
        <w:rPr>
          <w:rFonts w:ascii="Times New Roman" w:hAnsi="Times New Roman"/>
          <w:iCs/>
          <w:sz w:val="28"/>
          <w:szCs w:val="28"/>
        </w:rPr>
      </w:pPr>
      <w:r w:rsidRPr="00F7521C">
        <w:rPr>
          <w:rFonts w:ascii="Times New Roman" w:hAnsi="Times New Roman"/>
          <w:iCs/>
          <w:sz w:val="28"/>
          <w:szCs w:val="28"/>
        </w:rPr>
        <w:t>Согласно отчета КСП Пермского края за 2021 год среднее количество контрольных мероприятий на 1 сотрудника контрольно-счетных органов муниципальных образований Пермского края составляет – 2,3 ед.</w:t>
      </w:r>
      <w:r w:rsidRPr="00F7521C">
        <w:rPr>
          <w:rFonts w:ascii="Times New Roman" w:hAnsi="Times New Roman"/>
          <w:sz w:val="28"/>
          <w:szCs w:val="28"/>
        </w:rPr>
        <w:t xml:space="preserve"> К</w:t>
      </w:r>
      <w:r w:rsidRPr="00F7521C">
        <w:rPr>
          <w:rFonts w:ascii="Times New Roman" w:hAnsi="Times New Roman"/>
          <w:iCs/>
          <w:sz w:val="28"/>
          <w:szCs w:val="28"/>
        </w:rPr>
        <w:t>оличество контрольных мероприятий на одного сотрудника Контрольно-счетной палаты Бардымского муниципального округа – 6 ед. (18 проверок : 3 сотрудника = 6 ед.).</w:t>
      </w:r>
    </w:p>
    <w:p w:rsidR="005F3135" w:rsidRPr="00F7521C" w:rsidRDefault="005F3135" w:rsidP="005F3135">
      <w:pPr>
        <w:shd w:val="clear" w:color="auto" w:fill="FFFFFF"/>
        <w:ind w:firstLine="680"/>
        <w:jc w:val="both"/>
        <w:rPr>
          <w:rFonts w:ascii="Times New Roman" w:hAnsi="Times New Roman"/>
          <w:iCs/>
          <w:sz w:val="28"/>
          <w:szCs w:val="28"/>
        </w:rPr>
      </w:pPr>
      <w:r w:rsidRPr="00F7521C">
        <w:rPr>
          <w:rFonts w:ascii="Times New Roman" w:hAnsi="Times New Roman"/>
          <w:iCs/>
          <w:sz w:val="28"/>
          <w:szCs w:val="28"/>
        </w:rPr>
        <w:t>Количество проведенных экспертиз проектов муниципальных правовых актов КСП Бардымского МО: в 2019 году – 51 ед., в 2020 году – 47 ед., в 2021 году – 33 ед.</w:t>
      </w:r>
    </w:p>
    <w:p w:rsidR="005F3135" w:rsidRPr="00F7521C" w:rsidRDefault="00E12B03" w:rsidP="00E12B03">
      <w:pPr>
        <w:jc w:val="right"/>
        <w:rPr>
          <w:rFonts w:ascii="Times New Roman" w:hAnsi="Times New Roman"/>
          <w:sz w:val="28"/>
          <w:szCs w:val="28"/>
        </w:rPr>
      </w:pPr>
      <w:r>
        <w:rPr>
          <w:rFonts w:ascii="Times New Roman" w:hAnsi="Times New Roman"/>
          <w:sz w:val="28"/>
          <w:szCs w:val="28"/>
        </w:rPr>
        <w:t>Диаграмма №6</w:t>
      </w:r>
    </w:p>
    <w:p w:rsidR="005F3135" w:rsidRPr="00F7521C" w:rsidRDefault="005F3135" w:rsidP="005F3135">
      <w:pPr>
        <w:ind w:left="-426"/>
        <w:jc w:val="both"/>
        <w:rPr>
          <w:rFonts w:ascii="Times New Roman" w:hAnsi="Times New Roman"/>
          <w:sz w:val="28"/>
          <w:szCs w:val="28"/>
        </w:rPr>
      </w:pPr>
      <w:r w:rsidRPr="00F7521C">
        <w:rPr>
          <w:rFonts w:ascii="Times New Roman" w:hAnsi="Times New Roman"/>
          <w:noProof/>
          <w:sz w:val="28"/>
          <w:szCs w:val="28"/>
          <w:lang w:eastAsia="ru-RU"/>
        </w:rPr>
        <w:drawing>
          <wp:inline distT="0" distB="0" distL="0" distR="0">
            <wp:extent cx="7219950" cy="420052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3135" w:rsidRPr="00F7521C" w:rsidRDefault="005F3135" w:rsidP="005F3135">
      <w:pPr>
        <w:shd w:val="clear" w:color="auto" w:fill="FFFFFF"/>
        <w:ind w:firstLine="680"/>
        <w:jc w:val="center"/>
        <w:rPr>
          <w:rFonts w:ascii="Times New Roman" w:hAnsi="Times New Roman"/>
          <w:b/>
          <w:iCs/>
          <w:sz w:val="28"/>
          <w:szCs w:val="28"/>
        </w:rPr>
      </w:pPr>
      <w:r w:rsidRPr="00F7521C">
        <w:rPr>
          <w:rFonts w:ascii="Times New Roman" w:hAnsi="Times New Roman"/>
          <w:b/>
          <w:iCs/>
          <w:sz w:val="28"/>
          <w:szCs w:val="28"/>
        </w:rPr>
        <w:t>2. Контрольная деятельность</w:t>
      </w:r>
    </w:p>
    <w:p w:rsidR="005F3135" w:rsidRPr="00F7521C" w:rsidRDefault="005F3135" w:rsidP="005F3135">
      <w:pPr>
        <w:shd w:val="clear" w:color="auto" w:fill="FFFFFF"/>
        <w:ind w:firstLine="680"/>
        <w:jc w:val="both"/>
        <w:rPr>
          <w:rFonts w:ascii="Times New Roman" w:hAnsi="Times New Roman"/>
          <w:iCs/>
          <w:sz w:val="28"/>
          <w:szCs w:val="28"/>
        </w:rPr>
      </w:pPr>
      <w:r w:rsidRPr="00F7521C">
        <w:rPr>
          <w:rFonts w:ascii="Times New Roman" w:hAnsi="Times New Roman"/>
          <w:iCs/>
          <w:sz w:val="28"/>
          <w:szCs w:val="28"/>
        </w:rPr>
        <w:t>В 2021 году контрольные мероприятия проводились в органах местного самоуправления, учреждениях и предприятиях, получающих и использующих средства бюджета округа, а также использующих имущество, находящееся в муниципальной собственности.</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lastRenderedPageBreak/>
        <w:t>Основными направлениями контрольной деятельности в 2021 году являлись мероприятия, проводимые в рамках осуществления контроля:</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 за целевым и эффективным расходованием бюджетных средств, выделенных главным распорядителям и получателям бюджетных средств на выполнение возложенных на них полномочий;</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   за финансово-хозяйственной деятельностью предприятий.</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В отчетном году деятельность Контрольно-счетной палаты Бардымского муниципального округа Пермского края была направлена на повышение результативности и эффективности контрольной работы.</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Кроме того, в 2021 году в соответствии со ст.98 Федерального закона от 05.04.2013 № 44-ФЗ «О контрактной системе в сфере закупок товаров, работ, услуг для обеспечения государственных и муниципальных нужд», в рамках проведенных контрольных мероприятий рассматривался вопрос поаудиту эффективности закупок. Данный вопрос включался в программу проверки в учреждениях.</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При проведении аудита в сфере закупок проводится анализ и оценка результатов закупок, достижения целей осуществления закупок. Аудит в сфере закупок осуществляется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 xml:space="preserve">В рамках проведенных контрольных мероприятий во всех проверенных учреждениях проверено исполнение устранений нарушений по предыдущим актам проверок. Проверки показали, что во всех проверенных учреждениях нарушения устранены частично, требуются дополнительные меры по исправлению недостатков.  </w:t>
      </w:r>
    </w:p>
    <w:p w:rsidR="005F3135" w:rsidRPr="00F7521C" w:rsidRDefault="005F3135" w:rsidP="00B3696A">
      <w:pPr>
        <w:shd w:val="clear" w:color="auto" w:fill="FFFFFF"/>
        <w:spacing w:after="0" w:line="240" w:lineRule="auto"/>
        <w:ind w:firstLine="680"/>
        <w:jc w:val="both"/>
        <w:rPr>
          <w:rFonts w:ascii="Times New Roman" w:hAnsi="Times New Roman"/>
          <w:b/>
          <w:iCs/>
          <w:sz w:val="28"/>
          <w:szCs w:val="28"/>
        </w:rPr>
      </w:pPr>
      <w:r w:rsidRPr="00F7521C">
        <w:rPr>
          <w:rFonts w:ascii="Times New Roman" w:hAnsi="Times New Roman"/>
          <w:iCs/>
          <w:sz w:val="28"/>
          <w:szCs w:val="28"/>
        </w:rPr>
        <w:t>Выявленные Контрольно-счетной палатой Бардымского муниципального округа Пермского края нарушения и недостатки, допускавшиеся прирасходовании средств бюджета, последствия этих нарушений обобщены и систематизированы.</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Всего за отчетный период выявлено ряд групп нарушений и недостатков, допущенных органами местного самоуправления и организациями:</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b/>
          <w:iCs/>
          <w:sz w:val="28"/>
          <w:szCs w:val="28"/>
        </w:rPr>
        <w:t>1.Неэффективное использование бюджетных средств.</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Такие нарушения и недостатки влекут безрезультативные и избыточные расходы бюджета. В 2021 году установлены нарушения и недостатки данной группы на общую сумму 7,3 тыс.руб. Нарушения и недостатки данной группы отмечены по результатам 3 контрольных мероприятий на 9 объектах, целью которых являлась проверка расходования бюджетных средств.</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b/>
          <w:iCs/>
          <w:sz w:val="28"/>
          <w:szCs w:val="28"/>
        </w:rPr>
        <w:t>2.Несоблюдение установленных процедур и требований бюджетного законодательства при формировании и исполнении бюджетов.</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Всего за проверяемый период установлено 58 нарушений на сумму 4661,5 тыс.руб.</w:t>
      </w:r>
      <w:bookmarkStart w:id="0" w:name="_GoBack"/>
      <w:bookmarkEnd w:id="0"/>
    </w:p>
    <w:p w:rsidR="005F3135" w:rsidRPr="00F7521C" w:rsidRDefault="005F3135" w:rsidP="00B3696A">
      <w:pPr>
        <w:shd w:val="clear" w:color="auto" w:fill="FFFFFF"/>
        <w:spacing w:after="0" w:line="240" w:lineRule="auto"/>
        <w:ind w:firstLine="680"/>
        <w:jc w:val="both"/>
        <w:rPr>
          <w:rFonts w:ascii="Times New Roman" w:hAnsi="Times New Roman"/>
          <w:b/>
          <w:iCs/>
          <w:sz w:val="28"/>
          <w:szCs w:val="28"/>
        </w:rPr>
      </w:pPr>
      <w:r w:rsidRPr="00F7521C">
        <w:rPr>
          <w:rFonts w:ascii="Times New Roman" w:hAnsi="Times New Roman"/>
          <w:b/>
          <w:iCs/>
          <w:sz w:val="28"/>
          <w:szCs w:val="28"/>
        </w:rPr>
        <w:t>3.Нарушение законодательства Российской Федерации о контрактной системе в сфере закупок товаров, работ, услуг для обеспечения муниципальных нужд.</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Всего за проверяемый период установлено 8 нарушений на сумму 3053,5 тыс.руб.</w:t>
      </w:r>
    </w:p>
    <w:tbl>
      <w:tblPr>
        <w:tblW w:w="26126" w:type="dxa"/>
        <w:tblInd w:w="93" w:type="dxa"/>
        <w:tblLayout w:type="fixed"/>
        <w:tblLook w:val="04A0"/>
      </w:tblPr>
      <w:tblGrid>
        <w:gridCol w:w="824"/>
        <w:gridCol w:w="5711"/>
        <w:gridCol w:w="1843"/>
        <w:gridCol w:w="1846"/>
        <w:gridCol w:w="7810"/>
        <w:gridCol w:w="8092"/>
      </w:tblGrid>
      <w:tr w:rsidR="005F3135" w:rsidRPr="00F7521C" w:rsidTr="00E12B03">
        <w:trPr>
          <w:gridAfter w:val="2"/>
          <w:wAfter w:w="15902" w:type="dxa"/>
          <w:trHeight w:val="1311"/>
        </w:trPr>
        <w:tc>
          <w:tcPr>
            <w:tcW w:w="10224" w:type="dxa"/>
            <w:gridSpan w:val="4"/>
            <w:tcBorders>
              <w:top w:val="nil"/>
              <w:left w:val="nil"/>
              <w:bottom w:val="nil"/>
              <w:right w:val="nil"/>
            </w:tcBorders>
            <w:shd w:val="clear" w:color="auto" w:fill="auto"/>
            <w:vAlign w:val="center"/>
            <w:hideMark/>
          </w:tcPr>
          <w:p w:rsidR="005F3135" w:rsidRPr="00F7521C" w:rsidRDefault="005F3135" w:rsidP="00B3696A">
            <w:pPr>
              <w:spacing w:after="0" w:line="240" w:lineRule="auto"/>
              <w:jc w:val="center"/>
              <w:rPr>
                <w:rFonts w:ascii="Times New Roman" w:hAnsi="Times New Roman"/>
                <w:b/>
                <w:bCs/>
                <w:color w:val="000000"/>
                <w:sz w:val="28"/>
                <w:szCs w:val="28"/>
              </w:rPr>
            </w:pPr>
            <w:r w:rsidRPr="00F7521C">
              <w:rPr>
                <w:rFonts w:ascii="Times New Roman" w:hAnsi="Times New Roman"/>
                <w:b/>
                <w:bCs/>
                <w:color w:val="000000"/>
                <w:sz w:val="28"/>
                <w:szCs w:val="28"/>
              </w:rPr>
              <w:lastRenderedPageBreak/>
              <w:t xml:space="preserve">Анализ основных показателей деятельности  </w:t>
            </w:r>
            <w:r w:rsidRPr="00F7521C">
              <w:rPr>
                <w:rFonts w:ascii="Times New Roman" w:hAnsi="Times New Roman"/>
                <w:b/>
                <w:bCs/>
                <w:color w:val="000000"/>
                <w:sz w:val="28"/>
                <w:szCs w:val="28"/>
              </w:rPr>
              <w:br/>
              <w:t xml:space="preserve">      Контрольно-счетной  палаты  Бардымского муниципального округа Пермского края</w:t>
            </w:r>
          </w:p>
          <w:p w:rsidR="005F3135" w:rsidRPr="00F7521C" w:rsidRDefault="005F3135" w:rsidP="00B3696A">
            <w:pPr>
              <w:spacing w:after="0" w:line="240" w:lineRule="auto"/>
              <w:jc w:val="center"/>
              <w:rPr>
                <w:rFonts w:ascii="Times New Roman" w:hAnsi="Times New Roman"/>
                <w:b/>
                <w:bCs/>
                <w:color w:val="000000"/>
                <w:sz w:val="28"/>
                <w:szCs w:val="28"/>
              </w:rPr>
            </w:pPr>
            <w:r w:rsidRPr="00F7521C">
              <w:rPr>
                <w:rFonts w:ascii="Times New Roman" w:hAnsi="Times New Roman"/>
                <w:b/>
                <w:bCs/>
                <w:color w:val="000000"/>
                <w:sz w:val="28"/>
                <w:szCs w:val="28"/>
              </w:rPr>
              <w:t xml:space="preserve">за 2020-2021 годы                                                                         </w:t>
            </w:r>
          </w:p>
        </w:tc>
      </w:tr>
      <w:tr w:rsidR="005F3135" w:rsidRPr="00F7521C" w:rsidTr="00E12B03">
        <w:trPr>
          <w:gridAfter w:val="2"/>
          <w:wAfter w:w="15902" w:type="dxa"/>
          <w:trHeight w:val="300"/>
        </w:trPr>
        <w:tc>
          <w:tcPr>
            <w:tcW w:w="824" w:type="dxa"/>
            <w:tcBorders>
              <w:top w:val="nil"/>
              <w:left w:val="nil"/>
              <w:bottom w:val="nil"/>
              <w:right w:val="nil"/>
            </w:tcBorders>
            <w:shd w:val="clear" w:color="auto" w:fill="auto"/>
            <w:noWrap/>
            <w:vAlign w:val="bottom"/>
            <w:hideMark/>
          </w:tcPr>
          <w:p w:rsidR="005F3135" w:rsidRPr="00F7521C" w:rsidRDefault="005F3135" w:rsidP="00B3696A">
            <w:pPr>
              <w:spacing w:after="0" w:line="240" w:lineRule="auto"/>
              <w:rPr>
                <w:rFonts w:ascii="Times New Roman" w:hAnsi="Times New Roman"/>
                <w:color w:val="000000"/>
                <w:sz w:val="28"/>
                <w:szCs w:val="28"/>
              </w:rPr>
            </w:pPr>
          </w:p>
        </w:tc>
        <w:tc>
          <w:tcPr>
            <w:tcW w:w="5711" w:type="dxa"/>
            <w:tcBorders>
              <w:top w:val="nil"/>
              <w:left w:val="nil"/>
              <w:bottom w:val="nil"/>
              <w:right w:val="nil"/>
            </w:tcBorders>
            <w:shd w:val="clear" w:color="auto" w:fill="auto"/>
            <w:noWrap/>
            <w:vAlign w:val="bottom"/>
            <w:hideMark/>
          </w:tcPr>
          <w:p w:rsidR="005F3135" w:rsidRPr="00F7521C" w:rsidRDefault="005F3135" w:rsidP="00B3696A">
            <w:pPr>
              <w:spacing w:after="0" w:line="240" w:lineRule="auto"/>
              <w:rPr>
                <w:rFonts w:ascii="Times New Roman" w:hAnsi="Times New Roman"/>
                <w:color w:val="000000"/>
                <w:sz w:val="28"/>
                <w:szCs w:val="28"/>
              </w:rPr>
            </w:pPr>
          </w:p>
        </w:tc>
        <w:tc>
          <w:tcPr>
            <w:tcW w:w="1843" w:type="dxa"/>
            <w:tcBorders>
              <w:top w:val="nil"/>
              <w:left w:val="nil"/>
              <w:bottom w:val="nil"/>
              <w:right w:val="nil"/>
            </w:tcBorders>
            <w:shd w:val="clear" w:color="auto" w:fill="auto"/>
            <w:noWrap/>
            <w:vAlign w:val="bottom"/>
            <w:hideMark/>
          </w:tcPr>
          <w:p w:rsidR="005F3135" w:rsidRPr="00F7521C" w:rsidRDefault="005F3135" w:rsidP="00B3696A">
            <w:pPr>
              <w:spacing w:after="0" w:line="240" w:lineRule="auto"/>
              <w:rPr>
                <w:rFonts w:ascii="Times New Roman" w:hAnsi="Times New Roman"/>
                <w:color w:val="000000"/>
                <w:sz w:val="28"/>
                <w:szCs w:val="28"/>
              </w:rPr>
            </w:pPr>
          </w:p>
        </w:tc>
        <w:tc>
          <w:tcPr>
            <w:tcW w:w="1846" w:type="dxa"/>
            <w:tcBorders>
              <w:top w:val="nil"/>
              <w:left w:val="nil"/>
              <w:bottom w:val="nil"/>
              <w:right w:val="nil"/>
            </w:tcBorders>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b/>
                <w:bCs/>
                <w:color w:val="000000"/>
                <w:sz w:val="28"/>
                <w:szCs w:val="28"/>
              </w:rPr>
              <w:t>Таблица №1</w:t>
            </w:r>
          </w:p>
        </w:tc>
      </w:tr>
      <w:tr w:rsidR="005F3135" w:rsidRPr="00F7521C" w:rsidTr="00E12B03">
        <w:trPr>
          <w:gridAfter w:val="2"/>
          <w:wAfter w:w="15902" w:type="dxa"/>
          <w:trHeight w:val="886"/>
        </w:trPr>
        <w:tc>
          <w:tcPr>
            <w:tcW w:w="82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 п/п</w:t>
            </w:r>
          </w:p>
        </w:tc>
        <w:tc>
          <w:tcPr>
            <w:tcW w:w="5711" w:type="dxa"/>
            <w:tcBorders>
              <w:top w:val="single" w:sz="4" w:space="0" w:color="auto"/>
              <w:left w:val="nil"/>
              <w:bottom w:val="single" w:sz="4" w:space="0" w:color="000000"/>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Наименование показателя</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Значение показателя за 2020 год</w:t>
            </w:r>
          </w:p>
        </w:tc>
        <w:tc>
          <w:tcPr>
            <w:tcW w:w="1846" w:type="dxa"/>
            <w:tcBorders>
              <w:top w:val="single" w:sz="4" w:space="0" w:color="auto"/>
              <w:left w:val="single" w:sz="4" w:space="0" w:color="auto"/>
              <w:right w:val="single" w:sz="4" w:space="0" w:color="auto"/>
            </w:tcBorders>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Значение показателя за 2021 год</w:t>
            </w:r>
          </w:p>
        </w:tc>
      </w:tr>
      <w:tr w:rsidR="005F3135" w:rsidRPr="00F7521C" w:rsidTr="004B234F">
        <w:trPr>
          <w:gridAfter w:val="2"/>
          <w:wAfter w:w="15902" w:type="dxa"/>
          <w:trHeight w:val="56"/>
        </w:trPr>
        <w:tc>
          <w:tcPr>
            <w:tcW w:w="837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F3135" w:rsidRPr="00F7521C" w:rsidRDefault="005F3135" w:rsidP="00B3696A">
            <w:pPr>
              <w:spacing w:after="0" w:line="240" w:lineRule="auto"/>
              <w:rPr>
                <w:rFonts w:ascii="Times New Roman" w:hAnsi="Times New Roman"/>
                <w:b/>
                <w:bCs/>
                <w:i/>
                <w:iCs/>
                <w:color w:val="000000"/>
                <w:sz w:val="28"/>
                <w:szCs w:val="28"/>
              </w:rPr>
            </w:pPr>
            <w:r w:rsidRPr="00F7521C">
              <w:rPr>
                <w:rFonts w:ascii="Times New Roman" w:hAnsi="Times New Roman"/>
                <w:b/>
                <w:bCs/>
                <w:i/>
                <w:iCs/>
                <w:color w:val="000000"/>
                <w:sz w:val="28"/>
                <w:szCs w:val="28"/>
              </w:rPr>
              <w:t>Контрольная и экспертно-аналитическая деятельность</w:t>
            </w:r>
          </w:p>
        </w:tc>
        <w:tc>
          <w:tcPr>
            <w:tcW w:w="1846" w:type="dxa"/>
            <w:tcBorders>
              <w:top w:val="single" w:sz="4" w:space="0" w:color="auto"/>
              <w:left w:val="single" w:sz="4" w:space="0" w:color="auto"/>
              <w:bottom w:val="single" w:sz="4" w:space="0" w:color="auto"/>
              <w:right w:val="single" w:sz="4" w:space="0" w:color="000000"/>
            </w:tcBorders>
          </w:tcPr>
          <w:p w:rsidR="005F3135" w:rsidRPr="00F7521C" w:rsidRDefault="005F3135" w:rsidP="00B3696A">
            <w:pPr>
              <w:spacing w:after="0" w:line="240" w:lineRule="auto"/>
              <w:rPr>
                <w:rFonts w:ascii="Times New Roman" w:hAnsi="Times New Roman"/>
                <w:b/>
                <w:bCs/>
                <w:i/>
                <w:iCs/>
                <w:color w:val="000000"/>
                <w:sz w:val="28"/>
                <w:szCs w:val="28"/>
              </w:rPr>
            </w:pPr>
          </w:p>
        </w:tc>
      </w:tr>
      <w:tr w:rsidR="005F3135" w:rsidRPr="00F7521C" w:rsidTr="00E12B03">
        <w:trPr>
          <w:gridAfter w:val="2"/>
          <w:wAfter w:w="15902" w:type="dxa"/>
          <w:trHeight w:val="1627"/>
        </w:trPr>
        <w:tc>
          <w:tcPr>
            <w:tcW w:w="824" w:type="dxa"/>
            <w:tcBorders>
              <w:top w:val="nil"/>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w:t>
            </w:r>
          </w:p>
        </w:tc>
        <w:tc>
          <w:tcPr>
            <w:tcW w:w="5711" w:type="dxa"/>
            <w:tcBorders>
              <w:top w:val="nil"/>
              <w:left w:val="nil"/>
              <w:bottom w:val="nil"/>
              <w:right w:val="single" w:sz="4" w:space="0" w:color="auto"/>
            </w:tcBorders>
            <w:shd w:val="clear" w:color="auto" w:fill="auto"/>
            <w:vAlign w:val="bottom"/>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Проведено контрольных и экспертно-аналитических мероприятий всего, (за исключением экспертиз проектов муниципальных правовых актов (п.4) и материалов (п.2), из них:</w:t>
            </w:r>
          </w:p>
        </w:tc>
        <w:tc>
          <w:tcPr>
            <w:tcW w:w="1843" w:type="dxa"/>
            <w:tcBorders>
              <w:top w:val="nil"/>
              <w:left w:val="nil"/>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62</w:t>
            </w:r>
          </w:p>
        </w:tc>
        <w:tc>
          <w:tcPr>
            <w:tcW w:w="1846" w:type="dxa"/>
            <w:tcBorders>
              <w:top w:val="nil"/>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37</w:t>
            </w:r>
          </w:p>
        </w:tc>
      </w:tr>
      <w:tr w:rsidR="005F3135" w:rsidRPr="00F7521C" w:rsidTr="00E12B03">
        <w:trPr>
          <w:gridAfter w:val="2"/>
          <w:wAfter w:w="15902" w:type="dxa"/>
          <w:trHeight w:val="390"/>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1.1.</w:t>
            </w:r>
          </w:p>
        </w:tc>
        <w:tc>
          <w:tcPr>
            <w:tcW w:w="5711" w:type="dxa"/>
            <w:tcBorders>
              <w:top w:val="single" w:sz="4" w:space="0" w:color="auto"/>
              <w:left w:val="nil"/>
              <w:bottom w:val="single" w:sz="4" w:space="0" w:color="auto"/>
              <w:right w:val="single" w:sz="4" w:space="0" w:color="auto"/>
            </w:tcBorders>
            <w:shd w:val="clear" w:color="auto" w:fill="auto"/>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контрольных мероприятий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49</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18</w:t>
            </w:r>
          </w:p>
        </w:tc>
      </w:tr>
      <w:tr w:rsidR="005F3135" w:rsidRPr="00F7521C" w:rsidTr="00E12B03">
        <w:trPr>
          <w:gridAfter w:val="2"/>
          <w:wAfter w:w="15902" w:type="dxa"/>
          <w:trHeight w:val="405"/>
        </w:trPr>
        <w:tc>
          <w:tcPr>
            <w:tcW w:w="824" w:type="dxa"/>
            <w:tcBorders>
              <w:top w:val="nil"/>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1.2.</w:t>
            </w:r>
          </w:p>
        </w:tc>
        <w:tc>
          <w:tcPr>
            <w:tcW w:w="5711" w:type="dxa"/>
            <w:tcBorders>
              <w:top w:val="nil"/>
              <w:left w:val="nil"/>
              <w:bottom w:val="nil"/>
              <w:right w:val="single" w:sz="4" w:space="0" w:color="auto"/>
            </w:tcBorders>
            <w:shd w:val="clear" w:color="auto" w:fill="auto"/>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экспертно-аналитических мероприятий  </w:t>
            </w:r>
          </w:p>
        </w:tc>
        <w:tc>
          <w:tcPr>
            <w:tcW w:w="1843" w:type="dxa"/>
            <w:tcBorders>
              <w:top w:val="nil"/>
              <w:left w:val="nil"/>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6</w:t>
            </w:r>
          </w:p>
        </w:tc>
      </w:tr>
      <w:tr w:rsidR="005F3135" w:rsidRPr="00F7521C" w:rsidTr="00E12B03">
        <w:trPr>
          <w:gridAfter w:val="2"/>
          <w:wAfter w:w="15902" w:type="dxa"/>
          <w:trHeight w:val="405"/>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w:t>
            </w:r>
          </w:p>
        </w:tc>
        <w:tc>
          <w:tcPr>
            <w:tcW w:w="5711" w:type="dxa"/>
            <w:tcBorders>
              <w:top w:val="single" w:sz="4" w:space="0" w:color="auto"/>
              <w:left w:val="nil"/>
              <w:bottom w:val="single" w:sz="4" w:space="0" w:color="auto"/>
              <w:right w:val="single" w:sz="4" w:space="0" w:color="auto"/>
            </w:tcBorders>
            <w:shd w:val="clear" w:color="auto" w:fill="auto"/>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внешних проверок бюджетной отчетности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w:t>
            </w:r>
          </w:p>
        </w:tc>
      </w:tr>
      <w:tr w:rsidR="005F3135" w:rsidRPr="00F7521C" w:rsidTr="00E12B03">
        <w:trPr>
          <w:gridAfter w:val="2"/>
          <w:wAfter w:w="15902" w:type="dxa"/>
          <w:trHeight w:val="885"/>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Подготовлено аналитических материалов, информаций (включая информацию об исполнении бюджета за квартал, полугодие, 9 месяцев </w:t>
            </w:r>
          </w:p>
        </w:tc>
        <w:tc>
          <w:tcPr>
            <w:tcW w:w="1843" w:type="dxa"/>
            <w:tcBorders>
              <w:top w:val="nil"/>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5</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16</w:t>
            </w:r>
          </w:p>
        </w:tc>
      </w:tr>
      <w:tr w:rsidR="005F3135" w:rsidRPr="00F7521C" w:rsidTr="004B234F">
        <w:trPr>
          <w:gridAfter w:val="2"/>
          <w:wAfter w:w="15902" w:type="dxa"/>
          <w:trHeight w:val="144"/>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w:t>
            </w:r>
          </w:p>
        </w:tc>
        <w:tc>
          <w:tcPr>
            <w:tcW w:w="5711" w:type="dxa"/>
            <w:tcBorders>
              <w:top w:val="nil"/>
              <w:left w:val="nil"/>
              <w:bottom w:val="nil"/>
              <w:right w:val="nil"/>
            </w:tcBorders>
            <w:shd w:val="clear" w:color="auto" w:fill="auto"/>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 объектов  по проведенным контрольным и экспертно-аналитическим мероприятиям, из них</w:t>
            </w:r>
          </w:p>
        </w:tc>
        <w:tc>
          <w:tcPr>
            <w:tcW w:w="1843" w:type="dxa"/>
            <w:tcBorders>
              <w:top w:val="nil"/>
              <w:left w:val="single" w:sz="4" w:space="0" w:color="auto"/>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98</w:t>
            </w:r>
          </w:p>
        </w:tc>
        <w:tc>
          <w:tcPr>
            <w:tcW w:w="1846" w:type="dxa"/>
            <w:tcBorders>
              <w:top w:val="nil"/>
              <w:left w:val="single" w:sz="4" w:space="0" w:color="auto"/>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39</w:t>
            </w:r>
          </w:p>
        </w:tc>
      </w:tr>
      <w:tr w:rsidR="005F3135" w:rsidRPr="00F7521C" w:rsidTr="00E12B03">
        <w:trPr>
          <w:gridAfter w:val="2"/>
          <w:wAfter w:w="15902" w:type="dxa"/>
          <w:trHeight w:val="375"/>
        </w:trPr>
        <w:tc>
          <w:tcPr>
            <w:tcW w:w="824" w:type="dxa"/>
            <w:tcBorders>
              <w:top w:val="nil"/>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3.1.</w:t>
            </w:r>
          </w:p>
        </w:tc>
        <w:tc>
          <w:tcPr>
            <w:tcW w:w="5711" w:type="dxa"/>
            <w:tcBorders>
              <w:top w:val="single" w:sz="4" w:space="0" w:color="auto"/>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объектов контрольных мероприятий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51</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25</w:t>
            </w:r>
          </w:p>
        </w:tc>
      </w:tr>
      <w:tr w:rsidR="005F3135" w:rsidRPr="00F7521C" w:rsidTr="00E12B03">
        <w:trPr>
          <w:gridAfter w:val="2"/>
          <w:wAfter w:w="15902" w:type="dxa"/>
          <w:trHeight w:val="330"/>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3.2.</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объектов экспертно-аналитических мероприятий</w:t>
            </w:r>
          </w:p>
        </w:tc>
        <w:tc>
          <w:tcPr>
            <w:tcW w:w="1843" w:type="dxa"/>
            <w:tcBorders>
              <w:top w:val="nil"/>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34</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w:t>
            </w:r>
          </w:p>
        </w:tc>
      </w:tr>
      <w:tr w:rsidR="005F3135" w:rsidRPr="00F7521C" w:rsidTr="00E12B03">
        <w:trPr>
          <w:gridAfter w:val="2"/>
          <w:wAfter w:w="15902" w:type="dxa"/>
          <w:trHeight w:val="33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3.3.</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объектов внешних проверок бюджетной отчетности</w:t>
            </w:r>
          </w:p>
        </w:tc>
        <w:tc>
          <w:tcPr>
            <w:tcW w:w="1843" w:type="dxa"/>
            <w:tcBorders>
              <w:top w:val="nil"/>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w:t>
            </w:r>
          </w:p>
        </w:tc>
      </w:tr>
      <w:tr w:rsidR="005F3135" w:rsidRPr="00F7521C" w:rsidTr="00E12B03">
        <w:trPr>
          <w:gridAfter w:val="2"/>
          <w:wAfter w:w="15902" w:type="dxa"/>
          <w:trHeight w:val="570"/>
        </w:trPr>
        <w:tc>
          <w:tcPr>
            <w:tcW w:w="824" w:type="dxa"/>
            <w:tcBorders>
              <w:top w:val="nil"/>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Количество проведенных экспертиз проектов муниципальных правовых актов, из них </w:t>
            </w:r>
          </w:p>
        </w:tc>
        <w:tc>
          <w:tcPr>
            <w:tcW w:w="1843" w:type="dxa"/>
            <w:tcBorders>
              <w:top w:val="nil"/>
              <w:left w:val="nil"/>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47</w:t>
            </w:r>
          </w:p>
        </w:tc>
        <w:tc>
          <w:tcPr>
            <w:tcW w:w="1846" w:type="dxa"/>
            <w:tcBorders>
              <w:top w:val="nil"/>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33</w:t>
            </w:r>
          </w:p>
        </w:tc>
      </w:tr>
      <w:tr w:rsidR="005F3135" w:rsidRPr="00F7521C" w:rsidTr="00E12B03">
        <w:trPr>
          <w:gridAfter w:val="2"/>
          <w:wAfter w:w="15902" w:type="dxa"/>
          <w:trHeight w:val="285"/>
        </w:trPr>
        <w:tc>
          <w:tcPr>
            <w:tcW w:w="824" w:type="dxa"/>
            <w:tcBorders>
              <w:top w:val="single" w:sz="4" w:space="0" w:color="auto"/>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4.1.</w:t>
            </w:r>
          </w:p>
        </w:tc>
        <w:tc>
          <w:tcPr>
            <w:tcW w:w="5711" w:type="dxa"/>
            <w:tcBorders>
              <w:top w:val="nil"/>
              <w:left w:val="nil"/>
              <w:bottom w:val="nil"/>
              <w:right w:val="nil"/>
            </w:tcBorders>
            <w:shd w:val="clear" w:color="000000" w:fill="FFFFFF"/>
            <w:vAlign w:val="bottom"/>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проекты бюджетов на очередной финансовый год и плановый период</w:t>
            </w:r>
          </w:p>
        </w:tc>
        <w:tc>
          <w:tcPr>
            <w:tcW w:w="1843" w:type="dxa"/>
            <w:tcBorders>
              <w:top w:val="single" w:sz="4" w:space="0" w:color="auto"/>
              <w:left w:val="single" w:sz="4" w:space="0" w:color="auto"/>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w:t>
            </w:r>
          </w:p>
        </w:tc>
        <w:tc>
          <w:tcPr>
            <w:tcW w:w="1846" w:type="dxa"/>
            <w:tcBorders>
              <w:top w:val="single" w:sz="4" w:space="0" w:color="auto"/>
              <w:left w:val="single" w:sz="4" w:space="0" w:color="auto"/>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w:t>
            </w:r>
          </w:p>
        </w:tc>
      </w:tr>
      <w:tr w:rsidR="005F3135" w:rsidRPr="00F7521C" w:rsidTr="00E12B03">
        <w:trPr>
          <w:gridAfter w:val="2"/>
          <w:wAfter w:w="15902" w:type="dxa"/>
          <w:trHeight w:val="285"/>
        </w:trPr>
        <w:tc>
          <w:tcPr>
            <w:tcW w:w="824" w:type="dxa"/>
            <w:tcBorders>
              <w:top w:val="single" w:sz="4" w:space="0" w:color="auto"/>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4.2.</w:t>
            </w:r>
          </w:p>
        </w:tc>
        <w:tc>
          <w:tcPr>
            <w:tcW w:w="5711" w:type="dxa"/>
            <w:tcBorders>
              <w:top w:val="single" w:sz="4" w:space="0" w:color="auto"/>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отчеты об исполнении бюджета за год </w:t>
            </w:r>
          </w:p>
        </w:tc>
        <w:tc>
          <w:tcPr>
            <w:tcW w:w="1843" w:type="dxa"/>
            <w:tcBorders>
              <w:top w:val="single" w:sz="4" w:space="0" w:color="auto"/>
              <w:left w:val="nil"/>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w:t>
            </w:r>
          </w:p>
        </w:tc>
      </w:tr>
      <w:tr w:rsidR="005F3135" w:rsidRPr="00F7521C" w:rsidTr="00E12B03">
        <w:trPr>
          <w:gridAfter w:val="2"/>
          <w:wAfter w:w="15902" w:type="dxa"/>
          <w:trHeight w:val="345"/>
        </w:trPr>
        <w:tc>
          <w:tcPr>
            <w:tcW w:w="824" w:type="dxa"/>
            <w:tcBorders>
              <w:top w:val="single" w:sz="4" w:space="0" w:color="auto"/>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4.3.</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внесение изменений в решения о бюджете</w:t>
            </w:r>
          </w:p>
        </w:tc>
        <w:tc>
          <w:tcPr>
            <w:tcW w:w="1843" w:type="dxa"/>
            <w:tcBorders>
              <w:top w:val="single" w:sz="4" w:space="0" w:color="auto"/>
              <w:left w:val="nil"/>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27</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15</w:t>
            </w:r>
          </w:p>
        </w:tc>
      </w:tr>
      <w:tr w:rsidR="005F3135" w:rsidRPr="00F7521C" w:rsidTr="00E12B03">
        <w:trPr>
          <w:gridAfter w:val="2"/>
          <w:wAfter w:w="15902" w:type="dxa"/>
          <w:trHeight w:val="585"/>
        </w:trPr>
        <w:tc>
          <w:tcPr>
            <w:tcW w:w="824" w:type="dxa"/>
            <w:tcBorders>
              <w:top w:val="single" w:sz="4" w:space="0" w:color="auto"/>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4.4.</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утверждение муниципальных программ/внесение изменений в муниципальные программы</w:t>
            </w:r>
          </w:p>
        </w:tc>
        <w:tc>
          <w:tcPr>
            <w:tcW w:w="1843" w:type="dxa"/>
            <w:tcBorders>
              <w:top w:val="single" w:sz="4" w:space="0" w:color="auto"/>
              <w:left w:val="nil"/>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w:t>
            </w:r>
          </w:p>
        </w:tc>
      </w:tr>
      <w:tr w:rsidR="005F3135" w:rsidRPr="00F7521C" w:rsidTr="00E12B03">
        <w:trPr>
          <w:gridAfter w:val="2"/>
          <w:wAfter w:w="15902" w:type="dxa"/>
          <w:trHeight w:val="330"/>
        </w:trPr>
        <w:tc>
          <w:tcPr>
            <w:tcW w:w="824" w:type="dxa"/>
            <w:tcBorders>
              <w:top w:val="single" w:sz="4" w:space="0" w:color="auto"/>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4.5.</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иные проекты муниципальных правовых актов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w:t>
            </w:r>
          </w:p>
        </w:tc>
      </w:tr>
      <w:tr w:rsidR="005F3135" w:rsidRPr="00F7521C" w:rsidTr="00E12B03">
        <w:trPr>
          <w:gridAfter w:val="2"/>
          <w:wAfter w:w="15902" w:type="dxa"/>
          <w:trHeight w:val="948"/>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5.</w:t>
            </w:r>
          </w:p>
        </w:tc>
        <w:tc>
          <w:tcPr>
            <w:tcW w:w="5711" w:type="dxa"/>
            <w:tcBorders>
              <w:top w:val="nil"/>
              <w:left w:val="nil"/>
              <w:bottom w:val="nil"/>
              <w:right w:val="single" w:sz="4" w:space="0" w:color="auto"/>
            </w:tcBorders>
            <w:shd w:val="clear" w:color="auto" w:fill="auto"/>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Проведено контрольных и экспертно-аналитических мероприятий по поручениям, предложениям, запросам, обращениям, по </w:t>
            </w:r>
            <w:r w:rsidRPr="00F7521C">
              <w:rPr>
                <w:rFonts w:ascii="Times New Roman" w:hAnsi="Times New Roman"/>
                <w:color w:val="000000"/>
                <w:sz w:val="28"/>
                <w:szCs w:val="28"/>
              </w:rPr>
              <w:lastRenderedPageBreak/>
              <w:t xml:space="preserve">инициативе КСП, всего </w:t>
            </w:r>
            <w:r w:rsidRPr="00F7521C">
              <w:rPr>
                <w:rFonts w:ascii="Times New Roman" w:hAnsi="Times New Roman"/>
                <w:color w:val="000000"/>
                <w:sz w:val="28"/>
                <w:szCs w:val="28"/>
              </w:rPr>
              <w:br/>
              <w:t>из них на основании:</w:t>
            </w:r>
          </w:p>
        </w:tc>
        <w:tc>
          <w:tcPr>
            <w:tcW w:w="1843" w:type="dxa"/>
            <w:tcBorders>
              <w:top w:val="single" w:sz="4" w:space="0" w:color="auto"/>
              <w:left w:val="nil"/>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lastRenderedPageBreak/>
              <w:t>62</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37</w:t>
            </w:r>
          </w:p>
        </w:tc>
      </w:tr>
      <w:tr w:rsidR="005F3135" w:rsidRPr="00F7521C" w:rsidTr="00E12B03">
        <w:trPr>
          <w:gridAfter w:val="2"/>
          <w:wAfter w:w="15902" w:type="dxa"/>
          <w:trHeight w:val="36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lastRenderedPageBreak/>
              <w:t>5.1.</w:t>
            </w:r>
          </w:p>
        </w:tc>
        <w:tc>
          <w:tcPr>
            <w:tcW w:w="5711" w:type="dxa"/>
            <w:tcBorders>
              <w:top w:val="single" w:sz="4" w:space="0" w:color="auto"/>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поручений представительного органа местного самоуправления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5.2.</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предложений и запросов глав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w:t>
            </w:r>
          </w:p>
        </w:tc>
      </w:tr>
      <w:tr w:rsidR="005F3135" w:rsidRPr="00F7521C" w:rsidTr="00E12B03">
        <w:trPr>
          <w:gridAfter w:val="2"/>
          <w:wAfter w:w="15902" w:type="dxa"/>
          <w:trHeight w:val="615"/>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5.3.</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обращений органов прокуратуры и иных правоохранительных органов </w:t>
            </w:r>
          </w:p>
        </w:tc>
        <w:tc>
          <w:tcPr>
            <w:tcW w:w="1843" w:type="dxa"/>
            <w:tcBorders>
              <w:top w:val="nil"/>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24</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5.4.</w:t>
            </w:r>
          </w:p>
        </w:tc>
        <w:tc>
          <w:tcPr>
            <w:tcW w:w="5711" w:type="dxa"/>
            <w:tcBorders>
              <w:top w:val="nil"/>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обращений граждан</w:t>
            </w:r>
          </w:p>
        </w:tc>
        <w:tc>
          <w:tcPr>
            <w:tcW w:w="1843" w:type="dxa"/>
            <w:tcBorders>
              <w:top w:val="nil"/>
              <w:left w:val="nil"/>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5.5.</w:t>
            </w:r>
          </w:p>
        </w:tc>
        <w:tc>
          <w:tcPr>
            <w:tcW w:w="5711" w:type="dxa"/>
            <w:tcBorders>
              <w:top w:val="single" w:sz="4" w:space="0" w:color="auto"/>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обращений общественных организаций</w:t>
            </w:r>
          </w:p>
        </w:tc>
        <w:tc>
          <w:tcPr>
            <w:tcW w:w="1843" w:type="dxa"/>
            <w:tcBorders>
              <w:top w:val="single" w:sz="4" w:space="0" w:color="auto"/>
              <w:left w:val="nil"/>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5.6.</w:t>
            </w:r>
          </w:p>
        </w:tc>
        <w:tc>
          <w:tcPr>
            <w:tcW w:w="5711" w:type="dxa"/>
            <w:tcBorders>
              <w:top w:val="single" w:sz="4" w:space="0" w:color="auto"/>
              <w:left w:val="nil"/>
              <w:bottom w:val="single" w:sz="4" w:space="0" w:color="auto"/>
              <w:right w:val="single" w:sz="4" w:space="0" w:color="auto"/>
            </w:tcBorders>
            <w:shd w:val="clear" w:color="000000" w:fill="FFFFFF"/>
            <w:vAlign w:val="center"/>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по инициативе КСП</w:t>
            </w:r>
          </w:p>
        </w:tc>
        <w:tc>
          <w:tcPr>
            <w:tcW w:w="1843" w:type="dxa"/>
            <w:tcBorders>
              <w:top w:val="single" w:sz="4" w:space="0" w:color="auto"/>
              <w:left w:val="nil"/>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34</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32</w:t>
            </w:r>
          </w:p>
        </w:tc>
      </w:tr>
      <w:tr w:rsidR="005F3135" w:rsidRPr="00F7521C" w:rsidTr="00E12B03">
        <w:trPr>
          <w:gridAfter w:val="2"/>
          <w:wAfter w:w="15902"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6.</w:t>
            </w:r>
          </w:p>
        </w:tc>
        <w:tc>
          <w:tcPr>
            <w:tcW w:w="5711" w:type="dxa"/>
            <w:tcBorders>
              <w:top w:val="nil"/>
              <w:left w:val="nil"/>
              <w:bottom w:val="single" w:sz="4" w:space="0" w:color="auto"/>
              <w:right w:val="single" w:sz="4" w:space="0" w:color="auto"/>
            </w:tcBorders>
            <w:shd w:val="clear" w:color="000000" w:fill="FFFFFF"/>
            <w:vAlign w:val="center"/>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Объем проверенных средств по контрольным мероприятиям, тыс. рублей</w:t>
            </w:r>
          </w:p>
        </w:tc>
        <w:tc>
          <w:tcPr>
            <w:tcW w:w="1843" w:type="dxa"/>
            <w:tcBorders>
              <w:top w:val="single" w:sz="4" w:space="0" w:color="auto"/>
              <w:left w:val="nil"/>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1 125 437,0</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181 661,90</w:t>
            </w:r>
          </w:p>
        </w:tc>
      </w:tr>
      <w:tr w:rsidR="005F3135" w:rsidRPr="00F7521C" w:rsidTr="00E12B03">
        <w:trPr>
          <w:gridAfter w:val="2"/>
          <w:wAfter w:w="15902" w:type="dxa"/>
          <w:trHeight w:val="517"/>
        </w:trPr>
        <w:tc>
          <w:tcPr>
            <w:tcW w:w="824" w:type="dxa"/>
            <w:vMerge w:val="restart"/>
            <w:tcBorders>
              <w:top w:val="nil"/>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7.</w:t>
            </w:r>
          </w:p>
        </w:tc>
        <w:tc>
          <w:tcPr>
            <w:tcW w:w="5711" w:type="dxa"/>
            <w:tcBorders>
              <w:top w:val="nil"/>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Всего выявлено нарушений в ходе осуществления внешнего муниципального финансового контроля:</w:t>
            </w:r>
            <w:r w:rsidRPr="00F7521C">
              <w:rPr>
                <w:rFonts w:ascii="Times New Roman" w:hAnsi="Times New Roman"/>
                <w:color w:val="000000"/>
                <w:sz w:val="28"/>
                <w:szCs w:val="28"/>
              </w:rPr>
              <w:br/>
              <w:t xml:space="preserve">тыс. рублей                                                                               </w:t>
            </w:r>
          </w:p>
        </w:tc>
        <w:tc>
          <w:tcPr>
            <w:tcW w:w="1843" w:type="dxa"/>
            <w:tcBorders>
              <w:top w:val="single" w:sz="4" w:space="0" w:color="auto"/>
              <w:left w:val="nil"/>
              <w:bottom w:val="nil"/>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2 862,1</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7 746,6</w:t>
            </w:r>
          </w:p>
        </w:tc>
      </w:tr>
      <w:tr w:rsidR="005F3135" w:rsidRPr="00F7521C" w:rsidTr="00E12B03">
        <w:trPr>
          <w:gridAfter w:val="2"/>
          <w:wAfter w:w="15902" w:type="dxa"/>
          <w:trHeight w:val="102"/>
        </w:trPr>
        <w:tc>
          <w:tcPr>
            <w:tcW w:w="824" w:type="dxa"/>
            <w:vMerge/>
            <w:tcBorders>
              <w:top w:val="nil"/>
              <w:left w:val="single" w:sz="4" w:space="0" w:color="auto"/>
              <w:bottom w:val="nil"/>
              <w:right w:val="single" w:sz="4" w:space="0" w:color="auto"/>
            </w:tcBorders>
            <w:vAlign w:val="center"/>
            <w:hideMark/>
          </w:tcPr>
          <w:p w:rsidR="005F3135" w:rsidRPr="00F7521C" w:rsidRDefault="005F3135" w:rsidP="00B3696A">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174</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58</w:t>
            </w:r>
          </w:p>
        </w:tc>
      </w:tr>
      <w:tr w:rsidR="005F3135" w:rsidRPr="00F7521C" w:rsidTr="004B234F">
        <w:trPr>
          <w:gridAfter w:val="2"/>
          <w:wAfter w:w="15902" w:type="dxa"/>
          <w:trHeight w:val="428"/>
        </w:trPr>
        <w:tc>
          <w:tcPr>
            <w:tcW w:w="824" w:type="dxa"/>
            <w:tcBorders>
              <w:top w:val="single" w:sz="4" w:space="0" w:color="auto"/>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7.1.</w:t>
            </w:r>
          </w:p>
        </w:tc>
        <w:tc>
          <w:tcPr>
            <w:tcW w:w="5711" w:type="dxa"/>
            <w:tcBorders>
              <w:top w:val="nil"/>
              <w:left w:val="nil"/>
              <w:bottom w:val="nil"/>
              <w:right w:val="single" w:sz="4" w:space="0" w:color="auto"/>
            </w:tcBorders>
            <w:shd w:val="clear" w:color="000000" w:fill="FFFFFF"/>
            <w:vAlign w:val="bottom"/>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нарушения при исполнении бюджетов (бюджетные ассигнования не соответствуют финансовому обеспечению в Паспорте программы): </w:t>
            </w:r>
            <w:r w:rsidRPr="00F7521C">
              <w:rPr>
                <w:rFonts w:ascii="Times New Roman" w:hAnsi="Times New Roman"/>
                <w:color w:val="000000"/>
                <w:sz w:val="28"/>
                <w:szCs w:val="28"/>
              </w:rPr>
              <w:br/>
              <w:t>тыс. рублей</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15,8</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4661,50</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auto" w:fill="auto"/>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 </w:t>
            </w:r>
          </w:p>
        </w:tc>
        <w:tc>
          <w:tcPr>
            <w:tcW w:w="5711" w:type="dxa"/>
            <w:tcBorders>
              <w:top w:val="single" w:sz="4" w:space="0" w:color="auto"/>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w:t>
            </w:r>
          </w:p>
        </w:tc>
        <w:tc>
          <w:tcPr>
            <w:tcW w:w="1843" w:type="dxa"/>
            <w:tcBorders>
              <w:top w:val="nil"/>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w:t>
            </w:r>
          </w:p>
        </w:tc>
      </w:tr>
      <w:tr w:rsidR="005F3135" w:rsidRPr="00F7521C" w:rsidTr="00E12B03">
        <w:trPr>
          <w:gridAfter w:val="2"/>
          <w:wAfter w:w="15902" w:type="dxa"/>
          <w:trHeight w:val="945"/>
        </w:trPr>
        <w:tc>
          <w:tcPr>
            <w:tcW w:w="824" w:type="dxa"/>
            <w:tcBorders>
              <w:top w:val="nil"/>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7.2.</w:t>
            </w:r>
          </w:p>
        </w:tc>
        <w:tc>
          <w:tcPr>
            <w:tcW w:w="5711" w:type="dxa"/>
            <w:tcBorders>
              <w:top w:val="nil"/>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нарушения ведения бухгалтерского учета, составления и представления бухгалтерской (финансовой) отчетности:</w:t>
            </w:r>
            <w:r w:rsidRPr="00F7521C">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385,2</w:t>
            </w:r>
          </w:p>
        </w:tc>
        <w:tc>
          <w:tcPr>
            <w:tcW w:w="1846" w:type="dxa"/>
            <w:tcBorders>
              <w:top w:val="nil"/>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 </w:t>
            </w:r>
          </w:p>
        </w:tc>
        <w:tc>
          <w:tcPr>
            <w:tcW w:w="5711" w:type="dxa"/>
            <w:tcBorders>
              <w:top w:val="single" w:sz="4" w:space="0" w:color="auto"/>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74</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12</w:t>
            </w:r>
          </w:p>
        </w:tc>
      </w:tr>
      <w:tr w:rsidR="005F3135" w:rsidRPr="00F7521C" w:rsidTr="00E12B03">
        <w:trPr>
          <w:gridAfter w:val="2"/>
          <w:wAfter w:w="15902" w:type="dxa"/>
          <w:trHeight w:val="531"/>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7.3.</w:t>
            </w:r>
          </w:p>
        </w:tc>
        <w:tc>
          <w:tcPr>
            <w:tcW w:w="5711" w:type="dxa"/>
            <w:tcBorders>
              <w:top w:val="nil"/>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нарушения в сфере управления и распоряжения государственной (муниципальной) собственностью:</w:t>
            </w:r>
            <w:r w:rsidRPr="00F7521C">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45"/>
        </w:trPr>
        <w:tc>
          <w:tcPr>
            <w:tcW w:w="824" w:type="dxa"/>
            <w:vMerge/>
            <w:tcBorders>
              <w:top w:val="nil"/>
              <w:left w:val="single" w:sz="4" w:space="0" w:color="auto"/>
              <w:bottom w:val="single" w:sz="4" w:space="0" w:color="000000"/>
              <w:right w:val="single" w:sz="4" w:space="0" w:color="auto"/>
            </w:tcBorders>
            <w:vAlign w:val="center"/>
            <w:hideMark/>
          </w:tcPr>
          <w:p w:rsidR="005F3135" w:rsidRPr="00F7521C" w:rsidRDefault="005F3135" w:rsidP="00B3696A">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w:t>
            </w:r>
          </w:p>
        </w:tc>
      </w:tr>
      <w:tr w:rsidR="005F3135" w:rsidRPr="00F7521C" w:rsidTr="00E12B03">
        <w:trPr>
          <w:gridAfter w:val="2"/>
          <w:wAfter w:w="15902" w:type="dxa"/>
          <w:trHeight w:val="900"/>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7.4.</w:t>
            </w:r>
          </w:p>
        </w:tc>
        <w:tc>
          <w:tcPr>
            <w:tcW w:w="5711" w:type="dxa"/>
            <w:tcBorders>
              <w:top w:val="nil"/>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нарушения при осуществлении государственных (муниципальных) закупок и закупок отдельными видами юридических лиц </w:t>
            </w:r>
          </w:p>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(нарушение ч.19 ст.4 ФЗ №223-ФЗ (несвоевременное размещение ежемесячного отчета по закупкам), нарушение ч.2 ст.34 ФЗ №44-ФЗ (не указано, что цена контракта является твердой и определяется на весь срок </w:t>
            </w:r>
            <w:r w:rsidRPr="00F7521C">
              <w:rPr>
                <w:rFonts w:ascii="Times New Roman" w:hAnsi="Times New Roman"/>
                <w:color w:val="000000"/>
                <w:sz w:val="28"/>
                <w:szCs w:val="28"/>
              </w:rPr>
              <w:lastRenderedPageBreak/>
              <w:t>исполнения),нарушение ч.1 статьи 22 ФЗ №44-ФЗ(завышена цена поставки товаров)</w:t>
            </w:r>
            <w:r w:rsidRPr="00F7521C">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lastRenderedPageBreak/>
              <w:t>1 999,0</w:t>
            </w:r>
          </w:p>
        </w:tc>
        <w:tc>
          <w:tcPr>
            <w:tcW w:w="1846" w:type="dxa"/>
            <w:tcBorders>
              <w:top w:val="nil"/>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3053,50</w:t>
            </w:r>
          </w:p>
        </w:tc>
      </w:tr>
      <w:tr w:rsidR="005F3135" w:rsidRPr="00F7521C" w:rsidTr="00E12B03">
        <w:trPr>
          <w:gridAfter w:val="2"/>
          <w:wAfter w:w="15902"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5F3135" w:rsidRPr="00F7521C" w:rsidRDefault="005F3135" w:rsidP="00B3696A">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8</w:t>
            </w:r>
          </w:p>
        </w:tc>
      </w:tr>
      <w:tr w:rsidR="005F3135" w:rsidRPr="00F7521C" w:rsidTr="00E12B03">
        <w:trPr>
          <w:gridAfter w:val="2"/>
          <w:wAfter w:w="15902" w:type="dxa"/>
          <w:trHeight w:val="131"/>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7.5.</w:t>
            </w:r>
          </w:p>
        </w:tc>
        <w:tc>
          <w:tcPr>
            <w:tcW w:w="5711" w:type="dxa"/>
            <w:tcBorders>
              <w:top w:val="nil"/>
              <w:left w:val="nil"/>
              <w:bottom w:val="single" w:sz="4" w:space="0" w:color="auto"/>
              <w:right w:val="single" w:sz="4" w:space="0" w:color="auto"/>
            </w:tcBorders>
            <w:shd w:val="clear" w:color="auto" w:fill="auto"/>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нарушения в сфере деятельности организаций с участием муниципального образования в их уставных (складочных) капиталах и иных организаций, в т.ч. при использовании ими имущества, находящегося в муниципальной собственности:</w:t>
            </w:r>
            <w:r w:rsidRPr="00F7521C">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5F3135" w:rsidRPr="00F7521C" w:rsidRDefault="005F3135" w:rsidP="00B3696A">
            <w:pPr>
              <w:spacing w:after="0" w:line="240" w:lineRule="auto"/>
              <w:rPr>
                <w:rFonts w:ascii="Times New Roman" w:hAnsi="Times New Roman"/>
                <w:color w:val="000000"/>
                <w:sz w:val="28"/>
                <w:szCs w:val="28"/>
              </w:rPr>
            </w:pP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w:t>
            </w:r>
          </w:p>
        </w:tc>
        <w:tc>
          <w:tcPr>
            <w:tcW w:w="1843" w:type="dxa"/>
            <w:tcBorders>
              <w:top w:val="single" w:sz="4" w:space="0" w:color="auto"/>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600"/>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7.6.</w:t>
            </w:r>
          </w:p>
        </w:tc>
        <w:tc>
          <w:tcPr>
            <w:tcW w:w="5711" w:type="dxa"/>
            <w:tcBorders>
              <w:top w:val="nil"/>
              <w:left w:val="nil"/>
              <w:bottom w:val="nil"/>
              <w:right w:val="single" w:sz="4" w:space="0" w:color="auto"/>
            </w:tcBorders>
            <w:shd w:val="clear" w:color="000000" w:fill="FFFFFF"/>
            <w:vAlign w:val="bottom"/>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иные нарушения(указать нарушенные НПА):</w:t>
            </w:r>
            <w:r w:rsidRPr="00F7521C">
              <w:rPr>
                <w:rFonts w:ascii="Times New Roman" w:hAnsi="Times New Roman"/>
                <w:color w:val="000000"/>
                <w:sz w:val="28"/>
                <w:szCs w:val="28"/>
              </w:rPr>
              <w:br/>
              <w:t xml:space="preserve">тыс. рублей </w:t>
            </w:r>
          </w:p>
        </w:tc>
        <w:tc>
          <w:tcPr>
            <w:tcW w:w="1843" w:type="dxa"/>
            <w:tcBorders>
              <w:top w:val="single" w:sz="4" w:space="0" w:color="auto"/>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462,1</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31,6</w:t>
            </w:r>
          </w:p>
        </w:tc>
      </w:tr>
      <w:tr w:rsidR="005F3135" w:rsidRPr="00F7521C" w:rsidTr="00E12B03">
        <w:trPr>
          <w:gridAfter w:val="2"/>
          <w:wAfter w:w="15902"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5F3135" w:rsidRPr="00F7521C" w:rsidRDefault="005F3135" w:rsidP="00B3696A">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85</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33</w:t>
            </w:r>
          </w:p>
        </w:tc>
      </w:tr>
      <w:tr w:rsidR="005F3135" w:rsidRPr="00F7521C" w:rsidTr="00E12B03">
        <w:trPr>
          <w:gridAfter w:val="2"/>
          <w:wAfter w:w="15902" w:type="dxa"/>
          <w:trHeight w:val="900"/>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8.</w:t>
            </w:r>
          </w:p>
        </w:tc>
        <w:tc>
          <w:tcPr>
            <w:tcW w:w="5711" w:type="dxa"/>
            <w:tcBorders>
              <w:top w:val="nil"/>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Из общего объема выявленных нарушений (п.7) нецелевое использование бюджетных средств:</w:t>
            </w:r>
            <w:r w:rsidRPr="00F7521C">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9,8</w:t>
            </w:r>
          </w:p>
        </w:tc>
        <w:tc>
          <w:tcPr>
            <w:tcW w:w="1846" w:type="dxa"/>
            <w:tcBorders>
              <w:top w:val="nil"/>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5F3135" w:rsidRPr="00F7521C" w:rsidRDefault="005F3135" w:rsidP="00B3696A">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630"/>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9.</w:t>
            </w:r>
          </w:p>
        </w:tc>
        <w:tc>
          <w:tcPr>
            <w:tcW w:w="5711" w:type="dxa"/>
            <w:tcBorders>
              <w:top w:val="nil"/>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Выявлено неэффективное использование бюджетных средств: </w:t>
            </w:r>
            <w:r w:rsidRPr="00F7521C">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407,1</w:t>
            </w:r>
          </w:p>
        </w:tc>
        <w:tc>
          <w:tcPr>
            <w:tcW w:w="1846" w:type="dxa"/>
            <w:tcBorders>
              <w:top w:val="nil"/>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7,3</w:t>
            </w:r>
          </w:p>
        </w:tc>
      </w:tr>
      <w:tr w:rsidR="005F3135" w:rsidRPr="00F7521C" w:rsidTr="00E12B03">
        <w:trPr>
          <w:gridAfter w:val="2"/>
          <w:wAfter w:w="15902" w:type="dxa"/>
          <w:trHeight w:val="330"/>
        </w:trPr>
        <w:tc>
          <w:tcPr>
            <w:tcW w:w="824" w:type="dxa"/>
            <w:vMerge/>
            <w:tcBorders>
              <w:top w:val="nil"/>
              <w:left w:val="single" w:sz="4" w:space="0" w:color="auto"/>
              <w:bottom w:val="single" w:sz="4" w:space="0" w:color="000000"/>
              <w:right w:val="single" w:sz="4" w:space="0" w:color="auto"/>
            </w:tcBorders>
            <w:vAlign w:val="center"/>
            <w:hideMark/>
          </w:tcPr>
          <w:p w:rsidR="005F3135" w:rsidRPr="00F7521C" w:rsidRDefault="005F3135" w:rsidP="00B3696A">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46</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9</w:t>
            </w:r>
          </w:p>
        </w:tc>
      </w:tr>
      <w:tr w:rsidR="005F3135" w:rsidRPr="00F7521C" w:rsidTr="00E12B03">
        <w:trPr>
          <w:gridAfter w:val="2"/>
          <w:wAfter w:w="15902" w:type="dxa"/>
          <w:trHeight w:val="390"/>
        </w:trPr>
        <w:tc>
          <w:tcPr>
            <w:tcW w:w="837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5F3135" w:rsidRPr="00F7521C" w:rsidRDefault="005F3135" w:rsidP="00B3696A">
            <w:pPr>
              <w:spacing w:after="0" w:line="240" w:lineRule="auto"/>
              <w:rPr>
                <w:rFonts w:ascii="Times New Roman" w:hAnsi="Times New Roman"/>
                <w:b/>
                <w:bCs/>
                <w:i/>
                <w:iCs/>
                <w:color w:val="000000"/>
                <w:sz w:val="28"/>
                <w:szCs w:val="28"/>
              </w:rPr>
            </w:pPr>
            <w:r w:rsidRPr="00F7521C">
              <w:rPr>
                <w:rFonts w:ascii="Times New Roman" w:hAnsi="Times New Roman"/>
                <w:b/>
                <w:bCs/>
                <w:i/>
                <w:iCs/>
                <w:color w:val="000000"/>
                <w:sz w:val="28"/>
                <w:szCs w:val="28"/>
              </w:rPr>
              <w:t>Реализация результатов контрольных и экспертно-аналитических мероприятий</w:t>
            </w:r>
          </w:p>
        </w:tc>
        <w:tc>
          <w:tcPr>
            <w:tcW w:w="1846" w:type="dxa"/>
            <w:tcBorders>
              <w:top w:val="single" w:sz="4" w:space="0" w:color="auto"/>
              <w:left w:val="single" w:sz="4" w:space="0" w:color="auto"/>
              <w:bottom w:val="single" w:sz="4" w:space="0" w:color="auto"/>
              <w:right w:val="single" w:sz="4" w:space="0" w:color="000000"/>
            </w:tcBorders>
            <w:shd w:val="clear" w:color="000000" w:fill="FFFFFF"/>
          </w:tcPr>
          <w:p w:rsidR="005F3135" w:rsidRPr="00F7521C" w:rsidRDefault="005F3135" w:rsidP="00B3696A">
            <w:pPr>
              <w:spacing w:after="0" w:line="240" w:lineRule="auto"/>
              <w:rPr>
                <w:rFonts w:ascii="Times New Roman" w:hAnsi="Times New Roman"/>
                <w:b/>
                <w:bCs/>
                <w:i/>
                <w:iCs/>
                <w:color w:val="000000"/>
                <w:sz w:val="28"/>
                <w:szCs w:val="28"/>
              </w:rPr>
            </w:pPr>
          </w:p>
        </w:tc>
      </w:tr>
      <w:tr w:rsidR="005F3135" w:rsidRPr="00F7521C" w:rsidTr="00E12B03">
        <w:trPr>
          <w:gridAfter w:val="2"/>
          <w:wAfter w:w="15902" w:type="dxa"/>
          <w:trHeight w:val="585"/>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10.</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Устранено выявленных нарушений</w:t>
            </w:r>
            <w:r w:rsidRPr="00F7521C">
              <w:rPr>
                <w:rFonts w:ascii="Times New Roman" w:hAnsi="Times New Roman"/>
                <w:color w:val="000000"/>
                <w:sz w:val="28"/>
                <w:szCs w:val="28"/>
              </w:rPr>
              <w:br/>
              <w:t>тыс. рублей</w:t>
            </w:r>
          </w:p>
        </w:tc>
        <w:tc>
          <w:tcPr>
            <w:tcW w:w="1843" w:type="dxa"/>
            <w:tcBorders>
              <w:top w:val="nil"/>
              <w:left w:val="nil"/>
              <w:bottom w:val="single" w:sz="4" w:space="0" w:color="auto"/>
              <w:right w:val="single" w:sz="4" w:space="0" w:color="auto"/>
            </w:tcBorders>
            <w:shd w:val="clear" w:color="auto" w:fill="auto"/>
            <w:noWrap/>
            <w:vAlign w:val="bottom"/>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139,7</w:t>
            </w:r>
          </w:p>
        </w:tc>
        <w:tc>
          <w:tcPr>
            <w:tcW w:w="1846" w:type="dxa"/>
            <w:tcBorders>
              <w:top w:val="nil"/>
              <w:left w:val="nil"/>
              <w:bottom w:val="single" w:sz="4" w:space="0" w:color="auto"/>
              <w:right w:val="single" w:sz="4" w:space="0" w:color="auto"/>
            </w:tcBorders>
            <w:vAlign w:val="bottom"/>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0,2</w:t>
            </w:r>
          </w:p>
        </w:tc>
      </w:tr>
      <w:tr w:rsidR="005F3135" w:rsidRPr="00F7521C" w:rsidTr="00E12B03">
        <w:trPr>
          <w:gridAfter w:val="2"/>
          <w:wAfter w:w="15902"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5F3135" w:rsidRPr="00F7521C" w:rsidRDefault="005F3135" w:rsidP="00B3696A">
            <w:pPr>
              <w:spacing w:after="0" w:line="240" w:lineRule="auto"/>
              <w:rPr>
                <w:rFonts w:ascii="Times New Roman" w:hAnsi="Times New Roman"/>
                <w:color w:val="000000"/>
                <w:sz w:val="28"/>
                <w:szCs w:val="28"/>
              </w:rPr>
            </w:pP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w:t>
            </w:r>
          </w:p>
        </w:tc>
        <w:tc>
          <w:tcPr>
            <w:tcW w:w="1843" w:type="dxa"/>
            <w:tcBorders>
              <w:top w:val="nil"/>
              <w:left w:val="nil"/>
              <w:bottom w:val="nil"/>
              <w:right w:val="single" w:sz="4" w:space="0" w:color="auto"/>
            </w:tcBorders>
            <w:shd w:val="clear" w:color="auto" w:fill="auto"/>
            <w:noWrap/>
            <w:vAlign w:val="bottom"/>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17</w:t>
            </w:r>
          </w:p>
        </w:tc>
        <w:tc>
          <w:tcPr>
            <w:tcW w:w="1846" w:type="dxa"/>
            <w:tcBorders>
              <w:top w:val="nil"/>
              <w:left w:val="nil"/>
              <w:bottom w:val="nil"/>
              <w:right w:val="single" w:sz="4" w:space="0" w:color="auto"/>
            </w:tcBorders>
            <w:vAlign w:val="bottom"/>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19</w:t>
            </w:r>
          </w:p>
        </w:tc>
      </w:tr>
      <w:tr w:rsidR="005F3135" w:rsidRPr="00F7521C" w:rsidTr="00E12B03">
        <w:trPr>
          <w:gridAfter w:val="2"/>
          <w:wAfter w:w="15902" w:type="dxa"/>
          <w:trHeight w:val="645"/>
        </w:trPr>
        <w:tc>
          <w:tcPr>
            <w:tcW w:w="824" w:type="dxa"/>
            <w:tcBorders>
              <w:top w:val="nil"/>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11.</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Предъявлена сумма к возврату по результатам контрольных и экспертно-аналитических мероприятий (тыс. руб.) </w:t>
            </w:r>
          </w:p>
        </w:tc>
        <w:tc>
          <w:tcPr>
            <w:tcW w:w="1843" w:type="dxa"/>
            <w:tcBorders>
              <w:top w:val="single" w:sz="4" w:space="0" w:color="auto"/>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3,0</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144"/>
        </w:trPr>
        <w:tc>
          <w:tcPr>
            <w:tcW w:w="8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12.</w:t>
            </w:r>
          </w:p>
        </w:tc>
        <w:tc>
          <w:tcPr>
            <w:tcW w:w="5711" w:type="dxa"/>
            <w:tcBorders>
              <w:top w:val="nil"/>
              <w:left w:val="nil"/>
              <w:bottom w:val="single" w:sz="4" w:space="0" w:color="auto"/>
              <w:right w:val="single" w:sz="4" w:space="0" w:color="auto"/>
            </w:tcBorders>
            <w:shd w:val="clear" w:color="auto" w:fill="auto"/>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Обеспечен возврат средств в бюджеты всех уровней бюджетной системы Российской Федерации</w:t>
            </w:r>
            <w:r w:rsidRPr="00F7521C">
              <w:rPr>
                <w:rFonts w:ascii="Times New Roman" w:hAnsi="Times New Roman"/>
                <w:color w:val="000000"/>
                <w:sz w:val="28"/>
                <w:szCs w:val="28"/>
              </w:rPr>
              <w:br/>
              <w:t xml:space="preserve">тыс. рублей </w:t>
            </w:r>
            <w:r w:rsidRPr="00F7521C">
              <w:rPr>
                <w:rFonts w:ascii="Times New Roman" w:hAnsi="Times New Roman"/>
                <w:color w:val="000000"/>
                <w:sz w:val="28"/>
                <w:szCs w:val="28"/>
              </w:rPr>
              <w:br/>
              <w:t xml:space="preserve"> из них: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3,0</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4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5F3135" w:rsidRPr="00F7521C" w:rsidRDefault="005F3135" w:rsidP="00B3696A">
            <w:pPr>
              <w:spacing w:after="0" w:line="240" w:lineRule="auto"/>
              <w:rPr>
                <w:rFonts w:ascii="Times New Roman" w:hAnsi="Times New Roman"/>
                <w:color w:val="000000"/>
                <w:sz w:val="28"/>
                <w:szCs w:val="28"/>
              </w:rPr>
            </w:pPr>
          </w:p>
        </w:tc>
        <w:tc>
          <w:tcPr>
            <w:tcW w:w="5711" w:type="dxa"/>
            <w:tcBorders>
              <w:top w:val="nil"/>
              <w:left w:val="nil"/>
              <w:bottom w:val="single" w:sz="4" w:space="0" w:color="auto"/>
              <w:right w:val="single" w:sz="4" w:space="0" w:color="auto"/>
            </w:tcBorders>
            <w:shd w:val="clear" w:color="000000" w:fill="FFFFFF"/>
            <w:noWrap/>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291"/>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12.1.</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в том числе по материалам прошлых лет, тыс.руб.</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45"/>
        </w:trPr>
        <w:tc>
          <w:tcPr>
            <w:tcW w:w="824" w:type="dxa"/>
            <w:vMerge/>
            <w:tcBorders>
              <w:top w:val="nil"/>
              <w:left w:val="single" w:sz="4" w:space="0" w:color="auto"/>
              <w:bottom w:val="single" w:sz="4" w:space="0" w:color="000000"/>
              <w:right w:val="single" w:sz="4" w:space="0" w:color="auto"/>
            </w:tcBorders>
            <w:vAlign w:val="center"/>
            <w:hideMark/>
          </w:tcPr>
          <w:p w:rsidR="005F3135" w:rsidRPr="00F7521C" w:rsidRDefault="005F3135" w:rsidP="00B3696A">
            <w:pPr>
              <w:spacing w:after="0" w:line="240" w:lineRule="auto"/>
              <w:rPr>
                <w:rFonts w:ascii="Times New Roman" w:hAnsi="Times New Roman"/>
                <w:color w:val="000000"/>
                <w:sz w:val="28"/>
                <w:szCs w:val="28"/>
              </w:rPr>
            </w:pPr>
          </w:p>
        </w:tc>
        <w:tc>
          <w:tcPr>
            <w:tcW w:w="5711" w:type="dxa"/>
            <w:tcBorders>
              <w:top w:val="nil"/>
              <w:left w:val="nil"/>
              <w:bottom w:val="single" w:sz="4" w:space="0" w:color="auto"/>
              <w:right w:val="single" w:sz="4" w:space="0" w:color="auto"/>
            </w:tcBorders>
            <w:shd w:val="clear" w:color="000000" w:fill="FFFFFF"/>
            <w:noWrap/>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Внесено представлений всего,                                                                                                                 из них</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w:t>
            </w:r>
          </w:p>
        </w:tc>
      </w:tr>
      <w:tr w:rsidR="005F3135" w:rsidRPr="00F7521C" w:rsidTr="00E12B03">
        <w:trPr>
          <w:gridAfter w:val="2"/>
          <w:wAfter w:w="15902" w:type="dxa"/>
          <w:trHeight w:val="315"/>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lastRenderedPageBreak/>
              <w:t>13.1.</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 представлений, выполненных в установленные сроки</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w:t>
            </w:r>
          </w:p>
        </w:tc>
      </w:tr>
      <w:tr w:rsidR="005F3135" w:rsidRPr="00F7521C" w:rsidTr="00E12B03">
        <w:trPr>
          <w:gridAfter w:val="2"/>
          <w:wAfter w:w="15902" w:type="dxa"/>
          <w:trHeight w:val="315"/>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13.2.</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 представлений, сроки выполнения которых не наступили</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nil"/>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13.3.</w:t>
            </w:r>
          </w:p>
        </w:tc>
        <w:tc>
          <w:tcPr>
            <w:tcW w:w="5711" w:type="dxa"/>
            <w:tcBorders>
              <w:top w:val="nil"/>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количество представлений, не выполненных </w:t>
            </w:r>
          </w:p>
        </w:tc>
        <w:tc>
          <w:tcPr>
            <w:tcW w:w="1843" w:type="dxa"/>
            <w:tcBorders>
              <w:top w:val="nil"/>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single" w:sz="4" w:space="0" w:color="auto"/>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13.4.</w:t>
            </w:r>
          </w:p>
        </w:tc>
        <w:tc>
          <w:tcPr>
            <w:tcW w:w="5711" w:type="dxa"/>
            <w:tcBorders>
              <w:top w:val="single" w:sz="4" w:space="0" w:color="auto"/>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количество представлений, выполненных не полностью </w:t>
            </w:r>
          </w:p>
        </w:tc>
        <w:tc>
          <w:tcPr>
            <w:tcW w:w="1843" w:type="dxa"/>
            <w:tcBorders>
              <w:top w:val="single" w:sz="4" w:space="0" w:color="auto"/>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single" w:sz="4" w:space="0" w:color="auto"/>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13.5.</w:t>
            </w:r>
          </w:p>
        </w:tc>
        <w:tc>
          <w:tcPr>
            <w:tcW w:w="5711" w:type="dxa"/>
            <w:tcBorders>
              <w:top w:val="single" w:sz="4" w:space="0" w:color="auto"/>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количество представлений, внесенных в государственные и муниципальные органы </w:t>
            </w:r>
          </w:p>
        </w:tc>
        <w:tc>
          <w:tcPr>
            <w:tcW w:w="1843" w:type="dxa"/>
            <w:tcBorders>
              <w:top w:val="single" w:sz="4" w:space="0" w:color="auto"/>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single" w:sz="4" w:space="0" w:color="auto"/>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13.6.</w:t>
            </w:r>
          </w:p>
        </w:tc>
        <w:tc>
          <w:tcPr>
            <w:tcW w:w="5711" w:type="dxa"/>
            <w:tcBorders>
              <w:top w:val="single" w:sz="4" w:space="0" w:color="auto"/>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 представлений, внесенных в государственные и муниципальные учреждения</w:t>
            </w:r>
          </w:p>
        </w:tc>
        <w:tc>
          <w:tcPr>
            <w:tcW w:w="1843" w:type="dxa"/>
            <w:tcBorders>
              <w:top w:val="single" w:sz="4" w:space="0" w:color="auto"/>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4</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w:t>
            </w:r>
          </w:p>
        </w:tc>
      </w:tr>
      <w:tr w:rsidR="005F3135" w:rsidRPr="00F7521C" w:rsidTr="00E12B03">
        <w:trPr>
          <w:gridAfter w:val="2"/>
          <w:wAfter w:w="15902" w:type="dxa"/>
          <w:trHeight w:val="300"/>
        </w:trPr>
        <w:tc>
          <w:tcPr>
            <w:tcW w:w="824" w:type="dxa"/>
            <w:tcBorders>
              <w:top w:val="single" w:sz="4" w:space="0" w:color="auto"/>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13.7.</w:t>
            </w:r>
          </w:p>
        </w:tc>
        <w:tc>
          <w:tcPr>
            <w:tcW w:w="5711" w:type="dxa"/>
            <w:tcBorders>
              <w:top w:val="single" w:sz="4" w:space="0" w:color="auto"/>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 представлений, внесенных в иные организации</w:t>
            </w:r>
          </w:p>
        </w:tc>
        <w:tc>
          <w:tcPr>
            <w:tcW w:w="1843" w:type="dxa"/>
            <w:tcBorders>
              <w:top w:val="single" w:sz="4" w:space="0" w:color="auto"/>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single" w:sz="4" w:space="0" w:color="auto"/>
              <w:left w:val="single" w:sz="4" w:space="0" w:color="auto"/>
              <w:bottom w:val="nil"/>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14.</w:t>
            </w:r>
          </w:p>
        </w:tc>
        <w:tc>
          <w:tcPr>
            <w:tcW w:w="5711" w:type="dxa"/>
            <w:tcBorders>
              <w:top w:val="single" w:sz="4" w:space="0" w:color="auto"/>
              <w:left w:val="nil"/>
              <w:bottom w:val="nil"/>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Выполнено представлений, направленных в предыдущие годы</w:t>
            </w:r>
          </w:p>
        </w:tc>
        <w:tc>
          <w:tcPr>
            <w:tcW w:w="1843" w:type="dxa"/>
            <w:tcBorders>
              <w:top w:val="single" w:sz="4" w:space="0" w:color="auto"/>
              <w:left w:val="nil"/>
              <w:bottom w:val="nil"/>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single" w:sz="4" w:space="0" w:color="auto"/>
              <w:left w:val="nil"/>
              <w:bottom w:val="nil"/>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600"/>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15.</w:t>
            </w:r>
          </w:p>
        </w:tc>
        <w:tc>
          <w:tcPr>
            <w:tcW w:w="5711" w:type="dxa"/>
            <w:tcBorders>
              <w:top w:val="single" w:sz="4" w:space="0" w:color="auto"/>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Направлено предписаний всего,</w:t>
            </w:r>
            <w:r w:rsidRPr="00F7521C">
              <w:rPr>
                <w:rFonts w:ascii="Times New Roman" w:hAnsi="Times New Roman"/>
                <w:color w:val="000000"/>
                <w:sz w:val="28"/>
                <w:szCs w:val="28"/>
              </w:rPr>
              <w:br/>
              <w:t>из них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w:t>
            </w:r>
          </w:p>
        </w:tc>
        <w:tc>
          <w:tcPr>
            <w:tcW w:w="1846" w:type="dxa"/>
            <w:tcBorders>
              <w:top w:val="single" w:sz="4" w:space="0" w:color="auto"/>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3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15.1.</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 предписаний, выполненных в установленные сроки</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15.2.</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 предписаний, сроки выполнения которых не наступили</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15.3.</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количество предписаний, не выполненных </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15.4.</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количество предписаний, выполненных не полностью </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15.5.</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количество предписаний, внесенных в государственные и муниципальные органы </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15.6.</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 предписаний, внесенных в государственные и муниципальные учреждения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15.7.</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 предписаний, внесенных в иные организации</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75"/>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16.</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Выполнено предписаний, направленных в предыдущие годы</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17.</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Направлено уведомлений о применении бюджетных мер принуждения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15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18.</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Взыскано сумм в бесспорном порядке/ приостановлено (сокращено) предоставление межбюджетных трансфертов по результатам рассмотрения уведомлений о применении бюджетных мер принуждения, всего (тыс.руб.)из них </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205"/>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18.1.</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по материалам прошлых лет</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272"/>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19.</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Количество материалов, направленных в </w:t>
            </w:r>
            <w:r w:rsidRPr="00F7521C">
              <w:rPr>
                <w:rFonts w:ascii="Times New Roman" w:hAnsi="Times New Roman"/>
                <w:color w:val="000000"/>
                <w:sz w:val="28"/>
                <w:szCs w:val="28"/>
              </w:rPr>
              <w:lastRenderedPageBreak/>
              <w:t>органы прокуратуры и иные правоохранительные органы, всего</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lastRenderedPageBreak/>
              <w:t>31</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22</w:t>
            </w:r>
          </w:p>
        </w:tc>
      </w:tr>
      <w:tr w:rsidR="005F3135" w:rsidRPr="00F7521C" w:rsidTr="00E12B03">
        <w:trPr>
          <w:gridAfter w:val="2"/>
          <w:wAfter w:w="15902"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lastRenderedPageBreak/>
              <w:t>19.1.</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Результаты рассмотрения материалов, направленных в органы прокуратуры и иные правоохранительные органы:</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5</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6</w:t>
            </w:r>
          </w:p>
        </w:tc>
      </w:tr>
      <w:tr w:rsidR="005F3135" w:rsidRPr="00F7521C" w:rsidTr="00E12B03">
        <w:trPr>
          <w:gridAfter w:val="2"/>
          <w:wAfter w:w="15902" w:type="dxa"/>
          <w:trHeight w:val="36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19.1.1.</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принято решений о возбуждении уголовного дела</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45"/>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19.1.2.</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принято решений об отказе в  возбуждении уголовного дела</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15"/>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19.1.3.</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принято решений о прекращении уголовного дела</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19.1.4.</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возбуждено дел об административных правонарушениях, по которым назначено административное наказание</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42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19.1.5.</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иные меры прокурорского реагирования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5</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6</w:t>
            </w:r>
          </w:p>
        </w:tc>
      </w:tr>
      <w:tr w:rsidR="005F3135" w:rsidRPr="00F7521C" w:rsidTr="00E12B03">
        <w:trPr>
          <w:gridAfter w:val="2"/>
          <w:wAfter w:w="15902" w:type="dxa"/>
          <w:trHeight w:val="63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20.</w:t>
            </w:r>
          </w:p>
        </w:tc>
        <w:tc>
          <w:tcPr>
            <w:tcW w:w="5711" w:type="dxa"/>
            <w:tcBorders>
              <w:top w:val="nil"/>
              <w:left w:val="nil"/>
              <w:bottom w:val="single" w:sz="4" w:space="0" w:color="auto"/>
              <w:right w:val="single" w:sz="4" w:space="0" w:color="auto"/>
            </w:tcBorders>
            <w:shd w:val="clear" w:color="auto" w:fill="auto"/>
            <w:hideMark/>
          </w:tcPr>
          <w:p w:rsidR="005F3135" w:rsidRPr="00F7521C" w:rsidRDefault="005F3135" w:rsidP="00B3696A">
            <w:pPr>
              <w:spacing w:after="0" w:line="240" w:lineRule="auto"/>
              <w:jc w:val="both"/>
              <w:rPr>
                <w:rFonts w:ascii="Times New Roman" w:hAnsi="Times New Roman"/>
                <w:color w:val="000000"/>
                <w:sz w:val="28"/>
                <w:szCs w:val="28"/>
              </w:rPr>
            </w:pPr>
            <w:r w:rsidRPr="00F7521C">
              <w:rPr>
                <w:rFonts w:ascii="Times New Roman" w:hAnsi="Times New Roman"/>
                <w:color w:val="000000"/>
                <w:sz w:val="28"/>
                <w:szCs w:val="28"/>
              </w:rPr>
              <w:t>Возбуждено дел об административных правонарушениях сотрудниками КСП (приложение 1.2.)</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93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21.</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Направлено  обращений (материалов) КСП по фактам выявленных нарушений в уполномоченные органы для принятия мер,</w:t>
            </w:r>
            <w:r w:rsidRPr="00F7521C">
              <w:rPr>
                <w:rFonts w:ascii="Times New Roman" w:hAnsi="Times New Roman"/>
                <w:color w:val="000000"/>
                <w:sz w:val="28"/>
                <w:szCs w:val="28"/>
              </w:rPr>
              <w:br/>
              <w:t>из них</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6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21.1.</w:t>
            </w:r>
          </w:p>
        </w:tc>
        <w:tc>
          <w:tcPr>
            <w:tcW w:w="5711" w:type="dxa"/>
            <w:tcBorders>
              <w:top w:val="nil"/>
              <w:left w:val="nil"/>
              <w:bottom w:val="nil"/>
              <w:right w:val="nil"/>
            </w:tcBorders>
            <w:shd w:val="clear" w:color="auto" w:fill="auto"/>
            <w:noWrap/>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принято мер:</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single" w:sz="4" w:space="0" w:color="auto"/>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286"/>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21.1.1.</w:t>
            </w:r>
          </w:p>
        </w:tc>
        <w:tc>
          <w:tcPr>
            <w:tcW w:w="5711" w:type="dxa"/>
            <w:tcBorders>
              <w:top w:val="single" w:sz="4" w:space="0" w:color="auto"/>
              <w:left w:val="nil"/>
              <w:bottom w:val="single" w:sz="4" w:space="0" w:color="auto"/>
              <w:right w:val="single" w:sz="4" w:space="0" w:color="auto"/>
            </w:tcBorders>
            <w:shd w:val="clear" w:color="auto" w:fill="auto"/>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возбуждено дел об административных правонарушениях по обращениям (материалам) КСП, направленным в уполномоченные органы</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6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21.1.2.</w:t>
            </w:r>
          </w:p>
        </w:tc>
        <w:tc>
          <w:tcPr>
            <w:tcW w:w="5711" w:type="dxa"/>
            <w:tcBorders>
              <w:top w:val="nil"/>
              <w:left w:val="nil"/>
              <w:bottom w:val="single" w:sz="4" w:space="0" w:color="auto"/>
              <w:right w:val="single" w:sz="4" w:space="0" w:color="auto"/>
            </w:tcBorders>
            <w:shd w:val="clear" w:color="auto" w:fill="auto"/>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привлечено лиц к дисциплинарной ответственности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375"/>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21.1.3.</w:t>
            </w:r>
          </w:p>
        </w:tc>
        <w:tc>
          <w:tcPr>
            <w:tcW w:w="5711" w:type="dxa"/>
            <w:tcBorders>
              <w:top w:val="nil"/>
              <w:left w:val="nil"/>
              <w:bottom w:val="single" w:sz="4" w:space="0" w:color="auto"/>
              <w:right w:val="single" w:sz="4" w:space="0" w:color="auto"/>
            </w:tcBorders>
            <w:shd w:val="clear" w:color="auto" w:fill="auto"/>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иные меры (перечислить)</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r w:rsidR="005F3135" w:rsidRPr="00F7521C" w:rsidTr="00E12B03">
        <w:trPr>
          <w:gridAfter w:val="2"/>
          <w:wAfter w:w="15902" w:type="dxa"/>
          <w:trHeight w:val="945"/>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22.</w:t>
            </w:r>
          </w:p>
        </w:tc>
        <w:tc>
          <w:tcPr>
            <w:tcW w:w="5711" w:type="dxa"/>
            <w:tcBorders>
              <w:top w:val="nil"/>
              <w:left w:val="nil"/>
              <w:bottom w:val="single" w:sz="4" w:space="0" w:color="auto"/>
              <w:right w:val="single" w:sz="4" w:space="0" w:color="auto"/>
            </w:tcBorders>
            <w:shd w:val="clear" w:color="auto" w:fill="auto"/>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Количество муниципальных правовых актов, принятых (измененных) по предложениям КСП  по результатам контрольных и экспертно-аналитических мероприятий (приложение 1.3.)</w:t>
            </w:r>
          </w:p>
        </w:tc>
        <w:tc>
          <w:tcPr>
            <w:tcW w:w="1843" w:type="dxa"/>
            <w:tcBorders>
              <w:top w:val="nil"/>
              <w:left w:val="nil"/>
              <w:bottom w:val="single" w:sz="4" w:space="0" w:color="auto"/>
              <w:right w:val="single" w:sz="4" w:space="0" w:color="auto"/>
            </w:tcBorders>
            <w:shd w:val="clear" w:color="auto" w:fill="auto"/>
            <w:noWrap/>
            <w:vAlign w:val="center"/>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51</w:t>
            </w:r>
          </w:p>
        </w:tc>
        <w:tc>
          <w:tcPr>
            <w:tcW w:w="1846" w:type="dxa"/>
            <w:tcBorders>
              <w:top w:val="nil"/>
              <w:left w:val="nil"/>
              <w:bottom w:val="single" w:sz="4" w:space="0" w:color="auto"/>
              <w:right w:val="single" w:sz="4" w:space="0" w:color="auto"/>
            </w:tcBorders>
            <w:vAlign w:val="center"/>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21</w:t>
            </w:r>
          </w:p>
        </w:tc>
      </w:tr>
      <w:tr w:rsidR="005F3135" w:rsidRPr="00F7521C" w:rsidTr="00E12B03">
        <w:trPr>
          <w:trHeight w:val="300"/>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23.</w:t>
            </w:r>
          </w:p>
        </w:tc>
        <w:tc>
          <w:tcPr>
            <w:tcW w:w="5711" w:type="dxa"/>
            <w:tcBorders>
              <w:top w:val="single" w:sz="4" w:space="0" w:color="auto"/>
              <w:left w:val="single" w:sz="4" w:space="0" w:color="auto"/>
              <w:bottom w:val="single" w:sz="4" w:space="0" w:color="auto"/>
              <w:right w:val="single" w:sz="4" w:space="0" w:color="auto"/>
            </w:tcBorders>
            <w:shd w:val="clear" w:color="000000" w:fill="FFFFFF"/>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Жалобы, исковые требования на действия КСП (ед.)</w:t>
            </w:r>
          </w:p>
        </w:tc>
        <w:tc>
          <w:tcPr>
            <w:tcW w:w="1843" w:type="dxa"/>
            <w:tcBorders>
              <w:top w:val="single" w:sz="4" w:space="0" w:color="auto"/>
              <w:left w:val="single" w:sz="4" w:space="0" w:color="auto"/>
              <w:bottom w:val="single" w:sz="4" w:space="0" w:color="auto"/>
              <w:right w:val="single" w:sz="4" w:space="0" w:color="000000"/>
            </w:tcBorders>
            <w:shd w:val="clear" w:color="000000" w:fill="FFFFFF"/>
            <w:vAlign w:val="bottom"/>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single" w:sz="4" w:space="0" w:color="auto"/>
              <w:left w:val="single" w:sz="4" w:space="0" w:color="auto"/>
              <w:bottom w:val="single" w:sz="4" w:space="0" w:color="auto"/>
              <w:right w:val="single" w:sz="4" w:space="0" w:color="000000"/>
            </w:tcBorders>
            <w:shd w:val="clear" w:color="000000" w:fill="FFFFFF"/>
            <w:vAlign w:val="bottom"/>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7810" w:type="dxa"/>
          </w:tcPr>
          <w:p w:rsidR="005F3135" w:rsidRPr="00F7521C" w:rsidRDefault="005F3135" w:rsidP="00B3696A">
            <w:pPr>
              <w:spacing w:after="0" w:line="240" w:lineRule="auto"/>
              <w:rPr>
                <w:rFonts w:ascii="Times New Roman" w:hAnsi="Times New Roman"/>
                <w:sz w:val="28"/>
                <w:szCs w:val="28"/>
              </w:rPr>
            </w:pPr>
          </w:p>
        </w:tc>
        <w:tc>
          <w:tcPr>
            <w:tcW w:w="8092" w:type="dxa"/>
          </w:tcPr>
          <w:p w:rsidR="005F3135" w:rsidRPr="00F7521C" w:rsidRDefault="005F3135" w:rsidP="00B3696A">
            <w:pPr>
              <w:spacing w:after="0" w:line="240" w:lineRule="auto"/>
              <w:rPr>
                <w:rFonts w:ascii="Times New Roman" w:hAnsi="Times New Roman"/>
                <w:b/>
                <w:bCs/>
                <w:i/>
                <w:iCs/>
                <w:sz w:val="28"/>
                <w:szCs w:val="28"/>
              </w:rPr>
            </w:pPr>
            <w:r w:rsidRPr="00F7521C">
              <w:rPr>
                <w:rFonts w:ascii="Times New Roman" w:hAnsi="Times New Roman"/>
                <w:b/>
                <w:bCs/>
                <w:i/>
                <w:iCs/>
                <w:sz w:val="28"/>
                <w:szCs w:val="28"/>
              </w:rPr>
              <w:t>Гарантия прав проверяемых органов и организаций</w:t>
            </w:r>
          </w:p>
        </w:tc>
      </w:tr>
      <w:tr w:rsidR="005F3135" w:rsidRPr="00F7521C" w:rsidTr="00E12B03">
        <w:trPr>
          <w:gridAfter w:val="2"/>
          <w:wAfter w:w="15902"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24.</w:t>
            </w:r>
          </w:p>
        </w:tc>
        <w:tc>
          <w:tcPr>
            <w:tcW w:w="5711" w:type="dxa"/>
            <w:tcBorders>
              <w:top w:val="nil"/>
              <w:left w:val="nil"/>
              <w:bottom w:val="single" w:sz="4" w:space="0" w:color="auto"/>
              <w:right w:val="single" w:sz="4" w:space="0" w:color="auto"/>
            </w:tcBorders>
            <w:shd w:val="clear" w:color="000000" w:fill="FFFFFF"/>
            <w:hideMark/>
          </w:tcPr>
          <w:p w:rsidR="005F3135" w:rsidRPr="00F7521C" w:rsidRDefault="005F3135" w:rsidP="00B3696A">
            <w:pPr>
              <w:spacing w:after="0" w:line="240" w:lineRule="auto"/>
              <w:rPr>
                <w:rFonts w:ascii="Times New Roman" w:hAnsi="Times New Roman"/>
                <w:color w:val="000000"/>
                <w:sz w:val="28"/>
                <w:szCs w:val="28"/>
              </w:rPr>
            </w:pPr>
            <w:r w:rsidRPr="00F7521C">
              <w:rPr>
                <w:rFonts w:ascii="Times New Roman" w:hAnsi="Times New Roman"/>
                <w:color w:val="000000"/>
                <w:sz w:val="28"/>
                <w:szCs w:val="28"/>
              </w:rPr>
              <w:t xml:space="preserve">Решение судов, удовлетворяющие жалобы, исковые требования на действия КСП (ед.)  </w:t>
            </w:r>
          </w:p>
        </w:tc>
        <w:tc>
          <w:tcPr>
            <w:tcW w:w="1843" w:type="dxa"/>
            <w:tcBorders>
              <w:top w:val="nil"/>
              <w:left w:val="nil"/>
              <w:bottom w:val="single" w:sz="4" w:space="0" w:color="auto"/>
              <w:right w:val="single" w:sz="4" w:space="0" w:color="auto"/>
            </w:tcBorders>
            <w:shd w:val="clear" w:color="auto" w:fill="auto"/>
            <w:noWrap/>
            <w:vAlign w:val="bottom"/>
            <w:hideMark/>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c>
          <w:tcPr>
            <w:tcW w:w="1846" w:type="dxa"/>
            <w:tcBorders>
              <w:top w:val="nil"/>
              <w:left w:val="nil"/>
              <w:bottom w:val="single" w:sz="4" w:space="0" w:color="auto"/>
              <w:right w:val="single" w:sz="4" w:space="0" w:color="auto"/>
            </w:tcBorders>
            <w:vAlign w:val="bottom"/>
          </w:tcPr>
          <w:p w:rsidR="005F3135" w:rsidRPr="00F7521C" w:rsidRDefault="005F3135" w:rsidP="00B3696A">
            <w:pPr>
              <w:spacing w:after="0" w:line="240" w:lineRule="auto"/>
              <w:jc w:val="center"/>
              <w:rPr>
                <w:rFonts w:ascii="Times New Roman" w:hAnsi="Times New Roman"/>
                <w:color w:val="000000"/>
                <w:sz w:val="28"/>
                <w:szCs w:val="28"/>
              </w:rPr>
            </w:pPr>
            <w:r w:rsidRPr="00F7521C">
              <w:rPr>
                <w:rFonts w:ascii="Times New Roman" w:hAnsi="Times New Roman"/>
                <w:color w:val="000000"/>
                <w:sz w:val="28"/>
                <w:szCs w:val="28"/>
              </w:rPr>
              <w:t>0</w:t>
            </w:r>
          </w:p>
        </w:tc>
      </w:tr>
    </w:tbl>
    <w:p w:rsidR="004B234F" w:rsidRDefault="004B234F" w:rsidP="00B3696A">
      <w:pPr>
        <w:suppressAutoHyphens/>
        <w:spacing w:after="0" w:line="240" w:lineRule="auto"/>
        <w:ind w:firstLine="709"/>
        <w:jc w:val="both"/>
        <w:rPr>
          <w:rFonts w:ascii="Times New Roman" w:hAnsi="Times New Roman"/>
          <w:bCs/>
          <w:color w:val="000000"/>
          <w:sz w:val="28"/>
          <w:szCs w:val="28"/>
        </w:rPr>
      </w:pPr>
    </w:p>
    <w:p w:rsidR="005F3135" w:rsidRDefault="005F3135" w:rsidP="00B3696A">
      <w:pPr>
        <w:suppressAutoHyphens/>
        <w:spacing w:after="0" w:line="240" w:lineRule="auto"/>
        <w:ind w:firstLine="709"/>
        <w:jc w:val="both"/>
        <w:rPr>
          <w:rFonts w:ascii="Times New Roman" w:hAnsi="Times New Roman"/>
          <w:bCs/>
          <w:color w:val="000000"/>
          <w:sz w:val="28"/>
          <w:szCs w:val="28"/>
        </w:rPr>
      </w:pPr>
      <w:r w:rsidRPr="00F7521C">
        <w:rPr>
          <w:rFonts w:ascii="Times New Roman" w:hAnsi="Times New Roman"/>
          <w:bCs/>
          <w:color w:val="000000"/>
          <w:sz w:val="28"/>
          <w:szCs w:val="28"/>
        </w:rPr>
        <w:t xml:space="preserve">По сравнению с 2020 годом уменьшилось количество контрольных и экспертно-аналитических мероприятий на 25 ед.  Количество контрольных и </w:t>
      </w:r>
      <w:r w:rsidRPr="00F7521C">
        <w:rPr>
          <w:rFonts w:ascii="Times New Roman" w:hAnsi="Times New Roman"/>
          <w:bCs/>
          <w:color w:val="000000"/>
          <w:sz w:val="28"/>
          <w:szCs w:val="28"/>
        </w:rPr>
        <w:lastRenderedPageBreak/>
        <w:t>экспертно-аналитических мероприятий за 2020 год на одного работника составляет 15,5 проверок, за 2021 год 12,3 проверок. Результативность на одного работника за 2020 год составляет 817,3 тыс.руб., за 2021 год 2 582,2 тыс.руб.</w:t>
      </w:r>
    </w:p>
    <w:p w:rsidR="00B3696A" w:rsidRPr="00F7521C" w:rsidRDefault="00B3696A" w:rsidP="00B3696A">
      <w:pPr>
        <w:suppressAutoHyphens/>
        <w:spacing w:after="0" w:line="240" w:lineRule="auto"/>
        <w:ind w:firstLine="709"/>
        <w:jc w:val="both"/>
        <w:rPr>
          <w:rFonts w:ascii="Times New Roman" w:hAnsi="Times New Roman"/>
          <w:bCs/>
          <w:color w:val="000000"/>
          <w:sz w:val="28"/>
          <w:szCs w:val="28"/>
        </w:rPr>
      </w:pPr>
    </w:p>
    <w:p w:rsidR="005F3135" w:rsidRDefault="005F3135" w:rsidP="00B3696A">
      <w:pPr>
        <w:shd w:val="clear" w:color="auto" w:fill="FFFFFF"/>
        <w:spacing w:after="0" w:line="240" w:lineRule="auto"/>
        <w:ind w:firstLine="680"/>
        <w:jc w:val="center"/>
        <w:rPr>
          <w:rFonts w:ascii="Times New Roman" w:hAnsi="Times New Roman"/>
          <w:b/>
          <w:iCs/>
          <w:sz w:val="28"/>
          <w:szCs w:val="28"/>
        </w:rPr>
      </w:pPr>
      <w:r w:rsidRPr="00F7521C">
        <w:rPr>
          <w:rFonts w:ascii="Times New Roman" w:hAnsi="Times New Roman"/>
          <w:b/>
          <w:iCs/>
          <w:sz w:val="28"/>
          <w:szCs w:val="28"/>
        </w:rPr>
        <w:t>3.Экспертно-аналитическая деятельность</w:t>
      </w:r>
    </w:p>
    <w:p w:rsidR="00B3696A" w:rsidRPr="00F7521C" w:rsidRDefault="00B3696A" w:rsidP="00B3696A">
      <w:pPr>
        <w:shd w:val="clear" w:color="auto" w:fill="FFFFFF"/>
        <w:spacing w:after="0" w:line="240" w:lineRule="auto"/>
        <w:ind w:firstLine="680"/>
        <w:jc w:val="center"/>
        <w:rPr>
          <w:rFonts w:ascii="Times New Roman" w:hAnsi="Times New Roman"/>
          <w:b/>
          <w:iCs/>
          <w:sz w:val="28"/>
          <w:szCs w:val="28"/>
        </w:rPr>
      </w:pP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В рамках реализации экспертно-аналитических полномочий Контрольно-счетной палаты Бардымского муниципального округа Пермского края проведены всего 33 экспертизы, в том числе:</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 внешняя проверка годового отчета об исполнении бюджета Бардымского муниципального округа и бюджетов сельских поселений за 2021 год проведено 13 экспертно-аналитических мероприятий;</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 экспертиза проекта решения Думы Бардымского муниципального округа «О бюджете Бардымского муниципального округа на 2022 год и плановый период 2023-2024 годы» по вопросам обоснованности доходных и расходных статей, на соответствие бюджетному законодательству – 2 экспертизы;</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 экспертиза проекта решения Думы Бардымского муниципального округа «О внесении изменений в бюджет Бардымского муниципального округа на 2021 год и плановый период 2022-2023 годы» по вопросам обоснованности доходных и расходных статей, на соответствие бюджетному законодательству – 15 экспертиз;</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 экспертиза проектов муниципальных программ Бардымского муниципального округа – 2 экспертизы;</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 экспертиза иных проектов МПА – 1 экспертиза.</w:t>
      </w:r>
    </w:p>
    <w:p w:rsidR="005F3135"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Результаты экспертно-аналитических мероприятий, направленные на выявление неиспользованных возможностей пополнения доходов бюджета округа и поселений, устранение имеющихся недостатков в расходной части бюджета отражены в заключениях Контрольно-счетной палаты Бардымского муниципального округа Пермского края и представлены в Думу Бардымского муниципального округа.</w:t>
      </w:r>
    </w:p>
    <w:p w:rsidR="00B3696A" w:rsidRPr="00F7521C" w:rsidRDefault="00B3696A" w:rsidP="00B3696A">
      <w:pPr>
        <w:shd w:val="clear" w:color="auto" w:fill="FFFFFF"/>
        <w:spacing w:after="0" w:line="240" w:lineRule="auto"/>
        <w:ind w:firstLine="680"/>
        <w:jc w:val="both"/>
        <w:rPr>
          <w:rFonts w:ascii="Times New Roman" w:hAnsi="Times New Roman"/>
          <w:iCs/>
          <w:sz w:val="28"/>
          <w:szCs w:val="28"/>
        </w:rPr>
      </w:pPr>
    </w:p>
    <w:p w:rsidR="005F3135" w:rsidRPr="00F7521C" w:rsidRDefault="005F3135" w:rsidP="00B3696A">
      <w:pPr>
        <w:shd w:val="clear" w:color="auto" w:fill="FFFFFF"/>
        <w:spacing w:after="0" w:line="240" w:lineRule="auto"/>
        <w:ind w:firstLine="680"/>
        <w:jc w:val="center"/>
        <w:rPr>
          <w:rFonts w:ascii="Times New Roman" w:hAnsi="Times New Roman"/>
          <w:b/>
          <w:iCs/>
          <w:sz w:val="28"/>
          <w:szCs w:val="28"/>
        </w:rPr>
      </w:pPr>
      <w:r w:rsidRPr="00F7521C">
        <w:rPr>
          <w:rFonts w:ascii="Times New Roman" w:hAnsi="Times New Roman"/>
          <w:b/>
          <w:iCs/>
          <w:sz w:val="28"/>
          <w:szCs w:val="28"/>
        </w:rPr>
        <w:t xml:space="preserve">4. Сведения о мерах, принятых по результатам </w:t>
      </w:r>
    </w:p>
    <w:p w:rsidR="005F3135" w:rsidRDefault="005F3135" w:rsidP="00B3696A">
      <w:pPr>
        <w:shd w:val="clear" w:color="auto" w:fill="FFFFFF"/>
        <w:spacing w:after="0" w:line="240" w:lineRule="auto"/>
        <w:ind w:firstLine="680"/>
        <w:jc w:val="center"/>
        <w:rPr>
          <w:rFonts w:ascii="Times New Roman" w:hAnsi="Times New Roman"/>
          <w:b/>
          <w:iCs/>
          <w:sz w:val="28"/>
          <w:szCs w:val="28"/>
        </w:rPr>
      </w:pPr>
      <w:r w:rsidRPr="00F7521C">
        <w:rPr>
          <w:rFonts w:ascii="Times New Roman" w:hAnsi="Times New Roman"/>
          <w:b/>
          <w:iCs/>
          <w:sz w:val="28"/>
          <w:szCs w:val="28"/>
        </w:rPr>
        <w:t>контрольных мероприятий</w:t>
      </w:r>
    </w:p>
    <w:p w:rsidR="00B3696A" w:rsidRPr="00F7521C" w:rsidRDefault="00B3696A" w:rsidP="00B3696A">
      <w:pPr>
        <w:shd w:val="clear" w:color="auto" w:fill="FFFFFF"/>
        <w:spacing w:after="0" w:line="240" w:lineRule="auto"/>
        <w:ind w:firstLine="680"/>
        <w:jc w:val="center"/>
        <w:rPr>
          <w:rFonts w:ascii="Times New Roman" w:hAnsi="Times New Roman"/>
          <w:b/>
          <w:iCs/>
          <w:sz w:val="28"/>
          <w:szCs w:val="28"/>
        </w:rPr>
      </w:pP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Контрольно-счетная палата Бардымского муниципального округа Пермского края систематически анализирует итоги проводимых контрольных мероприятий и контролирует выполнение предложений и представлений, направленных по результатам проверок. Контроль осуществляется в следующих формах:</w:t>
      </w:r>
    </w:p>
    <w:p w:rsidR="005F3135" w:rsidRPr="00F7521C" w:rsidRDefault="005F3135" w:rsidP="00B3696A">
      <w:pPr>
        <w:shd w:val="clear" w:color="auto" w:fill="FFFFFF"/>
        <w:spacing w:after="0" w:line="240" w:lineRule="auto"/>
        <w:ind w:firstLine="680"/>
        <w:jc w:val="both"/>
        <w:rPr>
          <w:rFonts w:ascii="Times New Roman" w:hAnsi="Times New Roman"/>
          <w:iCs/>
          <w:sz w:val="28"/>
          <w:szCs w:val="28"/>
        </w:rPr>
      </w:pPr>
      <w:r w:rsidRPr="00F7521C">
        <w:rPr>
          <w:rFonts w:ascii="Times New Roman" w:hAnsi="Times New Roman"/>
          <w:iCs/>
          <w:sz w:val="28"/>
          <w:szCs w:val="28"/>
        </w:rPr>
        <w:t>1.Часть нарушений устраняется проверяемыми объектами в ходе проводимых контрольных мероприятий. В этом случае контроль производится непосредственно в ходе контрольного мероприятия на объекте путем проверки подтверждающих первичных документов. Результаты такого контроля отражаются в актах проверок, составляемых по итогам контрольного мероприятия.</w:t>
      </w:r>
    </w:p>
    <w:p w:rsidR="005F3135" w:rsidRPr="00F7521C" w:rsidRDefault="005F3135" w:rsidP="00B3696A">
      <w:pPr>
        <w:spacing w:after="0" w:line="240" w:lineRule="auto"/>
        <w:ind w:firstLine="709"/>
        <w:jc w:val="both"/>
        <w:rPr>
          <w:rFonts w:ascii="Times New Roman" w:hAnsi="Times New Roman"/>
          <w:sz w:val="28"/>
          <w:szCs w:val="28"/>
        </w:rPr>
      </w:pPr>
      <w:r w:rsidRPr="00F7521C">
        <w:rPr>
          <w:rFonts w:ascii="Times New Roman" w:hAnsi="Times New Roman"/>
          <w:sz w:val="28"/>
          <w:szCs w:val="28"/>
        </w:rPr>
        <w:t>2. По результатам проверок проверяемым организациям и учреждениям направлено 1 представление.</w:t>
      </w:r>
    </w:p>
    <w:p w:rsidR="005F3135" w:rsidRPr="00F7521C" w:rsidRDefault="005F3135" w:rsidP="00B3696A">
      <w:pPr>
        <w:spacing w:after="0" w:line="240" w:lineRule="auto"/>
        <w:ind w:firstLine="680"/>
        <w:jc w:val="both"/>
        <w:rPr>
          <w:rFonts w:ascii="Times New Roman" w:hAnsi="Times New Roman"/>
          <w:sz w:val="28"/>
          <w:szCs w:val="28"/>
        </w:rPr>
      </w:pPr>
      <w:r w:rsidRPr="00F7521C">
        <w:rPr>
          <w:rFonts w:ascii="Times New Roman" w:hAnsi="Times New Roman"/>
          <w:sz w:val="28"/>
          <w:szCs w:val="28"/>
        </w:rPr>
        <w:lastRenderedPageBreak/>
        <w:t>По результатам представления от органов местного самоуправления, проверяемых организации и учреждении Контрольно-счетной палатой Бардымского муниципального округа Пермского края получена информация об устранении выявленных нарушений и недостатков.</w:t>
      </w:r>
    </w:p>
    <w:p w:rsidR="005F3135" w:rsidRPr="00F7521C" w:rsidRDefault="005F3135" w:rsidP="00B3696A">
      <w:pPr>
        <w:spacing w:after="0" w:line="240" w:lineRule="auto"/>
        <w:ind w:firstLine="709"/>
        <w:jc w:val="both"/>
        <w:rPr>
          <w:rFonts w:ascii="Times New Roman" w:hAnsi="Times New Roman"/>
          <w:sz w:val="28"/>
          <w:szCs w:val="28"/>
        </w:rPr>
      </w:pPr>
      <w:r w:rsidRPr="00F7521C">
        <w:rPr>
          <w:rFonts w:ascii="Times New Roman" w:hAnsi="Times New Roman"/>
          <w:sz w:val="28"/>
          <w:szCs w:val="28"/>
        </w:rPr>
        <w:t xml:space="preserve">Все отчеты по результатам контрольных мероприятий, в соответствии с Положением о </w:t>
      </w:r>
      <w:r w:rsidRPr="00F7521C">
        <w:rPr>
          <w:rFonts w:ascii="Times New Roman" w:hAnsi="Times New Roman"/>
          <w:iCs/>
          <w:sz w:val="28"/>
          <w:szCs w:val="28"/>
        </w:rPr>
        <w:t>Контрольно-счетной палаты</w:t>
      </w:r>
      <w:r w:rsidRPr="00F7521C">
        <w:rPr>
          <w:rFonts w:ascii="Times New Roman" w:hAnsi="Times New Roman"/>
          <w:sz w:val="28"/>
          <w:szCs w:val="28"/>
        </w:rPr>
        <w:t xml:space="preserve"> Бардымского муниципального округа Пермского края, направлялись в Думу Бардымского муниципального округа, Прокуратуру Бардымского района.</w:t>
      </w:r>
    </w:p>
    <w:p w:rsidR="005F3135" w:rsidRPr="00F7521C" w:rsidRDefault="005F3135" w:rsidP="00B3696A">
      <w:pPr>
        <w:spacing w:after="0" w:line="240" w:lineRule="auto"/>
        <w:ind w:firstLine="709"/>
        <w:jc w:val="both"/>
        <w:rPr>
          <w:rFonts w:ascii="Times New Roman" w:hAnsi="Times New Roman"/>
          <w:sz w:val="28"/>
          <w:szCs w:val="28"/>
        </w:rPr>
      </w:pPr>
      <w:r w:rsidRPr="00F7521C">
        <w:rPr>
          <w:rFonts w:ascii="Times New Roman" w:hAnsi="Times New Roman"/>
          <w:sz w:val="28"/>
          <w:szCs w:val="28"/>
        </w:rPr>
        <w:t xml:space="preserve">В отчетном году были задействованы все формы реагирования на факты выявленных нарушений, предусмотренные Положением о </w:t>
      </w:r>
      <w:r w:rsidRPr="00F7521C">
        <w:rPr>
          <w:rFonts w:ascii="Times New Roman" w:hAnsi="Times New Roman"/>
          <w:iCs/>
          <w:sz w:val="28"/>
          <w:szCs w:val="28"/>
        </w:rPr>
        <w:t>Контрольно-счетной палате</w:t>
      </w:r>
      <w:r w:rsidRPr="00F7521C">
        <w:rPr>
          <w:rFonts w:ascii="Times New Roman" w:hAnsi="Times New Roman"/>
          <w:sz w:val="28"/>
          <w:szCs w:val="28"/>
        </w:rPr>
        <w:t xml:space="preserve"> Бардымского муниципального округа Пермского края.</w:t>
      </w:r>
    </w:p>
    <w:p w:rsidR="005F3135" w:rsidRPr="00F7521C" w:rsidRDefault="005F3135" w:rsidP="00B3696A">
      <w:pPr>
        <w:spacing w:after="0" w:line="240" w:lineRule="auto"/>
        <w:ind w:firstLine="680"/>
        <w:jc w:val="both"/>
        <w:rPr>
          <w:rFonts w:ascii="Times New Roman" w:hAnsi="Times New Roman"/>
          <w:sz w:val="28"/>
          <w:szCs w:val="28"/>
        </w:rPr>
      </w:pPr>
      <w:r w:rsidRPr="00F7521C">
        <w:rPr>
          <w:rFonts w:ascii="Times New Roman" w:hAnsi="Times New Roman"/>
          <w:sz w:val="28"/>
          <w:szCs w:val="28"/>
        </w:rPr>
        <w:t xml:space="preserve">По результатам контрольных мероприятий </w:t>
      </w:r>
      <w:r w:rsidRPr="00F7521C">
        <w:rPr>
          <w:rFonts w:ascii="Times New Roman" w:hAnsi="Times New Roman"/>
          <w:iCs/>
          <w:sz w:val="28"/>
          <w:szCs w:val="28"/>
        </w:rPr>
        <w:t>Контрольно-счетной палаты</w:t>
      </w:r>
      <w:r w:rsidRPr="00F7521C">
        <w:rPr>
          <w:rFonts w:ascii="Times New Roman" w:hAnsi="Times New Roman"/>
          <w:sz w:val="28"/>
          <w:szCs w:val="28"/>
        </w:rPr>
        <w:t xml:space="preserve">  Бардымского муниципального округа Пермского края разработаны предложения 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действующего законодательства, руководителям проверяемых организаций в виде заключений, представлений, а также все материалы по контрольным мероприятиям направлены в правоохранительные органы для рассмотрения вопросов и применения мер прокурорского реагирования. </w:t>
      </w:r>
    </w:p>
    <w:p w:rsidR="005F3135" w:rsidRPr="00F7521C" w:rsidRDefault="005F3135" w:rsidP="00B3696A">
      <w:pPr>
        <w:suppressAutoHyphens/>
        <w:spacing w:after="0" w:line="240" w:lineRule="auto"/>
        <w:ind w:firstLine="680"/>
        <w:jc w:val="both"/>
        <w:rPr>
          <w:rFonts w:ascii="Times New Roman" w:hAnsi="Times New Roman"/>
          <w:sz w:val="28"/>
          <w:szCs w:val="28"/>
          <w:lang w:eastAsia="ar-SA"/>
        </w:rPr>
      </w:pPr>
      <w:r w:rsidRPr="00F7521C">
        <w:rPr>
          <w:rFonts w:ascii="Times New Roman" w:hAnsi="Times New Roman"/>
          <w:sz w:val="28"/>
          <w:szCs w:val="28"/>
          <w:lang w:eastAsia="ar-SA"/>
        </w:rPr>
        <w:t xml:space="preserve"> Выявленные, но не устраненные в ходе проверок недостатки и нереализованные, изложенные в заключениях и представлениях, находятся на контроле Контрольно</w:t>
      </w:r>
      <w:r w:rsidRPr="00F7521C">
        <w:rPr>
          <w:rFonts w:ascii="Times New Roman" w:hAnsi="Times New Roman"/>
          <w:iCs/>
          <w:sz w:val="28"/>
          <w:szCs w:val="28"/>
        </w:rPr>
        <w:t xml:space="preserve">-счетной палаты </w:t>
      </w:r>
      <w:r w:rsidRPr="00F7521C">
        <w:rPr>
          <w:rFonts w:ascii="Times New Roman" w:hAnsi="Times New Roman"/>
          <w:sz w:val="28"/>
          <w:szCs w:val="28"/>
          <w:lang w:eastAsia="ar-SA"/>
        </w:rPr>
        <w:t xml:space="preserve">Бардымского </w:t>
      </w:r>
      <w:r w:rsidRPr="00F7521C">
        <w:rPr>
          <w:rFonts w:ascii="Times New Roman" w:hAnsi="Times New Roman"/>
          <w:sz w:val="28"/>
          <w:szCs w:val="28"/>
        </w:rPr>
        <w:t>муниципального округа Пермского края</w:t>
      </w:r>
      <w:r w:rsidRPr="00F7521C">
        <w:rPr>
          <w:rFonts w:ascii="Times New Roman" w:hAnsi="Times New Roman"/>
          <w:sz w:val="28"/>
          <w:szCs w:val="28"/>
          <w:lang w:eastAsia="ar-SA"/>
        </w:rPr>
        <w:t xml:space="preserve">, по ним проводится соответствующая работа.  </w:t>
      </w:r>
    </w:p>
    <w:p w:rsidR="005F3135" w:rsidRPr="00F7521C" w:rsidRDefault="005F3135" w:rsidP="00B3696A">
      <w:pPr>
        <w:tabs>
          <w:tab w:val="left" w:pos="2085"/>
        </w:tabs>
        <w:suppressAutoHyphens/>
        <w:spacing w:after="0" w:line="240" w:lineRule="auto"/>
        <w:ind w:firstLine="680"/>
        <w:jc w:val="both"/>
        <w:rPr>
          <w:rFonts w:ascii="Times New Roman" w:hAnsi="Times New Roman"/>
          <w:sz w:val="28"/>
          <w:szCs w:val="28"/>
          <w:lang w:eastAsia="ar-SA"/>
        </w:rPr>
      </w:pPr>
      <w:r w:rsidRPr="00F7521C">
        <w:rPr>
          <w:rFonts w:ascii="Times New Roman" w:hAnsi="Times New Roman"/>
          <w:sz w:val="28"/>
          <w:szCs w:val="28"/>
          <w:lang w:eastAsia="ar-SA"/>
        </w:rPr>
        <w:t xml:space="preserve">В целях предотвращения нарушений бюджетного законодательства и иных нормативных правовых актов, </w:t>
      </w:r>
      <w:r w:rsidRPr="00F7521C">
        <w:rPr>
          <w:rFonts w:ascii="Times New Roman" w:hAnsi="Times New Roman"/>
          <w:iCs/>
          <w:sz w:val="28"/>
          <w:szCs w:val="28"/>
        </w:rPr>
        <w:t>Контрольно-счетная палата</w:t>
      </w:r>
      <w:r w:rsidRPr="00F7521C">
        <w:rPr>
          <w:rFonts w:ascii="Times New Roman" w:hAnsi="Times New Roman"/>
          <w:sz w:val="28"/>
          <w:szCs w:val="28"/>
          <w:lang w:eastAsia="ar-SA"/>
        </w:rPr>
        <w:t xml:space="preserve"> Бардымского </w:t>
      </w:r>
      <w:r w:rsidRPr="00F7521C">
        <w:rPr>
          <w:rFonts w:ascii="Times New Roman" w:hAnsi="Times New Roman"/>
          <w:sz w:val="28"/>
          <w:szCs w:val="28"/>
        </w:rPr>
        <w:t xml:space="preserve">муниципального округа Пермского края </w:t>
      </w:r>
      <w:r w:rsidRPr="00F7521C">
        <w:rPr>
          <w:rFonts w:ascii="Times New Roman" w:hAnsi="Times New Roman"/>
          <w:sz w:val="28"/>
          <w:szCs w:val="28"/>
          <w:lang w:eastAsia="ar-SA"/>
        </w:rPr>
        <w:t xml:space="preserve">систематически исследует причины выявленных нарушений и их влияние на процессы формирования и исполнения бюджета округа, использования муниципальной собственности, анализирует и обобщает итоги проводимых контрольных мероприятий. </w:t>
      </w:r>
    </w:p>
    <w:p w:rsidR="005F3135" w:rsidRPr="00F7521C" w:rsidRDefault="005F3135" w:rsidP="00B3696A">
      <w:pPr>
        <w:suppressAutoHyphens/>
        <w:spacing w:after="0" w:line="240" w:lineRule="auto"/>
        <w:ind w:firstLine="680"/>
        <w:jc w:val="both"/>
        <w:rPr>
          <w:rFonts w:ascii="Times New Roman" w:hAnsi="Times New Roman"/>
          <w:color w:val="FF3333"/>
          <w:sz w:val="28"/>
          <w:szCs w:val="28"/>
          <w:lang w:eastAsia="ar-SA"/>
        </w:rPr>
      </w:pPr>
      <w:r w:rsidRPr="00F7521C">
        <w:rPr>
          <w:rFonts w:ascii="Times New Roman" w:hAnsi="Times New Roman"/>
          <w:sz w:val="28"/>
          <w:szCs w:val="28"/>
          <w:lang w:eastAsia="ar-SA"/>
        </w:rPr>
        <w:t xml:space="preserve">Итоги контрольных мероприятий, проведенных в 2021 году, рассмотрены в коллективе Контрольно-счетной палаты Бардымского </w:t>
      </w:r>
      <w:r w:rsidRPr="00F7521C">
        <w:rPr>
          <w:rFonts w:ascii="Times New Roman" w:hAnsi="Times New Roman"/>
          <w:sz w:val="28"/>
          <w:szCs w:val="28"/>
        </w:rPr>
        <w:t>муниципального округа Пермского края</w:t>
      </w:r>
      <w:r w:rsidRPr="00F7521C">
        <w:rPr>
          <w:rFonts w:ascii="Times New Roman" w:hAnsi="Times New Roman"/>
          <w:sz w:val="28"/>
          <w:szCs w:val="28"/>
          <w:lang w:eastAsia="ar-SA"/>
        </w:rPr>
        <w:t>.</w:t>
      </w:r>
    </w:p>
    <w:p w:rsidR="005F3135" w:rsidRDefault="005F3135" w:rsidP="00B3696A">
      <w:pPr>
        <w:suppressAutoHyphens/>
        <w:spacing w:after="0" w:line="240" w:lineRule="auto"/>
        <w:ind w:firstLine="680"/>
        <w:jc w:val="both"/>
        <w:rPr>
          <w:rFonts w:ascii="Times New Roman" w:hAnsi="Times New Roman"/>
          <w:bCs/>
          <w:sz w:val="28"/>
          <w:szCs w:val="28"/>
        </w:rPr>
      </w:pPr>
      <w:r w:rsidRPr="00F7521C">
        <w:rPr>
          <w:rFonts w:ascii="Times New Roman" w:hAnsi="Times New Roman"/>
          <w:iCs/>
          <w:sz w:val="28"/>
          <w:szCs w:val="28"/>
        </w:rPr>
        <w:t>Контрольно-счетная палата</w:t>
      </w:r>
      <w:r w:rsidRPr="00F7521C">
        <w:rPr>
          <w:rFonts w:ascii="Times New Roman" w:hAnsi="Times New Roman"/>
          <w:bCs/>
          <w:sz w:val="28"/>
          <w:szCs w:val="28"/>
        </w:rPr>
        <w:t xml:space="preserve"> Бардымского </w:t>
      </w:r>
      <w:r w:rsidRPr="00F7521C">
        <w:rPr>
          <w:rFonts w:ascii="Times New Roman" w:hAnsi="Times New Roman"/>
          <w:sz w:val="28"/>
          <w:szCs w:val="28"/>
        </w:rPr>
        <w:t xml:space="preserve">муниципального округа Пермского края </w:t>
      </w:r>
      <w:r w:rsidRPr="00F7521C">
        <w:rPr>
          <w:rFonts w:ascii="Times New Roman" w:hAnsi="Times New Roman"/>
          <w:bCs/>
          <w:sz w:val="28"/>
          <w:szCs w:val="28"/>
        </w:rPr>
        <w:t xml:space="preserve">вынуждена констатировать, что уровень реализации и принятия мер по устранению замечаний и финансовых нарушений, выявленных по результатам контрольных мероприятий, является недостаточным и во многом объясняется отсутствием норм бюджетного законодательства по блокировке расходов, а также по вопросу привлечения к ответственности за неэффективное расходование бюджетных средств.    </w:t>
      </w:r>
    </w:p>
    <w:p w:rsidR="00B3696A" w:rsidRPr="00F7521C" w:rsidRDefault="00B3696A" w:rsidP="00B3696A">
      <w:pPr>
        <w:suppressAutoHyphens/>
        <w:spacing w:after="0" w:line="240" w:lineRule="auto"/>
        <w:ind w:firstLine="680"/>
        <w:jc w:val="both"/>
        <w:rPr>
          <w:rFonts w:ascii="Times New Roman" w:hAnsi="Times New Roman"/>
          <w:bCs/>
          <w:sz w:val="28"/>
          <w:szCs w:val="28"/>
        </w:rPr>
      </w:pPr>
    </w:p>
    <w:p w:rsidR="005F3135" w:rsidRDefault="005F3135" w:rsidP="00B3696A">
      <w:pPr>
        <w:spacing w:after="0" w:line="240" w:lineRule="auto"/>
        <w:ind w:firstLine="709"/>
        <w:jc w:val="both"/>
        <w:rPr>
          <w:rFonts w:ascii="Times New Roman" w:hAnsi="Times New Roman"/>
          <w:b/>
          <w:bCs/>
          <w:sz w:val="28"/>
          <w:szCs w:val="28"/>
        </w:rPr>
      </w:pPr>
      <w:r w:rsidRPr="00F7521C">
        <w:rPr>
          <w:rFonts w:ascii="Times New Roman" w:hAnsi="Times New Roman"/>
          <w:b/>
          <w:bCs/>
          <w:sz w:val="28"/>
          <w:szCs w:val="28"/>
        </w:rPr>
        <w:t xml:space="preserve"> 5.Сведения об информировании общ</w:t>
      </w:r>
      <w:r w:rsidR="00B3696A">
        <w:rPr>
          <w:rFonts w:ascii="Times New Roman" w:hAnsi="Times New Roman"/>
          <w:b/>
          <w:bCs/>
          <w:sz w:val="28"/>
          <w:szCs w:val="28"/>
        </w:rPr>
        <w:t>ественности и иной деятельности</w:t>
      </w:r>
    </w:p>
    <w:p w:rsidR="00B3696A" w:rsidRPr="00F7521C" w:rsidRDefault="00B3696A" w:rsidP="00B3696A">
      <w:pPr>
        <w:spacing w:after="0" w:line="240" w:lineRule="auto"/>
        <w:ind w:firstLine="709"/>
        <w:jc w:val="both"/>
        <w:rPr>
          <w:rFonts w:ascii="Times New Roman" w:hAnsi="Times New Roman"/>
          <w:b/>
          <w:bCs/>
          <w:sz w:val="28"/>
          <w:szCs w:val="28"/>
        </w:rPr>
      </w:pPr>
    </w:p>
    <w:p w:rsidR="005F3135" w:rsidRPr="00F7521C" w:rsidRDefault="005F3135" w:rsidP="00B3696A">
      <w:pPr>
        <w:spacing w:after="0" w:line="240" w:lineRule="auto"/>
        <w:ind w:firstLine="567"/>
        <w:jc w:val="both"/>
        <w:rPr>
          <w:rFonts w:ascii="Times New Roman" w:hAnsi="Times New Roman"/>
          <w:bCs/>
          <w:sz w:val="28"/>
          <w:szCs w:val="28"/>
        </w:rPr>
      </w:pPr>
      <w:r w:rsidRPr="00F7521C">
        <w:rPr>
          <w:rFonts w:ascii="Times New Roman" w:hAnsi="Times New Roman"/>
          <w:bCs/>
          <w:sz w:val="28"/>
          <w:szCs w:val="28"/>
        </w:rPr>
        <w:t xml:space="preserve">В соответствии с требованиями Федеральных законов от  09.02.2009 № 8-ФЗ «Об обеспечении доступа к информации о деятельности государственных органов и органов местного самоуправления», от 07.02.2011 №6-ФЗ «Об общих принципах </w:t>
      </w:r>
      <w:r w:rsidRPr="00F7521C">
        <w:rPr>
          <w:rFonts w:ascii="Times New Roman" w:hAnsi="Times New Roman"/>
          <w:bCs/>
          <w:sz w:val="28"/>
          <w:szCs w:val="28"/>
        </w:rPr>
        <w:lastRenderedPageBreak/>
        <w:t xml:space="preserve">организации деятельности контрольно-счетных органов субъектов Российской Федерации и муниципальных образований»  в 2021 году опубликованы материалы о деятельности  Контрольно-счетной палаты Бардымского </w:t>
      </w:r>
      <w:r w:rsidRPr="00F7521C">
        <w:rPr>
          <w:rFonts w:ascii="Times New Roman" w:hAnsi="Times New Roman"/>
          <w:sz w:val="28"/>
          <w:szCs w:val="28"/>
        </w:rPr>
        <w:t xml:space="preserve">муниципального округа Пермского края </w:t>
      </w:r>
      <w:r w:rsidRPr="00F7521C">
        <w:rPr>
          <w:rFonts w:ascii="Times New Roman" w:hAnsi="Times New Roman"/>
          <w:bCs/>
          <w:sz w:val="28"/>
          <w:szCs w:val="28"/>
        </w:rPr>
        <w:t>на сайте администрации  Бардымского муниципального округа в информационно-телекоммуникационной сети Интернет.</w:t>
      </w:r>
    </w:p>
    <w:p w:rsidR="005F3135" w:rsidRPr="00F7521C" w:rsidRDefault="005F3135" w:rsidP="00B3696A">
      <w:pPr>
        <w:spacing w:after="0" w:line="240" w:lineRule="auto"/>
        <w:ind w:firstLine="567"/>
        <w:jc w:val="both"/>
        <w:rPr>
          <w:rFonts w:ascii="Times New Roman" w:hAnsi="Times New Roman"/>
          <w:bCs/>
          <w:sz w:val="28"/>
          <w:szCs w:val="28"/>
        </w:rPr>
      </w:pPr>
      <w:r w:rsidRPr="00F7521C">
        <w:rPr>
          <w:rFonts w:ascii="Times New Roman" w:hAnsi="Times New Roman"/>
          <w:bCs/>
          <w:sz w:val="28"/>
          <w:szCs w:val="28"/>
        </w:rPr>
        <w:tab/>
        <w:t>Информация о результатах всех проведенных контрольных мероприятий своевременно направлялась председателю Думы Бардымского муниципального округа, главе муниципального округа - главе администрации Бардымского муниципального округа, Прокуратуре Бардымского района.</w:t>
      </w:r>
    </w:p>
    <w:p w:rsidR="005F3135" w:rsidRPr="00F7521C" w:rsidRDefault="005F3135" w:rsidP="00B3696A">
      <w:pPr>
        <w:spacing w:after="0" w:line="240" w:lineRule="auto"/>
        <w:ind w:firstLine="567"/>
        <w:jc w:val="both"/>
        <w:rPr>
          <w:rFonts w:ascii="Times New Roman" w:hAnsi="Times New Roman"/>
          <w:b/>
          <w:bCs/>
          <w:sz w:val="28"/>
          <w:szCs w:val="28"/>
        </w:rPr>
      </w:pPr>
      <w:r w:rsidRPr="00F7521C">
        <w:rPr>
          <w:rFonts w:ascii="Times New Roman" w:hAnsi="Times New Roman"/>
          <w:bCs/>
          <w:sz w:val="28"/>
          <w:szCs w:val="28"/>
        </w:rPr>
        <w:t xml:space="preserve">В 2021 году сотрудники Контрольно-счетной палаты Бардымского </w:t>
      </w:r>
      <w:r w:rsidRPr="00F7521C">
        <w:rPr>
          <w:rFonts w:ascii="Times New Roman" w:hAnsi="Times New Roman"/>
          <w:sz w:val="28"/>
          <w:szCs w:val="28"/>
        </w:rPr>
        <w:t xml:space="preserve">муниципального округа Пермского края </w:t>
      </w:r>
      <w:r w:rsidRPr="00F7521C">
        <w:rPr>
          <w:rFonts w:ascii="Times New Roman" w:hAnsi="Times New Roman"/>
          <w:bCs/>
          <w:sz w:val="28"/>
          <w:szCs w:val="28"/>
        </w:rPr>
        <w:t xml:space="preserve">принимали участие в совещании </w:t>
      </w:r>
      <w:r w:rsidRPr="00F7521C">
        <w:rPr>
          <w:rFonts w:ascii="Times New Roman" w:hAnsi="Times New Roman"/>
          <w:sz w:val="28"/>
          <w:szCs w:val="28"/>
        </w:rPr>
        <w:t>Ассоциации контрольно-счетных органов муниципальных образований Пермского края «Юг»</w:t>
      </w:r>
      <w:r w:rsidRPr="00F7521C">
        <w:rPr>
          <w:rFonts w:ascii="Times New Roman" w:hAnsi="Times New Roman"/>
          <w:bCs/>
          <w:sz w:val="28"/>
          <w:szCs w:val="28"/>
        </w:rPr>
        <w:t>. На совещании обсуждались наиболее важные вопросы деятельности контрольно-счетных органов, осуществлялся обмен опытом.</w:t>
      </w:r>
    </w:p>
    <w:p w:rsidR="005F3135" w:rsidRPr="00F7521C" w:rsidRDefault="005F3135" w:rsidP="00B3696A">
      <w:pPr>
        <w:spacing w:after="0" w:line="240" w:lineRule="auto"/>
        <w:ind w:firstLine="567"/>
        <w:jc w:val="both"/>
        <w:rPr>
          <w:rFonts w:ascii="Times New Roman" w:hAnsi="Times New Roman"/>
          <w:bCs/>
          <w:sz w:val="28"/>
          <w:szCs w:val="28"/>
        </w:rPr>
      </w:pPr>
      <w:r w:rsidRPr="00F7521C">
        <w:rPr>
          <w:rFonts w:ascii="Times New Roman" w:hAnsi="Times New Roman"/>
          <w:bCs/>
          <w:sz w:val="28"/>
          <w:szCs w:val="28"/>
        </w:rPr>
        <w:t xml:space="preserve">В течение отчетного года Контрольно-счетная палата Бардымского </w:t>
      </w:r>
      <w:r w:rsidRPr="00F7521C">
        <w:rPr>
          <w:rFonts w:ascii="Times New Roman" w:hAnsi="Times New Roman"/>
          <w:sz w:val="28"/>
          <w:szCs w:val="28"/>
        </w:rPr>
        <w:t xml:space="preserve">муниципального округа Пермского края </w:t>
      </w:r>
      <w:r w:rsidRPr="00F7521C">
        <w:rPr>
          <w:rFonts w:ascii="Times New Roman" w:hAnsi="Times New Roman"/>
          <w:bCs/>
          <w:sz w:val="28"/>
          <w:szCs w:val="28"/>
        </w:rPr>
        <w:t>регулярно принимала участие в заседаниях постоянных комиссий Думы Бардымского муниципального округа, на балансовых комиссиях Бардымского муниципального округа, осуществляла постоянное взаимодействие по вопросам текущей деятельности с Контрольно-счетной палатой Пермского края и Ассоциацией контрольно-счетных органов «Юг».</w:t>
      </w:r>
    </w:p>
    <w:p w:rsidR="005F3135" w:rsidRPr="00F7521C" w:rsidRDefault="005F3135" w:rsidP="00B3696A">
      <w:pPr>
        <w:spacing w:after="0" w:line="240" w:lineRule="auto"/>
        <w:ind w:firstLine="567"/>
        <w:jc w:val="both"/>
        <w:rPr>
          <w:rFonts w:ascii="Times New Roman" w:hAnsi="Times New Roman"/>
          <w:bCs/>
          <w:sz w:val="28"/>
          <w:szCs w:val="28"/>
        </w:rPr>
      </w:pPr>
      <w:r w:rsidRPr="00F7521C">
        <w:rPr>
          <w:rFonts w:ascii="Times New Roman" w:hAnsi="Times New Roman"/>
          <w:bCs/>
          <w:sz w:val="28"/>
          <w:szCs w:val="28"/>
        </w:rPr>
        <w:t xml:space="preserve">В 2021 году Контрольно-счетной палатой Бардымского муниципального округа Пермского края продолжена работа по реализации норм Федерального закона от 07.02.2011 № 6-ФЗ «Общих принципах организации и деятельности контрольно-счетных органов субъектов Российской Федерации и муниципальных образований» в части стандартизации деятельности Контрольно-счетной палаты Бардымского </w:t>
      </w:r>
      <w:r w:rsidRPr="00F7521C">
        <w:rPr>
          <w:rFonts w:ascii="Times New Roman" w:hAnsi="Times New Roman"/>
          <w:sz w:val="28"/>
          <w:szCs w:val="28"/>
        </w:rPr>
        <w:t xml:space="preserve">муниципального округа Пермского края </w:t>
      </w:r>
      <w:r w:rsidRPr="00F7521C">
        <w:rPr>
          <w:rFonts w:ascii="Times New Roman" w:hAnsi="Times New Roman"/>
          <w:bCs/>
          <w:sz w:val="28"/>
          <w:szCs w:val="28"/>
        </w:rPr>
        <w:t xml:space="preserve">и совершенствования методического обеспечения. </w:t>
      </w:r>
    </w:p>
    <w:p w:rsidR="005F3135" w:rsidRPr="00F7521C" w:rsidRDefault="005F3135" w:rsidP="00B3696A">
      <w:pPr>
        <w:spacing w:after="0" w:line="240" w:lineRule="auto"/>
        <w:ind w:firstLine="567"/>
        <w:jc w:val="both"/>
        <w:rPr>
          <w:rFonts w:ascii="Times New Roman" w:hAnsi="Times New Roman"/>
          <w:sz w:val="28"/>
          <w:szCs w:val="28"/>
          <w:shd w:val="clear" w:color="auto" w:fill="FFFFFF"/>
        </w:rPr>
      </w:pPr>
      <w:r w:rsidRPr="00F7521C">
        <w:rPr>
          <w:rFonts w:ascii="Times New Roman" w:hAnsi="Times New Roman"/>
          <w:sz w:val="28"/>
          <w:szCs w:val="28"/>
          <w:shd w:val="clear" w:color="auto" w:fill="FFFFFF"/>
        </w:rPr>
        <w:t>В связи с поправками в Федеральный закон от 07.02.2011 г. № 6-ФЗ "</w:t>
      </w:r>
      <w:hyperlink r:id="rId14" w:history="1">
        <w:r w:rsidRPr="00F7521C">
          <w:rPr>
            <w:rFonts w:ascii="Times New Roman" w:hAnsi="Times New Roman"/>
            <w:sz w:val="28"/>
            <w:szCs w:val="28"/>
            <w:bdr w:val="none" w:sz="0" w:space="0" w:color="auto" w:frame="1"/>
          </w:rPr>
          <w:t>Об общих принципах организации и деятельности контрольно-счетных органов субъектов Российской Федерации и муниципальных образований</w:t>
        </w:r>
      </w:hyperlink>
      <w:r w:rsidRPr="00F7521C">
        <w:rPr>
          <w:rFonts w:ascii="Times New Roman" w:hAnsi="Times New Roman"/>
          <w:sz w:val="28"/>
          <w:szCs w:val="28"/>
          <w:shd w:val="clear" w:color="auto" w:fill="FFFFFF"/>
        </w:rPr>
        <w:t>". (Федеральный закон от 01.07.2021 г. № 255-ФЗ "</w:t>
      </w:r>
      <w:hyperlink r:id="rId15" w:history="1">
        <w:r w:rsidRPr="00F7521C">
          <w:rPr>
            <w:rFonts w:ascii="Times New Roman" w:hAnsi="Times New Roman"/>
            <w:sz w:val="28"/>
            <w:szCs w:val="28"/>
            <w:bdr w:val="none" w:sz="0" w:space="0" w:color="auto" w:frame="1"/>
          </w:rPr>
          <w:t>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hyperlink>
      <w:r w:rsidRPr="00F7521C">
        <w:rPr>
          <w:rFonts w:ascii="Times New Roman" w:hAnsi="Times New Roman"/>
          <w:sz w:val="28"/>
          <w:szCs w:val="28"/>
          <w:shd w:val="clear" w:color="auto" w:fill="FFFFFF"/>
        </w:rPr>
        <w:t>") в течений 2021 года проведены ряд мероприятий для приведения в соответствие НПА КСП Бардымского муниципального округа Пермского края согласно внесенных изменений.В 2021 году в связи с образованием нового муниципального образования Бардымский муниципальный округ на основании Решения Думы Бардымского муниципального округа №99 от 27.01.2021 года произошла ликвидация КСП Бардымского муниципального района как юридического лица. 31 января 2021 года всем четырем работникам были вручены уведомления о сокращении.</w:t>
      </w:r>
    </w:p>
    <w:p w:rsidR="005F3135" w:rsidRPr="00F7521C" w:rsidRDefault="005F3135" w:rsidP="00B3696A">
      <w:pPr>
        <w:spacing w:after="0" w:line="240" w:lineRule="auto"/>
        <w:ind w:firstLine="567"/>
        <w:jc w:val="both"/>
        <w:rPr>
          <w:rFonts w:ascii="Times New Roman" w:hAnsi="Times New Roman"/>
          <w:sz w:val="28"/>
          <w:szCs w:val="28"/>
          <w:shd w:val="clear" w:color="auto" w:fill="FFFFFF"/>
        </w:rPr>
      </w:pPr>
      <w:r w:rsidRPr="00F7521C">
        <w:rPr>
          <w:rFonts w:ascii="Times New Roman" w:hAnsi="Times New Roman"/>
          <w:sz w:val="28"/>
          <w:szCs w:val="28"/>
          <w:shd w:val="clear" w:color="auto" w:fill="FFFFFF"/>
        </w:rPr>
        <w:t xml:space="preserve">Решением Думы Бардымского муниципального округа №98 от 27.01.2021 года создано юридическое лицо – Контрольно-счётная палата Бардымского муниципального округа Пермского края. Штат утвержден в количестве трех единиц. </w:t>
      </w:r>
    </w:p>
    <w:p w:rsidR="005F3135" w:rsidRPr="00F7521C" w:rsidRDefault="005F3135" w:rsidP="00B3696A">
      <w:pPr>
        <w:spacing w:after="0" w:line="240" w:lineRule="auto"/>
        <w:ind w:firstLine="567"/>
        <w:jc w:val="both"/>
        <w:rPr>
          <w:rFonts w:ascii="Times New Roman" w:hAnsi="Times New Roman"/>
          <w:sz w:val="28"/>
          <w:szCs w:val="28"/>
          <w:shd w:val="clear" w:color="auto" w:fill="FFFFFF"/>
        </w:rPr>
      </w:pPr>
      <w:r w:rsidRPr="00F7521C">
        <w:rPr>
          <w:rFonts w:ascii="Times New Roman" w:hAnsi="Times New Roman"/>
          <w:sz w:val="28"/>
          <w:szCs w:val="28"/>
          <w:shd w:val="clear" w:color="auto" w:fill="FFFFFF"/>
        </w:rPr>
        <w:lastRenderedPageBreak/>
        <w:t>Решением Думы Бардымского муниципального округа №187 от 21.04.2021 года на должность назначена председатель. Решениями Думы Бардымского муниципального округа №188, 189 от 21.04.2021 назначены 2 аудитора, приняты на работу с 01.05.2021 года.</w:t>
      </w:r>
    </w:p>
    <w:p w:rsidR="005F3135" w:rsidRPr="00F7521C" w:rsidRDefault="005F3135" w:rsidP="00B3696A">
      <w:pPr>
        <w:spacing w:after="0" w:line="240" w:lineRule="auto"/>
        <w:ind w:firstLine="567"/>
        <w:jc w:val="both"/>
        <w:rPr>
          <w:rFonts w:ascii="Times New Roman" w:hAnsi="Times New Roman"/>
          <w:bCs/>
          <w:sz w:val="28"/>
          <w:szCs w:val="28"/>
        </w:rPr>
      </w:pPr>
      <w:r w:rsidRPr="00F7521C">
        <w:rPr>
          <w:rFonts w:ascii="Times New Roman" w:hAnsi="Times New Roman"/>
          <w:sz w:val="28"/>
          <w:szCs w:val="28"/>
          <w:shd w:val="clear" w:color="auto" w:fill="FFFFFF"/>
        </w:rPr>
        <w:t xml:space="preserve">Таким образом в течении 2021 года произошло сокращение численности работников Контрольно-счётной палаты с четырех до трех. </w:t>
      </w:r>
    </w:p>
    <w:p w:rsidR="005F3135" w:rsidRPr="00F7521C" w:rsidRDefault="005F3135" w:rsidP="00B3696A">
      <w:pPr>
        <w:spacing w:after="0" w:line="240" w:lineRule="auto"/>
        <w:ind w:firstLine="567"/>
        <w:jc w:val="both"/>
        <w:rPr>
          <w:rFonts w:ascii="Times New Roman" w:hAnsi="Times New Roman"/>
          <w:sz w:val="28"/>
          <w:szCs w:val="28"/>
          <w:shd w:val="clear" w:color="auto" w:fill="FFFFFF"/>
        </w:rPr>
      </w:pPr>
      <w:r w:rsidRPr="00F7521C">
        <w:rPr>
          <w:rFonts w:ascii="Times New Roman" w:hAnsi="Times New Roman"/>
          <w:bCs/>
          <w:sz w:val="28"/>
          <w:szCs w:val="28"/>
        </w:rPr>
        <w:t>В связи с принятием Федерального закона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вступающего в силу с 30.09.2021, устанавливающего, что должности председателя, заместителя председателя и аудиторов контрольно-счетного органа муниципального образования относятся исключительно к муниципальным должностям, произведено</w:t>
      </w:r>
      <w:r w:rsidRPr="00F7521C">
        <w:rPr>
          <w:rFonts w:ascii="Times New Roman" w:hAnsi="Times New Roman"/>
          <w:sz w:val="28"/>
          <w:szCs w:val="28"/>
        </w:rPr>
        <w:t xml:space="preserve"> изменение статуса должностей председателя и аудиторов.</w:t>
      </w:r>
    </w:p>
    <w:p w:rsidR="005F3135" w:rsidRPr="00F7521C" w:rsidRDefault="005F3135" w:rsidP="00B3696A">
      <w:pPr>
        <w:spacing w:after="0" w:line="240" w:lineRule="auto"/>
        <w:ind w:firstLine="567"/>
        <w:jc w:val="both"/>
        <w:rPr>
          <w:rFonts w:ascii="Times New Roman" w:hAnsi="Times New Roman"/>
          <w:sz w:val="28"/>
          <w:szCs w:val="28"/>
          <w:shd w:val="clear" w:color="auto" w:fill="FFFFFF"/>
        </w:rPr>
      </w:pPr>
      <w:r w:rsidRPr="00F7521C">
        <w:rPr>
          <w:rFonts w:ascii="Times New Roman" w:hAnsi="Times New Roman"/>
          <w:sz w:val="28"/>
          <w:szCs w:val="28"/>
          <w:shd w:val="clear" w:color="auto" w:fill="FFFFFF"/>
        </w:rPr>
        <w:t>Решениями Думы Бардымского муниципального округа №359, 360, 361 от 15.12.2021 года на муниципальную должность с 30 декабря 2021 года назначены председатель и аудиторы Контрольно-счетной палаты Бардымского муниципального округа.</w:t>
      </w:r>
    </w:p>
    <w:p w:rsidR="005F3135" w:rsidRPr="00F7521C" w:rsidRDefault="005F3135" w:rsidP="00B3696A">
      <w:pPr>
        <w:spacing w:after="0" w:line="240" w:lineRule="auto"/>
        <w:ind w:firstLine="567"/>
        <w:jc w:val="both"/>
        <w:rPr>
          <w:rFonts w:ascii="Times New Roman" w:hAnsi="Times New Roman"/>
          <w:sz w:val="28"/>
          <w:szCs w:val="28"/>
        </w:rPr>
      </w:pPr>
      <w:r w:rsidRPr="00F7521C">
        <w:rPr>
          <w:rFonts w:ascii="Times New Roman" w:hAnsi="Times New Roman"/>
          <w:sz w:val="28"/>
          <w:szCs w:val="28"/>
        </w:rPr>
        <w:t xml:space="preserve">По состоянию на 1 января 2022 года из 3 сотрудников Контрольно-счетной палаты Бардымского муниципального округа Пермского края все имеют высшее образование. Понимая, что высокий профессионализм работников является залогом успешного осуществления ими практической деятельности, Контрольно-счетная палата Бардымского муниципального округа Пермского края постоянно проводит профессиональную переподготовку и повышение квалификации сотрудников. </w:t>
      </w:r>
    </w:p>
    <w:p w:rsidR="00E12B03" w:rsidRDefault="00E12B03" w:rsidP="00B3696A">
      <w:pPr>
        <w:spacing w:after="0" w:line="240" w:lineRule="auto"/>
        <w:ind w:firstLine="720"/>
        <w:jc w:val="center"/>
        <w:rPr>
          <w:rFonts w:ascii="Times New Roman" w:hAnsi="Times New Roman"/>
          <w:b/>
          <w:sz w:val="28"/>
          <w:szCs w:val="28"/>
        </w:rPr>
      </w:pPr>
    </w:p>
    <w:p w:rsidR="005F3135" w:rsidRDefault="005F3135" w:rsidP="00B3696A">
      <w:pPr>
        <w:spacing w:after="0" w:line="240" w:lineRule="auto"/>
        <w:ind w:firstLine="720"/>
        <w:jc w:val="center"/>
        <w:rPr>
          <w:rFonts w:ascii="Times New Roman" w:hAnsi="Times New Roman"/>
          <w:b/>
          <w:sz w:val="28"/>
          <w:szCs w:val="28"/>
        </w:rPr>
      </w:pPr>
      <w:r w:rsidRPr="00F7521C">
        <w:rPr>
          <w:rFonts w:ascii="Times New Roman" w:hAnsi="Times New Roman"/>
          <w:b/>
          <w:sz w:val="28"/>
          <w:szCs w:val="28"/>
        </w:rPr>
        <w:t>Заключительная часть</w:t>
      </w:r>
    </w:p>
    <w:p w:rsidR="00B3696A" w:rsidRPr="00F7521C" w:rsidRDefault="00B3696A" w:rsidP="00B3696A">
      <w:pPr>
        <w:spacing w:after="0" w:line="240" w:lineRule="auto"/>
        <w:ind w:firstLine="720"/>
        <w:jc w:val="center"/>
        <w:rPr>
          <w:rFonts w:ascii="Times New Roman" w:hAnsi="Times New Roman"/>
          <w:b/>
          <w:sz w:val="28"/>
          <w:szCs w:val="28"/>
        </w:rPr>
      </w:pPr>
    </w:p>
    <w:p w:rsidR="005F3135" w:rsidRPr="00F7521C" w:rsidRDefault="005F3135" w:rsidP="00B3696A">
      <w:pPr>
        <w:spacing w:after="0" w:line="240" w:lineRule="auto"/>
        <w:ind w:firstLine="720"/>
        <w:jc w:val="both"/>
        <w:rPr>
          <w:rFonts w:ascii="Times New Roman" w:hAnsi="Times New Roman"/>
          <w:sz w:val="28"/>
          <w:szCs w:val="28"/>
        </w:rPr>
      </w:pPr>
      <w:r w:rsidRPr="00F7521C">
        <w:rPr>
          <w:rFonts w:ascii="Times New Roman" w:hAnsi="Times New Roman"/>
          <w:sz w:val="28"/>
          <w:szCs w:val="28"/>
        </w:rPr>
        <w:t>Целостная система контроля и принятие мер по реализации представлений Контрольно - счетной палаты Бардымского муниципального округа Пермского края возможна только в условиях открытого взаимодействия с Думой Бардымского муниципального округа, администрацией, контролирующими, финансовыми органами.</w:t>
      </w:r>
    </w:p>
    <w:p w:rsidR="005F3135" w:rsidRPr="00F7521C" w:rsidRDefault="005F3135" w:rsidP="00B3696A">
      <w:pPr>
        <w:spacing w:after="0" w:line="240" w:lineRule="auto"/>
        <w:ind w:firstLine="680"/>
        <w:jc w:val="both"/>
        <w:rPr>
          <w:rFonts w:ascii="Times New Roman" w:hAnsi="Times New Roman"/>
          <w:sz w:val="28"/>
          <w:szCs w:val="28"/>
        </w:rPr>
      </w:pPr>
      <w:r w:rsidRPr="00F7521C">
        <w:rPr>
          <w:rFonts w:ascii="Times New Roman" w:hAnsi="Times New Roman"/>
          <w:sz w:val="28"/>
          <w:szCs w:val="28"/>
        </w:rPr>
        <w:t>Одной из ключевых задач является сейчас и будет являться на ближайшие годы – аудит в сфере закупок товаров, работ, услуг в рамках полномочий, определенных положениями Федерального закона о контрактной системе. Это направление охватывает значительную часть бюджетных средств. Конечный результат осуществления аудита закупок заключается в оценке законности, целесообразности, обоснованности, своевременности, эффективности и результативности расходов бюджета на закупки.</w:t>
      </w:r>
    </w:p>
    <w:p w:rsidR="005F3135" w:rsidRPr="00F7521C" w:rsidRDefault="005F3135" w:rsidP="00B3696A">
      <w:pPr>
        <w:spacing w:after="0" w:line="240" w:lineRule="auto"/>
        <w:ind w:firstLine="720"/>
        <w:jc w:val="both"/>
        <w:rPr>
          <w:rFonts w:ascii="Times New Roman" w:hAnsi="Times New Roman"/>
          <w:sz w:val="28"/>
          <w:szCs w:val="28"/>
        </w:rPr>
      </w:pPr>
      <w:r w:rsidRPr="00F7521C">
        <w:rPr>
          <w:rFonts w:ascii="Times New Roman" w:hAnsi="Times New Roman"/>
          <w:sz w:val="28"/>
          <w:szCs w:val="28"/>
        </w:rPr>
        <w:t>Необходимо в дальнейшем развивать механизм «обратной связи» с объектами контрольных мероприятий, конечной целью которого является устранение выявленных нарушений и замечаний, а также реализация рекомендаций Контрольно-счетной палаты Бардымского муниципального округа Пермского края по итогам проведенных проверок.</w:t>
      </w:r>
    </w:p>
    <w:p w:rsidR="005F3135" w:rsidRPr="00F7521C" w:rsidRDefault="005F3135" w:rsidP="00B3696A">
      <w:pPr>
        <w:spacing w:after="0" w:line="240" w:lineRule="auto"/>
        <w:ind w:firstLine="709"/>
        <w:jc w:val="both"/>
        <w:outlineLvl w:val="8"/>
        <w:rPr>
          <w:rFonts w:ascii="Times New Roman" w:hAnsi="Times New Roman"/>
          <w:sz w:val="28"/>
          <w:szCs w:val="28"/>
        </w:rPr>
      </w:pPr>
      <w:r w:rsidRPr="00F7521C">
        <w:rPr>
          <w:rFonts w:ascii="Times New Roman" w:hAnsi="Times New Roman"/>
          <w:sz w:val="28"/>
          <w:szCs w:val="28"/>
        </w:rPr>
        <w:lastRenderedPageBreak/>
        <w:t>Задачи, поставленные перед Контрольно-счетной палатой Бардымского муниципального округа Пермского края на 2021 год, выполнены в полном объеме.</w:t>
      </w:r>
    </w:p>
    <w:p w:rsidR="005F3135" w:rsidRPr="00F7521C" w:rsidRDefault="005F3135" w:rsidP="00B3696A">
      <w:pPr>
        <w:spacing w:after="0" w:line="240" w:lineRule="auto"/>
        <w:ind w:firstLine="679"/>
        <w:jc w:val="both"/>
        <w:rPr>
          <w:rFonts w:ascii="Times New Roman" w:hAnsi="Times New Roman"/>
          <w:color w:val="000000"/>
          <w:sz w:val="28"/>
          <w:szCs w:val="28"/>
        </w:rPr>
      </w:pPr>
      <w:r w:rsidRPr="00F7521C">
        <w:rPr>
          <w:rFonts w:ascii="Times New Roman" w:hAnsi="Times New Roman"/>
          <w:color w:val="000000"/>
          <w:sz w:val="28"/>
          <w:szCs w:val="28"/>
        </w:rPr>
        <w:t xml:space="preserve"> Направления деятельности, в которых задействованы муниципальные финансы, с определенной периодичностью подвержены контролю.</w:t>
      </w:r>
    </w:p>
    <w:p w:rsidR="005F3135" w:rsidRPr="00F7521C" w:rsidRDefault="005F3135" w:rsidP="00B3696A">
      <w:pPr>
        <w:spacing w:after="0" w:line="240" w:lineRule="auto"/>
        <w:ind w:firstLine="680"/>
        <w:jc w:val="both"/>
        <w:outlineLvl w:val="8"/>
        <w:rPr>
          <w:rFonts w:ascii="Times New Roman" w:hAnsi="Times New Roman"/>
          <w:sz w:val="28"/>
          <w:szCs w:val="28"/>
        </w:rPr>
      </w:pPr>
      <w:r w:rsidRPr="00F7521C">
        <w:rPr>
          <w:rFonts w:ascii="Times New Roman" w:hAnsi="Times New Roman"/>
          <w:sz w:val="28"/>
          <w:szCs w:val="28"/>
        </w:rPr>
        <w:t>Контрольно-счетная палата Бардымского муниципального округа Пермского края, в рамках своих полномочий, продолжит работу по выявлению нарушений в финансово-бюджетной сфере, а также при распоряжении и управлении объектами муниципальной собственности.</w:t>
      </w:r>
    </w:p>
    <w:p w:rsidR="005F3135" w:rsidRPr="00F7521C" w:rsidRDefault="005F3135" w:rsidP="00B3696A">
      <w:pPr>
        <w:spacing w:after="0" w:line="240" w:lineRule="auto"/>
        <w:ind w:firstLine="680"/>
        <w:jc w:val="both"/>
        <w:outlineLvl w:val="8"/>
        <w:rPr>
          <w:rFonts w:ascii="Times New Roman" w:hAnsi="Times New Roman"/>
          <w:sz w:val="28"/>
          <w:szCs w:val="28"/>
        </w:rPr>
      </w:pPr>
      <w:r w:rsidRPr="00F7521C">
        <w:rPr>
          <w:rFonts w:ascii="Times New Roman" w:hAnsi="Times New Roman"/>
          <w:sz w:val="28"/>
          <w:szCs w:val="28"/>
        </w:rPr>
        <w:t xml:space="preserve">План работы Контрольно-счетной палаты Бардымского муниципального округа Пермского края на 2022 год, направленный на повышение эффективности контроля, сформирован на основе предложений аудиторов. В план работы Контрольно-счетной палаты Бардымского муниципального округа Пермского края на 2022 год включены контрольно - ревизионные мероприятия по предложению правоохранительных органов, а также предусмотрены экспертно - аналитические мероприятия. </w:t>
      </w:r>
    </w:p>
    <w:p w:rsidR="005F3135" w:rsidRPr="00F7521C" w:rsidRDefault="005F3135" w:rsidP="00B3696A">
      <w:pPr>
        <w:spacing w:after="0" w:line="240" w:lineRule="auto"/>
        <w:ind w:firstLine="680"/>
        <w:jc w:val="both"/>
        <w:rPr>
          <w:rFonts w:ascii="Times New Roman" w:hAnsi="Times New Roman"/>
          <w:sz w:val="28"/>
          <w:szCs w:val="28"/>
        </w:rPr>
      </w:pPr>
      <w:r w:rsidRPr="00F7521C">
        <w:rPr>
          <w:rFonts w:ascii="Times New Roman" w:hAnsi="Times New Roman"/>
          <w:sz w:val="28"/>
          <w:szCs w:val="28"/>
        </w:rPr>
        <w:t>Будет продолжена работа в части:</w:t>
      </w:r>
    </w:p>
    <w:p w:rsidR="005F3135" w:rsidRPr="00F7521C" w:rsidRDefault="005F3135" w:rsidP="00B3696A">
      <w:pPr>
        <w:spacing w:after="0" w:line="240" w:lineRule="auto"/>
        <w:ind w:firstLine="680"/>
        <w:jc w:val="both"/>
        <w:rPr>
          <w:rFonts w:ascii="Times New Roman" w:hAnsi="Times New Roman"/>
          <w:sz w:val="28"/>
          <w:szCs w:val="28"/>
        </w:rPr>
      </w:pPr>
      <w:r w:rsidRPr="00F7521C">
        <w:rPr>
          <w:rFonts w:ascii="Times New Roman" w:hAnsi="Times New Roman"/>
          <w:sz w:val="28"/>
          <w:szCs w:val="28"/>
        </w:rPr>
        <w:t>- стандартизации деятельности Контрольно-счетной палаты Бардымского муниципального округа Пермского края и совершенствования методического обеспечения;</w:t>
      </w:r>
    </w:p>
    <w:p w:rsidR="005F3135" w:rsidRPr="00F7521C" w:rsidRDefault="005F3135" w:rsidP="00B3696A">
      <w:pPr>
        <w:spacing w:after="0" w:line="240" w:lineRule="auto"/>
        <w:ind w:firstLine="680"/>
        <w:jc w:val="both"/>
        <w:rPr>
          <w:rFonts w:ascii="Times New Roman" w:hAnsi="Times New Roman"/>
          <w:sz w:val="28"/>
          <w:szCs w:val="28"/>
        </w:rPr>
      </w:pPr>
      <w:r w:rsidRPr="00F7521C">
        <w:rPr>
          <w:rFonts w:ascii="Times New Roman" w:hAnsi="Times New Roman"/>
          <w:sz w:val="28"/>
          <w:szCs w:val="28"/>
        </w:rPr>
        <w:t>- формировании кадрового резерва;</w:t>
      </w:r>
    </w:p>
    <w:p w:rsidR="005F3135" w:rsidRPr="00F7521C" w:rsidRDefault="005F3135" w:rsidP="00B3696A">
      <w:pPr>
        <w:spacing w:after="0" w:line="240" w:lineRule="auto"/>
        <w:ind w:firstLine="680"/>
        <w:jc w:val="both"/>
        <w:rPr>
          <w:rFonts w:ascii="Times New Roman" w:hAnsi="Times New Roman"/>
          <w:sz w:val="28"/>
          <w:szCs w:val="28"/>
        </w:rPr>
      </w:pPr>
      <w:r w:rsidRPr="00F7521C">
        <w:rPr>
          <w:rFonts w:ascii="Times New Roman" w:hAnsi="Times New Roman"/>
          <w:sz w:val="28"/>
          <w:szCs w:val="28"/>
        </w:rPr>
        <w:t>- взаимодействия в рамках Ассоциации контрольно-счетных органов Пермского края;</w:t>
      </w:r>
    </w:p>
    <w:p w:rsidR="005F3135" w:rsidRPr="00F7521C" w:rsidRDefault="005F3135" w:rsidP="00B3696A">
      <w:pPr>
        <w:spacing w:after="0" w:line="240" w:lineRule="auto"/>
        <w:ind w:firstLine="680"/>
        <w:jc w:val="both"/>
        <w:rPr>
          <w:rFonts w:ascii="Times New Roman" w:hAnsi="Times New Roman"/>
          <w:sz w:val="28"/>
          <w:szCs w:val="28"/>
        </w:rPr>
      </w:pPr>
      <w:r w:rsidRPr="00F7521C">
        <w:rPr>
          <w:rFonts w:ascii="Times New Roman" w:hAnsi="Times New Roman"/>
          <w:sz w:val="28"/>
          <w:szCs w:val="28"/>
        </w:rPr>
        <w:t>- совместной деятельности с депутатами Думы Бардымского муниципального округа, которая будет направлена на проведение мероприятий по выявлению резервов по увеличению доходов бюджета округа в части неналоговых поступлений, а также оптимизации расходов бюджета округа;</w:t>
      </w:r>
    </w:p>
    <w:p w:rsidR="005F3135" w:rsidRPr="00F7521C" w:rsidRDefault="005F3135" w:rsidP="00B3696A">
      <w:pPr>
        <w:spacing w:after="0" w:line="240" w:lineRule="auto"/>
        <w:ind w:firstLine="680"/>
        <w:jc w:val="both"/>
        <w:rPr>
          <w:rFonts w:ascii="Times New Roman" w:hAnsi="Times New Roman"/>
          <w:sz w:val="28"/>
          <w:szCs w:val="28"/>
        </w:rPr>
      </w:pPr>
      <w:r w:rsidRPr="00F7521C">
        <w:rPr>
          <w:rFonts w:ascii="Times New Roman" w:hAnsi="Times New Roman"/>
          <w:sz w:val="28"/>
          <w:szCs w:val="28"/>
        </w:rPr>
        <w:t xml:space="preserve"> - участия представителей Контрольно-счетной палаты Бардымского муниципального округа Пермского края в рабочих группах при Администрации Бардымского муниципального округа.      </w:t>
      </w:r>
    </w:p>
    <w:p w:rsidR="005F3135" w:rsidRPr="00F7521C" w:rsidRDefault="005F3135" w:rsidP="00B3696A">
      <w:pPr>
        <w:spacing w:after="0" w:line="240" w:lineRule="auto"/>
        <w:ind w:firstLine="680"/>
        <w:jc w:val="both"/>
        <w:rPr>
          <w:rFonts w:ascii="Times New Roman" w:hAnsi="Times New Roman"/>
          <w:sz w:val="28"/>
          <w:szCs w:val="28"/>
        </w:rPr>
      </w:pPr>
      <w:r w:rsidRPr="00F7521C">
        <w:rPr>
          <w:rFonts w:ascii="Times New Roman" w:hAnsi="Times New Roman"/>
          <w:sz w:val="28"/>
          <w:szCs w:val="28"/>
        </w:rPr>
        <w:t>В условиях программного метода бюджетного планирования в определенной мере меняется направление от контроля за целевым использованием бюджетных средств к контролю за достижением социально-значимых результатов.</w:t>
      </w:r>
    </w:p>
    <w:p w:rsidR="005F3135" w:rsidRPr="00F7521C" w:rsidRDefault="005F3135" w:rsidP="00B3696A">
      <w:pPr>
        <w:spacing w:after="0" w:line="240" w:lineRule="auto"/>
        <w:ind w:firstLine="680"/>
        <w:jc w:val="both"/>
        <w:outlineLvl w:val="8"/>
        <w:rPr>
          <w:rFonts w:ascii="Times New Roman" w:hAnsi="Times New Roman"/>
          <w:color w:val="000000"/>
          <w:sz w:val="28"/>
          <w:szCs w:val="28"/>
        </w:rPr>
      </w:pPr>
      <w:r w:rsidRPr="00F7521C">
        <w:rPr>
          <w:rFonts w:ascii="Times New Roman" w:hAnsi="Times New Roman"/>
          <w:sz w:val="28"/>
          <w:szCs w:val="28"/>
        </w:rPr>
        <w:t xml:space="preserve"> В</w:t>
      </w:r>
      <w:r w:rsidRPr="00F7521C">
        <w:rPr>
          <w:rFonts w:ascii="Times New Roman" w:hAnsi="Times New Roman"/>
          <w:color w:val="000000"/>
          <w:sz w:val="28"/>
          <w:szCs w:val="28"/>
        </w:rPr>
        <w:t xml:space="preserve"> 2022 году Контрольно-счетная палата Бардымского </w:t>
      </w:r>
      <w:r w:rsidRPr="00F7521C">
        <w:rPr>
          <w:rFonts w:ascii="Times New Roman" w:hAnsi="Times New Roman"/>
          <w:sz w:val="28"/>
          <w:szCs w:val="28"/>
        </w:rPr>
        <w:t xml:space="preserve">муниципального округа Пермского края </w:t>
      </w:r>
      <w:r w:rsidRPr="00F7521C">
        <w:rPr>
          <w:rFonts w:ascii="Times New Roman" w:hAnsi="Times New Roman"/>
          <w:color w:val="000000"/>
          <w:sz w:val="28"/>
          <w:szCs w:val="28"/>
        </w:rPr>
        <w:t>продолжит совершенствование своей работы, а также продолжит работу в направлении реализации приоритетов развития Бардымского муниципального округа, в рамках которой будет осуществлен комплекс мероприятий по контролю исполнения бюджета Бардымского муниципального округа, выявлению резервов пополнения доходной части бюджета, и больше внимания будет уделено оптимизации его расходной части.</w:t>
      </w:r>
    </w:p>
    <w:p w:rsidR="005F3135" w:rsidRPr="00F7521C" w:rsidRDefault="005F3135" w:rsidP="00B3696A">
      <w:pPr>
        <w:spacing w:after="0" w:line="240" w:lineRule="auto"/>
        <w:ind w:firstLine="680"/>
        <w:jc w:val="both"/>
        <w:rPr>
          <w:rFonts w:ascii="Times New Roman" w:hAnsi="Times New Roman"/>
          <w:color w:val="000000"/>
          <w:sz w:val="28"/>
          <w:szCs w:val="28"/>
        </w:rPr>
      </w:pPr>
      <w:r w:rsidRPr="00F7521C">
        <w:rPr>
          <w:rFonts w:ascii="Times New Roman" w:hAnsi="Times New Roman"/>
          <w:color w:val="000000"/>
          <w:sz w:val="28"/>
          <w:szCs w:val="28"/>
        </w:rPr>
        <w:t xml:space="preserve">В условиях реализации программно-целевого принципа планирования и исполнения бюджета требуется дальнейшее существенное укрепление экспертно-аналитического направления деятельности, сосредоточение усилий на работе по профилактике нарушений бюджетного процесса и предотвращению неэффективных расходов в ходе исполнения бюджета. Предполагается продолжить работу по дальнейшему развитию сотрудничества и взаимодействия по вопросам </w:t>
      </w:r>
      <w:r w:rsidRPr="00F7521C">
        <w:rPr>
          <w:rFonts w:ascii="Times New Roman" w:hAnsi="Times New Roman"/>
          <w:color w:val="000000"/>
          <w:sz w:val="28"/>
          <w:szCs w:val="28"/>
        </w:rPr>
        <w:lastRenderedPageBreak/>
        <w:t>совершенствования муниципального финансового контроля, взаимного обмена информацией и опытом со Счетной палатой Российской Федерации, Союзом муниципальных контрольно-счетных органов Российской Федерации, Ассоциацией контрольно-счетных органов Пермского края и контрольно-счетными органами муниципальных образований.</w:t>
      </w:r>
    </w:p>
    <w:p w:rsidR="005F3135" w:rsidRPr="00F7521C" w:rsidRDefault="005F3135" w:rsidP="00B3696A">
      <w:pPr>
        <w:spacing w:after="0" w:line="240" w:lineRule="auto"/>
        <w:ind w:firstLine="679"/>
        <w:jc w:val="both"/>
        <w:rPr>
          <w:rFonts w:ascii="Times New Roman" w:hAnsi="Times New Roman"/>
          <w:color w:val="000000"/>
          <w:sz w:val="28"/>
          <w:szCs w:val="28"/>
        </w:rPr>
      </w:pPr>
    </w:p>
    <w:p w:rsidR="005F3135" w:rsidRPr="00F7521C" w:rsidRDefault="005F3135" w:rsidP="00B3696A">
      <w:pPr>
        <w:spacing w:after="0" w:line="240" w:lineRule="auto"/>
        <w:jc w:val="both"/>
        <w:rPr>
          <w:rFonts w:ascii="Times New Roman" w:hAnsi="Times New Roman"/>
          <w:color w:val="000000"/>
          <w:sz w:val="28"/>
          <w:szCs w:val="28"/>
        </w:rPr>
      </w:pPr>
    </w:p>
    <w:sectPr w:rsidR="005F3135" w:rsidRPr="00F7521C" w:rsidSect="00A01B5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15F" w:rsidRDefault="00DF015F" w:rsidP="00A01B50">
      <w:pPr>
        <w:spacing w:after="0" w:line="240" w:lineRule="auto"/>
      </w:pPr>
      <w:r>
        <w:separator/>
      </w:r>
    </w:p>
  </w:endnote>
  <w:endnote w:type="continuationSeparator" w:id="1">
    <w:p w:rsidR="00DF015F" w:rsidRDefault="00DF015F" w:rsidP="00A01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15F" w:rsidRDefault="00DF015F" w:rsidP="00A01B50">
      <w:pPr>
        <w:spacing w:after="0" w:line="240" w:lineRule="auto"/>
      </w:pPr>
      <w:r>
        <w:separator/>
      </w:r>
    </w:p>
  </w:footnote>
  <w:footnote w:type="continuationSeparator" w:id="1">
    <w:p w:rsidR="00DF015F" w:rsidRDefault="00DF015F" w:rsidP="00A01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35B"/>
    <w:multiLevelType w:val="multilevel"/>
    <w:tmpl w:val="C6E027BE"/>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D9408DB"/>
    <w:multiLevelType w:val="hybridMultilevel"/>
    <w:tmpl w:val="2E5E4DFA"/>
    <w:lvl w:ilvl="0" w:tplc="CB3AEF2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A57EB7"/>
    <w:rsid w:val="00014E15"/>
    <w:rsid w:val="000429E5"/>
    <w:rsid w:val="000B16CA"/>
    <w:rsid w:val="000F03C2"/>
    <w:rsid w:val="001153C2"/>
    <w:rsid w:val="001436A1"/>
    <w:rsid w:val="001804C1"/>
    <w:rsid w:val="00186064"/>
    <w:rsid w:val="001A35FA"/>
    <w:rsid w:val="001B3D18"/>
    <w:rsid w:val="001E016F"/>
    <w:rsid w:val="001E62D4"/>
    <w:rsid w:val="00222223"/>
    <w:rsid w:val="0022479C"/>
    <w:rsid w:val="002526F6"/>
    <w:rsid w:val="00257D56"/>
    <w:rsid w:val="002619F1"/>
    <w:rsid w:val="002769CD"/>
    <w:rsid w:val="00281022"/>
    <w:rsid w:val="00293A82"/>
    <w:rsid w:val="002A5905"/>
    <w:rsid w:val="002A6B11"/>
    <w:rsid w:val="00301BCB"/>
    <w:rsid w:val="003231F0"/>
    <w:rsid w:val="00357C18"/>
    <w:rsid w:val="00371795"/>
    <w:rsid w:val="00383A6A"/>
    <w:rsid w:val="00397D5E"/>
    <w:rsid w:val="004425C5"/>
    <w:rsid w:val="00473DFA"/>
    <w:rsid w:val="00493401"/>
    <w:rsid w:val="004959F4"/>
    <w:rsid w:val="004B234F"/>
    <w:rsid w:val="004D056B"/>
    <w:rsid w:val="004E7F31"/>
    <w:rsid w:val="004F119E"/>
    <w:rsid w:val="004F3B08"/>
    <w:rsid w:val="0051566D"/>
    <w:rsid w:val="005A75CE"/>
    <w:rsid w:val="005D0562"/>
    <w:rsid w:val="005D05C7"/>
    <w:rsid w:val="005F3135"/>
    <w:rsid w:val="0063516A"/>
    <w:rsid w:val="006764D6"/>
    <w:rsid w:val="00687260"/>
    <w:rsid w:val="006A43FE"/>
    <w:rsid w:val="006C0178"/>
    <w:rsid w:val="006E4FB0"/>
    <w:rsid w:val="0070648E"/>
    <w:rsid w:val="007510E2"/>
    <w:rsid w:val="007D7E0E"/>
    <w:rsid w:val="007F4325"/>
    <w:rsid w:val="008919C4"/>
    <w:rsid w:val="008A3A84"/>
    <w:rsid w:val="009B7260"/>
    <w:rsid w:val="009E35AC"/>
    <w:rsid w:val="00A01B50"/>
    <w:rsid w:val="00A57EB7"/>
    <w:rsid w:val="00A61303"/>
    <w:rsid w:val="00A62F6E"/>
    <w:rsid w:val="00AB732C"/>
    <w:rsid w:val="00AD0154"/>
    <w:rsid w:val="00B22F4E"/>
    <w:rsid w:val="00B3696A"/>
    <w:rsid w:val="00B629EF"/>
    <w:rsid w:val="00B7288E"/>
    <w:rsid w:val="00B80CBA"/>
    <w:rsid w:val="00B8133B"/>
    <w:rsid w:val="00BC47BD"/>
    <w:rsid w:val="00BE245A"/>
    <w:rsid w:val="00C1266C"/>
    <w:rsid w:val="00C26F6B"/>
    <w:rsid w:val="00C45958"/>
    <w:rsid w:val="00C6115E"/>
    <w:rsid w:val="00C730F9"/>
    <w:rsid w:val="00CB2485"/>
    <w:rsid w:val="00CD6853"/>
    <w:rsid w:val="00D95045"/>
    <w:rsid w:val="00DF015F"/>
    <w:rsid w:val="00E0036E"/>
    <w:rsid w:val="00E12B03"/>
    <w:rsid w:val="00E22151"/>
    <w:rsid w:val="00E92916"/>
    <w:rsid w:val="00EE27C7"/>
    <w:rsid w:val="00EE4AE1"/>
    <w:rsid w:val="00F1205A"/>
    <w:rsid w:val="00F3424D"/>
    <w:rsid w:val="00F70F85"/>
    <w:rsid w:val="00F7521C"/>
    <w:rsid w:val="00FA3A5C"/>
    <w:rsid w:val="00FB3FEC"/>
    <w:rsid w:val="00FB4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F9"/>
    <w:rPr>
      <w:rFonts w:ascii="Calibri" w:eastAsia="Calibri" w:hAnsi="Calibri" w:cs="Times New Roman"/>
    </w:rPr>
  </w:style>
  <w:style w:type="paragraph" w:styleId="3">
    <w:name w:val="heading 3"/>
    <w:basedOn w:val="a"/>
    <w:next w:val="a"/>
    <w:link w:val="30"/>
    <w:qFormat/>
    <w:rsid w:val="000429E5"/>
    <w:pPr>
      <w:keepNext/>
      <w:spacing w:after="0" w:line="240" w:lineRule="auto"/>
      <w:ind w:right="-2" w:firstLine="546"/>
      <w:jc w:val="both"/>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 w:type="paragraph" w:styleId="a4">
    <w:name w:val="List Paragraph"/>
    <w:basedOn w:val="a"/>
    <w:uiPriority w:val="34"/>
    <w:qFormat/>
    <w:rsid w:val="00A01B50"/>
    <w:pPr>
      <w:spacing w:after="0" w:line="240" w:lineRule="auto"/>
      <w:ind w:left="720"/>
      <w:contextualSpacing/>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A01B5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1B50"/>
    <w:rPr>
      <w:rFonts w:ascii="Calibri" w:eastAsia="Calibri" w:hAnsi="Calibri" w:cs="Times New Roman"/>
    </w:rPr>
  </w:style>
  <w:style w:type="paragraph" w:styleId="a7">
    <w:name w:val="footer"/>
    <w:basedOn w:val="a"/>
    <w:link w:val="a8"/>
    <w:uiPriority w:val="99"/>
    <w:semiHidden/>
    <w:unhideWhenUsed/>
    <w:rsid w:val="00A01B5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01B50"/>
    <w:rPr>
      <w:rFonts w:ascii="Calibri" w:eastAsia="Calibri" w:hAnsi="Calibri" w:cs="Times New Roman"/>
    </w:rPr>
  </w:style>
  <w:style w:type="paragraph" w:styleId="a9">
    <w:name w:val="Normal (Web)"/>
    <w:basedOn w:val="a"/>
    <w:uiPriority w:val="99"/>
    <w:unhideWhenUsed/>
    <w:rsid w:val="00B81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A62F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30">
    <w:name w:val="Заголовок 3 Знак"/>
    <w:basedOn w:val="a0"/>
    <w:link w:val="3"/>
    <w:rsid w:val="000429E5"/>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5F31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313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41316">
      <w:bodyDiv w:val="1"/>
      <w:marLeft w:val="0"/>
      <w:marRight w:val="0"/>
      <w:marTop w:val="0"/>
      <w:marBottom w:val="0"/>
      <w:divBdr>
        <w:top w:val="none" w:sz="0" w:space="0" w:color="auto"/>
        <w:left w:val="none" w:sz="0" w:space="0" w:color="auto"/>
        <w:bottom w:val="none" w:sz="0" w:space="0" w:color="auto"/>
        <w:right w:val="none" w:sz="0" w:space="0" w:color="auto"/>
      </w:divBdr>
    </w:div>
    <w:div w:id="262881389">
      <w:bodyDiv w:val="1"/>
      <w:marLeft w:val="0"/>
      <w:marRight w:val="0"/>
      <w:marTop w:val="0"/>
      <w:marBottom w:val="0"/>
      <w:divBdr>
        <w:top w:val="none" w:sz="0" w:space="0" w:color="auto"/>
        <w:left w:val="none" w:sz="0" w:space="0" w:color="auto"/>
        <w:bottom w:val="none" w:sz="0" w:space="0" w:color="auto"/>
        <w:right w:val="none" w:sz="0" w:space="0" w:color="auto"/>
      </w:divBdr>
    </w:div>
    <w:div w:id="723525037">
      <w:bodyDiv w:val="1"/>
      <w:marLeft w:val="0"/>
      <w:marRight w:val="0"/>
      <w:marTop w:val="0"/>
      <w:marBottom w:val="0"/>
      <w:divBdr>
        <w:top w:val="none" w:sz="0" w:space="0" w:color="auto"/>
        <w:left w:val="none" w:sz="0" w:space="0" w:color="auto"/>
        <w:bottom w:val="none" w:sz="0" w:space="0" w:color="auto"/>
        <w:right w:val="none" w:sz="0" w:space="0" w:color="auto"/>
      </w:divBdr>
    </w:div>
    <w:div w:id="15893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base.garant.ru/401415638/"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base.garant.ru/1218269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33" b="0" i="0" u="none" strike="noStrike" baseline="0">
                <a:solidFill>
                  <a:srgbClr val="000000"/>
                </a:solidFill>
                <a:latin typeface="Calibri"/>
                <a:ea typeface="Calibri"/>
                <a:cs typeface="Calibri"/>
              </a:defRPr>
            </a:pPr>
            <a:r>
              <a:rPr lang="ru-RU"/>
              <a:t>Динамика контрольных мероприятий за 2018-2021</a:t>
            </a:r>
            <a:r>
              <a:rPr lang="ru-RU" baseline="0"/>
              <a:t> годы</a:t>
            </a:r>
            <a:endParaRPr lang="ru-RU"/>
          </a:p>
        </c:rich>
      </c:tx>
      <c:spPr>
        <a:noFill/>
        <a:ln w="25283">
          <a:noFill/>
        </a:ln>
      </c:spPr>
    </c:title>
    <c:plotArea>
      <c:layout>
        <c:manualLayout>
          <c:layoutTarget val="inner"/>
          <c:xMode val="edge"/>
          <c:yMode val="edge"/>
          <c:x val="8.2170542635658941E-2"/>
          <c:y val="0.18550724637681182"/>
          <c:w val="0.88527131782945745"/>
          <c:h val="0.36231884057971064"/>
        </c:manualLayout>
      </c:layout>
      <c:barChart>
        <c:barDir val="col"/>
        <c:grouping val="clustered"/>
        <c:ser>
          <c:idx val="0"/>
          <c:order val="0"/>
          <c:tx>
            <c:strRef>
              <c:f>Лист1!$B$1</c:f>
              <c:strCache>
                <c:ptCount val="1"/>
                <c:pt idx="0">
                  <c:v>контрольные мероприятия</c:v>
                </c:pt>
              </c:strCache>
            </c:strRef>
          </c:tx>
          <c:spPr>
            <a:solidFill>
              <a:srgbClr val="5B9BD5"/>
            </a:solidFill>
            <a:ln w="25283">
              <a:noFill/>
            </a:ln>
          </c:spPr>
          <c:dLbls>
            <c:spPr>
              <a:noFill/>
              <a:ln w="25283">
                <a:noFill/>
              </a:ln>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26</c:v>
                </c:pt>
                <c:pt idx="1">
                  <c:v>45</c:v>
                </c:pt>
                <c:pt idx="2">
                  <c:v>49</c:v>
                </c:pt>
                <c:pt idx="3">
                  <c:v>18</c:v>
                </c:pt>
              </c:numCache>
            </c:numRef>
          </c:val>
          <c:extLst xmlns:c16r2="http://schemas.microsoft.com/office/drawing/2015/06/chart">
            <c:ext xmlns:c16="http://schemas.microsoft.com/office/drawing/2014/chart" uri="{C3380CC4-5D6E-409C-BE32-E72D297353CC}">
              <c16:uniqueId val="{00000000-B5FB-4ADE-932F-81494F91D567}"/>
            </c:ext>
          </c:extLst>
        </c:ser>
        <c:ser>
          <c:idx val="1"/>
          <c:order val="1"/>
          <c:tx>
            <c:strRef>
              <c:f>Лист1!$C$1</c:f>
              <c:strCache>
                <c:ptCount val="1"/>
                <c:pt idx="0">
                  <c:v>количество объектов, охваченных контрольными мероприятиями</c:v>
                </c:pt>
              </c:strCache>
            </c:strRef>
          </c:tx>
          <c:dLbls>
            <c:spPr>
              <a:noFill/>
              <a:ln w="25283">
                <a:noFill/>
              </a:ln>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63</c:v>
                </c:pt>
                <c:pt idx="1">
                  <c:v>54</c:v>
                </c:pt>
                <c:pt idx="2">
                  <c:v>51</c:v>
                </c:pt>
                <c:pt idx="3">
                  <c:v>25</c:v>
                </c:pt>
              </c:numCache>
            </c:numRef>
          </c:val>
          <c:extLst xmlns:c16r2="http://schemas.microsoft.com/office/drawing/2015/06/chart">
            <c:ext xmlns:c16="http://schemas.microsoft.com/office/drawing/2014/chart" uri="{C3380CC4-5D6E-409C-BE32-E72D297353CC}">
              <c16:uniqueId val="{00000001-B5FB-4ADE-932F-81494F91D567}"/>
            </c:ext>
          </c:extLst>
        </c:ser>
        <c:ser>
          <c:idx val="2"/>
          <c:order val="2"/>
          <c:tx>
            <c:strRef>
              <c:f>Лист1!$D$1</c:f>
              <c:strCache>
                <c:ptCount val="1"/>
                <c:pt idx="0">
                  <c:v>эскперно-аналитическая деятельность</c:v>
                </c:pt>
              </c:strCache>
            </c:strRef>
          </c:tx>
          <c:dLbls>
            <c:spPr>
              <a:noFill/>
              <a:ln w="25283">
                <a:noFill/>
              </a:ln>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39</c:v>
                </c:pt>
                <c:pt idx="1">
                  <c:v>58</c:v>
                </c:pt>
                <c:pt idx="2">
                  <c:v>47</c:v>
                </c:pt>
                <c:pt idx="3">
                  <c:v>33</c:v>
                </c:pt>
              </c:numCache>
            </c:numRef>
          </c:val>
          <c:extLst xmlns:c16r2="http://schemas.microsoft.com/office/drawing/2015/06/chart">
            <c:ext xmlns:c16="http://schemas.microsoft.com/office/drawing/2014/chart" uri="{C3380CC4-5D6E-409C-BE32-E72D297353CC}">
              <c16:uniqueId val="{00000002-B5FB-4ADE-932F-81494F91D567}"/>
            </c:ext>
          </c:extLst>
        </c:ser>
        <c:gapWidth val="219"/>
        <c:overlap val="-27"/>
        <c:axId val="104496512"/>
        <c:axId val="106088704"/>
      </c:barChart>
      <c:catAx>
        <c:axId val="104496512"/>
        <c:scaling>
          <c:orientation val="minMax"/>
        </c:scaling>
        <c:axPos val="b"/>
        <c:numFmt formatCode="General" sourceLinked="1"/>
        <c:majorTickMark val="none"/>
        <c:tickLblPos val="nextTo"/>
        <c:spPr>
          <a:noFill/>
          <a:ln w="9481" cap="flat" cmpd="sng" algn="ctr">
            <a:solidFill>
              <a:schemeClr val="tx1">
                <a:lumMod val="15000"/>
                <a:lumOff val="85000"/>
              </a:schemeClr>
            </a:solidFill>
            <a:round/>
          </a:ln>
          <a:effectLst/>
        </c:spPr>
        <c:txPr>
          <a:bodyPr rot="0" vert="horz"/>
          <a:lstStyle/>
          <a:p>
            <a:pPr>
              <a:defRPr sz="1194" b="0" i="0" u="none" strike="noStrike" baseline="0">
                <a:solidFill>
                  <a:srgbClr val="000000"/>
                </a:solidFill>
                <a:latin typeface="Calibri"/>
                <a:ea typeface="Calibri"/>
                <a:cs typeface="Calibri"/>
              </a:defRPr>
            </a:pPr>
            <a:endParaRPr lang="ru-RU"/>
          </a:p>
        </c:txPr>
        <c:crossAx val="106088704"/>
        <c:crosses val="autoZero"/>
        <c:auto val="1"/>
        <c:lblAlgn val="ctr"/>
        <c:lblOffset val="100"/>
      </c:catAx>
      <c:valAx>
        <c:axId val="106088704"/>
        <c:scaling>
          <c:orientation val="minMax"/>
        </c:scaling>
        <c:axPos val="l"/>
        <c:majorGridlines>
          <c:spPr>
            <a:ln w="9481" cap="flat" cmpd="sng" algn="ctr">
              <a:solidFill>
                <a:schemeClr val="tx1">
                  <a:lumMod val="15000"/>
                  <a:lumOff val="85000"/>
                </a:schemeClr>
              </a:solidFill>
              <a:round/>
            </a:ln>
            <a:effectLst/>
          </c:spPr>
        </c:majorGridlines>
        <c:numFmt formatCode="General" sourceLinked="1"/>
        <c:majorTickMark val="none"/>
        <c:tickLblPos val="nextTo"/>
        <c:spPr>
          <a:ln w="6321">
            <a:noFill/>
          </a:ln>
        </c:spPr>
        <c:txPr>
          <a:bodyPr rot="0" vert="horz"/>
          <a:lstStyle/>
          <a:p>
            <a:pPr>
              <a:defRPr sz="1194" b="0" i="0" u="none" strike="noStrike" baseline="0">
                <a:solidFill>
                  <a:srgbClr val="000000"/>
                </a:solidFill>
                <a:latin typeface="Calibri"/>
                <a:ea typeface="Calibri"/>
                <a:cs typeface="Calibri"/>
              </a:defRPr>
            </a:pPr>
            <a:endParaRPr lang="ru-RU"/>
          </a:p>
        </c:txPr>
        <c:crossAx val="104496512"/>
        <c:crosses val="autoZero"/>
        <c:crossBetween val="between"/>
        <c:majorUnit val="20"/>
      </c:valAx>
    </c:plotArea>
    <c:legend>
      <c:legendPos val="r"/>
      <c:layout>
        <c:manualLayout>
          <c:xMode val="edge"/>
          <c:yMode val="edge"/>
          <c:x val="2.2669761484327894E-2"/>
          <c:y val="0.67177141115935846"/>
          <c:w val="0.75468476172495358"/>
          <c:h val="0.22694035277252617"/>
        </c:manualLayout>
      </c:layout>
      <c:spPr>
        <a:noFill/>
        <a:ln w="25283">
          <a:noFill/>
        </a:ln>
      </c:spPr>
      <c:txPr>
        <a:bodyPr/>
        <a:lstStyle/>
        <a:p>
          <a:pPr>
            <a:defRPr sz="1095" b="0" i="0" u="none" strike="noStrike" baseline="0">
              <a:solidFill>
                <a:srgbClr val="000000"/>
              </a:solidFill>
              <a:latin typeface="Calibri"/>
              <a:ea typeface="Calibri"/>
              <a:cs typeface="Calibri"/>
            </a:defRPr>
          </a:pPr>
          <a:endParaRPr lang="ru-RU"/>
        </a:p>
      </c:txPr>
    </c:legend>
    <c:plotVisOnly val="1"/>
    <c:dispBlanksAs val="gap"/>
  </c:chart>
  <c:spPr>
    <a:solidFill>
      <a:schemeClr val="bg1"/>
    </a:solidFill>
    <a:ln w="9481" cap="flat" cmpd="sng" algn="ctr">
      <a:solidFill>
        <a:schemeClr val="tx1">
          <a:lumMod val="15000"/>
          <a:lumOff val="85000"/>
        </a:schemeClr>
      </a:solidFill>
      <a:round/>
    </a:ln>
    <a:effectLst/>
  </c:spPr>
  <c:txPr>
    <a:bodyPr/>
    <a:lstStyle/>
    <a:p>
      <a:pPr>
        <a:defRPr sz="1194" b="0"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ru-RU"/>
              <a:t>Общая сумма выявленных нарушений, тыс.руб.</a:t>
            </a:r>
          </a:p>
        </c:rich>
      </c:tx>
      <c:spPr>
        <a:noFill/>
        <a:ln w="25399">
          <a:noFill/>
        </a:ln>
      </c:spPr>
    </c:title>
    <c:plotArea>
      <c:layout/>
      <c:barChart>
        <c:barDir val="col"/>
        <c:grouping val="clustered"/>
        <c:ser>
          <c:idx val="0"/>
          <c:order val="0"/>
          <c:tx>
            <c:strRef>
              <c:f>Лист1!$B$1</c:f>
              <c:strCache>
                <c:ptCount val="1"/>
                <c:pt idx="0">
                  <c:v>общая сумма выявленных нарушений, тыс.руб.</c:v>
                </c:pt>
              </c:strCache>
            </c:strRef>
          </c:tx>
          <c:spPr>
            <a:solidFill>
              <a:srgbClr val="5B9BD5"/>
            </a:solidFill>
            <a:ln w="25399">
              <a:noFill/>
            </a:ln>
          </c:spPr>
          <c:dLbls>
            <c:spPr>
              <a:noFill/>
              <a:ln w="25399">
                <a:noFill/>
              </a:ln>
            </c:spPr>
            <c:dLblPos val="outEnd"/>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5216</c:v>
                </c:pt>
                <c:pt idx="1">
                  <c:v>9037</c:v>
                </c:pt>
                <c:pt idx="2">
                  <c:v>3269.2</c:v>
                </c:pt>
                <c:pt idx="3">
                  <c:v>7753.9</c:v>
                </c:pt>
              </c:numCache>
            </c:numRef>
          </c:val>
          <c:extLst xmlns:c16r2="http://schemas.microsoft.com/office/drawing/2015/06/chart">
            <c:ext xmlns:c16="http://schemas.microsoft.com/office/drawing/2014/chart" uri="{C3380CC4-5D6E-409C-BE32-E72D297353CC}">
              <c16:uniqueId val="{00000000-0F94-4EEF-AC0A-413C4E2D2CF7}"/>
            </c:ext>
          </c:extLst>
        </c:ser>
        <c:ser>
          <c:idx val="1"/>
          <c:order val="1"/>
          <c:tx>
            <c:strRef>
              <c:f>Лист1!$C$1</c:f>
              <c:strCache>
                <c:ptCount val="1"/>
                <c:pt idx="0">
                  <c:v>количество контрольных мероприятий</c:v>
                </c:pt>
              </c:strCache>
            </c:strRef>
          </c:tx>
          <c:dLbls>
            <c:dLbl>
              <c:idx val="0"/>
              <c:tx>
                <c:rich>
                  <a:bodyPr wrap="square" lIns="38100" tIns="19050" rIns="38100" bIns="19050" anchor="ctr">
                    <a:spAutoFit/>
                  </a:bodyPr>
                  <a:lstStyle/>
                  <a:p>
                    <a:pPr>
                      <a:defRPr/>
                    </a:pPr>
                    <a:r>
                      <a:rPr lang="en-US"/>
                      <a:t>26</a:t>
                    </a:r>
                  </a:p>
                </c:rich>
              </c:tx>
              <c:spPr>
                <a:noFill/>
                <a:ln w="25399">
                  <a:noFill/>
                </a:ln>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94-4EEF-AC0A-413C4E2D2CF7}"/>
                </c:ext>
              </c:extLst>
            </c:dLbl>
            <c:dLbl>
              <c:idx val="1"/>
              <c:tx>
                <c:rich>
                  <a:bodyPr wrap="square" lIns="38100" tIns="19050" rIns="38100" bIns="19050" anchor="ctr">
                    <a:spAutoFit/>
                  </a:bodyPr>
                  <a:lstStyle/>
                  <a:p>
                    <a:pPr>
                      <a:defRPr/>
                    </a:pPr>
                    <a:r>
                      <a:rPr lang="en-US"/>
                      <a:t>45</a:t>
                    </a:r>
                  </a:p>
                </c:rich>
              </c:tx>
              <c:spPr>
                <a:noFill/>
                <a:ln w="25399">
                  <a:noFill/>
                </a:ln>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F94-4EEF-AC0A-413C4E2D2CF7}"/>
                </c:ext>
              </c:extLst>
            </c:dLbl>
            <c:dLbl>
              <c:idx val="2"/>
              <c:tx>
                <c:rich>
                  <a:bodyPr wrap="square" lIns="38100" tIns="19050" rIns="38100" bIns="19050" anchor="ctr">
                    <a:spAutoFit/>
                  </a:bodyPr>
                  <a:lstStyle/>
                  <a:p>
                    <a:pPr>
                      <a:defRPr/>
                    </a:pPr>
                    <a:r>
                      <a:rPr lang="en-US"/>
                      <a:t>49</a:t>
                    </a:r>
                  </a:p>
                </c:rich>
              </c:tx>
              <c:spPr>
                <a:noFill/>
                <a:ln w="25399">
                  <a:noFill/>
                </a:ln>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94-4EEF-AC0A-413C4E2D2CF7}"/>
                </c:ext>
              </c:extLst>
            </c:dLbl>
            <c:dLbl>
              <c:idx val="3"/>
              <c:tx>
                <c:rich>
                  <a:bodyPr wrap="square" lIns="38100" tIns="19050" rIns="38100" bIns="19050" anchor="ctr">
                    <a:spAutoFit/>
                  </a:bodyPr>
                  <a:lstStyle/>
                  <a:p>
                    <a:pPr>
                      <a:defRPr/>
                    </a:pPr>
                    <a:r>
                      <a:rPr lang="en-US"/>
                      <a:t>18</a:t>
                    </a:r>
                  </a:p>
                </c:rich>
              </c:tx>
              <c:spPr>
                <a:noFill/>
                <a:ln w="25399">
                  <a:noFill/>
                </a:ln>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F94-4EEF-AC0A-413C4E2D2CF7}"/>
                </c:ext>
              </c:extLst>
            </c:dLbl>
            <c:spPr>
              <a:noFill/>
              <a:ln w="25399">
                <a:noFill/>
              </a:ln>
            </c:spPr>
            <c:dLblPos val="outEnd"/>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260</c:v>
                </c:pt>
                <c:pt idx="1">
                  <c:v>450</c:v>
                </c:pt>
                <c:pt idx="2">
                  <c:v>490</c:v>
                </c:pt>
                <c:pt idx="3">
                  <c:v>180</c:v>
                </c:pt>
              </c:numCache>
            </c:numRef>
          </c:val>
          <c:extLst xmlns:c16r2="http://schemas.microsoft.com/office/drawing/2015/06/chart">
            <c:ext xmlns:c16="http://schemas.microsoft.com/office/drawing/2014/chart" uri="{C3380CC4-5D6E-409C-BE32-E72D297353CC}">
              <c16:uniqueId val="{00000005-0F94-4EEF-AC0A-413C4E2D2CF7}"/>
            </c:ext>
          </c:extLst>
        </c:ser>
        <c:gapWidth val="219"/>
        <c:overlap val="-27"/>
        <c:axId val="125796736"/>
        <c:axId val="125798656"/>
      </c:barChart>
      <c:catAx>
        <c:axId val="125796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125798656"/>
        <c:crosses val="autoZero"/>
        <c:auto val="1"/>
        <c:lblAlgn val="ctr"/>
        <c:lblOffset val="100"/>
      </c:catAx>
      <c:valAx>
        <c:axId val="125798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6350">
            <a:noFill/>
          </a:ln>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125796736"/>
        <c:crosses val="autoZero"/>
        <c:crossBetween val="between"/>
      </c:valAx>
      <c:spPr>
        <a:noFill/>
        <a:ln w="25399">
          <a:noFill/>
        </a:ln>
      </c:spPr>
    </c:plotArea>
    <c:legend>
      <c:legendPos val="r"/>
      <c:spPr>
        <a:noFill/>
        <a:ln w="25399">
          <a:noFill/>
        </a:ln>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92" b="1" i="0" u="none" strike="noStrike" baseline="0">
                <a:solidFill>
                  <a:srgbClr val="000000"/>
                </a:solidFill>
                <a:latin typeface="Times New Roman"/>
                <a:ea typeface="Times New Roman"/>
                <a:cs typeface="Times New Roman"/>
              </a:defRPr>
            </a:pPr>
            <a:r>
              <a:rPr lang="ru-RU"/>
              <a:t>Структура выявленных нарушений в 2021 г.</a:t>
            </a:r>
          </a:p>
        </c:rich>
      </c:tx>
      <c:layout>
        <c:manualLayout>
          <c:xMode val="edge"/>
          <c:yMode val="edge"/>
          <c:x val="0.13035714285714306"/>
          <c:y val="2.150537634408603E-2"/>
        </c:manualLayout>
      </c:layout>
      <c:spPr>
        <a:noFill/>
        <a:ln w="25267">
          <a:noFill/>
        </a:ln>
      </c:spPr>
    </c:title>
    <c:plotArea>
      <c:layout>
        <c:manualLayout>
          <c:layoutTarget val="inner"/>
          <c:xMode val="edge"/>
          <c:yMode val="edge"/>
          <c:x val="0.3250000000000004"/>
          <c:y val="0.38709677419354893"/>
          <c:w val="0.30535714285714288"/>
          <c:h val="0.61290322580645151"/>
        </c:manualLayout>
      </c:layout>
      <c:pieChart>
        <c:varyColors val="1"/>
        <c:ser>
          <c:idx val="0"/>
          <c:order val="0"/>
          <c:tx>
            <c:strRef>
              <c:f>Sheet1!$A$2</c:f>
              <c:strCache>
                <c:ptCount val="1"/>
              </c:strCache>
            </c:strRef>
          </c:tx>
          <c:spPr>
            <a:solidFill>
              <a:srgbClr val="9999FF"/>
            </a:solidFill>
            <a:ln w="12633">
              <a:solidFill>
                <a:srgbClr val="000000"/>
              </a:solidFill>
              <a:prstDash val="solid"/>
            </a:ln>
          </c:spPr>
          <c:explosion val="25"/>
          <c:dPt>
            <c:idx val="1"/>
            <c:spPr>
              <a:solidFill>
                <a:srgbClr val="993366"/>
              </a:solidFill>
              <a:ln w="12633">
                <a:solidFill>
                  <a:srgbClr val="000000"/>
                </a:solidFill>
                <a:prstDash val="solid"/>
              </a:ln>
            </c:spPr>
            <c:extLst xmlns:c16r2="http://schemas.microsoft.com/office/drawing/2015/06/chart">
              <c:ext xmlns:c16="http://schemas.microsoft.com/office/drawing/2014/chart" uri="{C3380CC4-5D6E-409C-BE32-E72D297353CC}">
                <c16:uniqueId val="{00000000-E3B0-44B9-8C7D-7ECDE379220E}"/>
              </c:ext>
            </c:extLst>
          </c:dPt>
          <c:dPt>
            <c:idx val="2"/>
            <c:spPr>
              <a:solidFill>
                <a:srgbClr val="FFFFCC"/>
              </a:solidFill>
              <a:ln w="12633">
                <a:solidFill>
                  <a:srgbClr val="000000"/>
                </a:solidFill>
                <a:prstDash val="solid"/>
              </a:ln>
            </c:spPr>
            <c:extLst xmlns:c16r2="http://schemas.microsoft.com/office/drawing/2015/06/chart">
              <c:ext xmlns:c16="http://schemas.microsoft.com/office/drawing/2014/chart" uri="{C3380CC4-5D6E-409C-BE32-E72D297353CC}">
                <c16:uniqueId val="{00000001-E3B0-44B9-8C7D-7ECDE379220E}"/>
              </c:ext>
            </c:extLst>
          </c:dPt>
          <c:dPt>
            <c:idx val="3"/>
            <c:spPr>
              <a:solidFill>
                <a:srgbClr val="CCFFFF"/>
              </a:solidFill>
              <a:ln w="12633">
                <a:solidFill>
                  <a:srgbClr val="000000"/>
                </a:solidFill>
                <a:prstDash val="solid"/>
              </a:ln>
            </c:spPr>
            <c:extLst xmlns:c16r2="http://schemas.microsoft.com/office/drawing/2015/06/chart">
              <c:ext xmlns:c16="http://schemas.microsoft.com/office/drawing/2014/chart" uri="{C3380CC4-5D6E-409C-BE32-E72D297353CC}">
                <c16:uniqueId val="{00000002-E3B0-44B9-8C7D-7ECDE379220E}"/>
              </c:ext>
            </c:extLst>
          </c:dPt>
          <c:dLbls>
            <c:dLbl>
              <c:idx val="0"/>
              <c:layout>
                <c:manualLayout>
                  <c:x val="0.30365073578765694"/>
                  <c:y val="0.43554131746479585"/>
                </c:manualLayout>
              </c:layout>
              <c:tx>
                <c:rich>
                  <a:bodyPr/>
                  <a:lstStyle/>
                  <a:p>
                    <a:pPr>
                      <a:defRPr sz="821" b="1" i="0" u="none" strike="noStrike" baseline="0">
                        <a:solidFill>
                          <a:srgbClr val="000000"/>
                        </a:solidFill>
                        <a:latin typeface="Times New Roman"/>
                        <a:ea typeface="Times New Roman"/>
                        <a:cs typeface="Times New Roman"/>
                      </a:defRPr>
                    </a:pPr>
                    <a:r>
                      <a:rPr lang="ru-RU"/>
                      <a:t>нарушения при формировании и исполнении бюджетов,            4661,5 тыс.руб.;        60,1 %</a:t>
                    </a:r>
                  </a:p>
                </c:rich>
              </c:tx>
              <c:spPr>
                <a:noFill/>
                <a:ln w="25267">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3B0-44B9-8C7D-7ECDE379220E}"/>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3B0-44B9-8C7D-7ECDE379220E}"/>
                </c:ext>
              </c:extLst>
            </c:dLbl>
            <c:dLbl>
              <c:idx val="2"/>
              <c:layout>
                <c:manualLayout>
                  <c:x val="-1.6740881926796198E-2"/>
                  <c:y val="1.8214482872640958E-3"/>
                </c:manualLayout>
              </c:layout>
              <c:tx>
                <c:rich>
                  <a:bodyPr/>
                  <a:lstStyle/>
                  <a:p>
                    <a:pPr>
                      <a:defRPr sz="821" b="1" i="0" u="none" strike="noStrike" baseline="0">
                        <a:solidFill>
                          <a:srgbClr val="000000"/>
                        </a:solidFill>
                        <a:latin typeface="Times New Roman"/>
                        <a:ea typeface="Times New Roman"/>
                        <a:cs typeface="Times New Roman"/>
                      </a:defRPr>
                    </a:pPr>
                    <a:r>
                      <a:rPr lang="ru-RU"/>
                      <a:t>нарушения при осуществлении государственных (муниц.) закупок,  3053,5 тыс.руб.;         39,4 %</a:t>
                    </a:r>
                  </a:p>
                </c:rich>
              </c:tx>
              <c:spPr>
                <a:noFill/>
                <a:ln w="25267">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B0-44B9-8C7D-7ECDE379220E}"/>
                </c:ext>
              </c:extLst>
            </c:dLbl>
            <c:dLbl>
              <c:idx val="3"/>
              <c:layout>
                <c:manualLayout>
                  <c:x val="0.13184424863558722"/>
                  <c:y val="5.807490661501899E-2"/>
                </c:manualLayout>
              </c:layout>
              <c:tx>
                <c:rich>
                  <a:bodyPr/>
                  <a:lstStyle/>
                  <a:p>
                    <a:pPr>
                      <a:defRPr sz="821" b="1" i="0" u="none" strike="noStrike" baseline="0">
                        <a:solidFill>
                          <a:srgbClr val="000000"/>
                        </a:solidFill>
                        <a:latin typeface="Times New Roman"/>
                        <a:ea typeface="Times New Roman"/>
                        <a:cs typeface="Times New Roman"/>
                      </a:defRPr>
                    </a:pPr>
                    <a:r>
                      <a:rPr lang="ru-RU"/>
                      <a:t>иные нарушения,  38,9 тыс.руб.;             0,5 %</a:t>
                    </a:r>
                  </a:p>
                </c:rich>
              </c:tx>
              <c:spPr>
                <a:noFill/>
                <a:ln w="25267">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B0-44B9-8C7D-7ECDE379220E}"/>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3B0-44B9-8C7D-7ECDE379220E}"/>
                </c:ext>
              </c:extLst>
            </c:dLbl>
            <c:numFmt formatCode="0%" sourceLinked="0"/>
            <c:spPr>
              <a:noFill/>
              <a:ln w="25267">
                <a:noFill/>
              </a:ln>
            </c:spPr>
            <c:txPr>
              <a:bodyPr/>
              <a:lstStyle/>
              <a:p>
                <a:pPr>
                  <a:defRPr sz="821" b="1" i="0" u="none" strike="noStrike" baseline="0">
                    <a:solidFill>
                      <a:srgbClr val="000000"/>
                    </a:solidFill>
                    <a:latin typeface="Times New Roman"/>
                    <a:ea typeface="Times New Roman"/>
                    <a:cs typeface="Times New Roman"/>
                  </a:defRPr>
                </a:pPr>
                <a:endParaRPr lang="ru-RU"/>
              </a:p>
            </c:txPr>
            <c:showVal val="1"/>
            <c:showCatName val="1"/>
            <c:showPercent val="1"/>
            <c:showLeaderLines val="1"/>
            <c:extLst xmlns:c16r2="http://schemas.microsoft.com/office/drawing/2015/06/chart">
              <c:ext xmlns:c15="http://schemas.microsoft.com/office/drawing/2012/chart" uri="{CE6537A1-D6FC-4f65-9D91-7224C49458BB}"/>
            </c:extLst>
          </c:dLbls>
          <c:cat>
            <c:strRef>
              <c:f>Sheet1!$B$1:$F$1</c:f>
              <c:strCache>
                <c:ptCount val="4"/>
                <c:pt idx="0">
                  <c:v>нарушения ведения бухгалтерского учета, составления и представления бух.отчетности, тыс.руб.</c:v>
                </c:pt>
                <c:pt idx="1">
                  <c:v>нарушения при формировании и исполнении бюджетов, тыс.руб.</c:v>
                </c:pt>
                <c:pt idx="2">
                  <c:v>нарушения при осуществлении государственных (муниц.) закупок, тыс.руб.</c:v>
                </c:pt>
                <c:pt idx="3">
                  <c:v>иные нарушения, тыс.руб.</c:v>
                </c:pt>
              </c:strCache>
            </c:strRef>
          </c:cat>
          <c:val>
            <c:numRef>
              <c:f>Sheet1!$B$2:$F$2</c:f>
              <c:numCache>
                <c:formatCode>General</c:formatCode>
                <c:ptCount val="4"/>
                <c:pt idx="0">
                  <c:v>0</c:v>
                </c:pt>
                <c:pt idx="1">
                  <c:v>4661.5</c:v>
                </c:pt>
                <c:pt idx="2">
                  <c:v>3053.5</c:v>
                </c:pt>
                <c:pt idx="3">
                  <c:v>38.9</c:v>
                </c:pt>
              </c:numCache>
            </c:numRef>
          </c:val>
          <c:extLst xmlns:c16r2="http://schemas.microsoft.com/office/drawing/2015/06/chart">
            <c:ext xmlns:c16="http://schemas.microsoft.com/office/drawing/2014/chart" uri="{C3380CC4-5D6E-409C-BE32-E72D297353CC}">
              <c16:uniqueId val="{00000005-E3B0-44B9-8C7D-7ECDE379220E}"/>
            </c:ext>
          </c:extLst>
        </c:ser>
        <c:dLbls>
          <c:showVal val="1"/>
          <c:showCatName val="1"/>
          <c:showPercent val="1"/>
        </c:dLbls>
        <c:firstSliceAng val="0"/>
      </c:pieChart>
      <c:spPr>
        <a:noFill/>
        <a:ln w="25267">
          <a:noFill/>
        </a:ln>
      </c:spPr>
    </c:plotArea>
    <c:plotVisOnly val="1"/>
    <c:dispBlanksAs val="zero"/>
  </c:chart>
  <c:spPr>
    <a:noFill/>
    <a:ln w="6350" cap="flat" cmpd="sng" algn="ctr">
      <a:solidFill>
        <a:srgbClr val="000000"/>
      </a:solidFill>
      <a:prstDash val="solid"/>
      <a:miter lim="800000"/>
      <a:headEnd type="none" w="med" len="med"/>
      <a:tailEnd type="none" w="med" len="med"/>
    </a:ln>
  </c:spPr>
  <c:txPr>
    <a:bodyPr/>
    <a:lstStyle/>
    <a:p>
      <a:pPr>
        <a:defRPr sz="1194" b="1" i="0" u="none" strike="noStrike" baseline="0">
          <a:solidFill>
            <a:srgbClr val="000000"/>
          </a:solidFill>
          <a:latin typeface="Calibri"/>
          <a:ea typeface="Calibri"/>
          <a:cs typeface="Calibri"/>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12" b="0" i="0" u="none" strike="noStrike" baseline="0">
                <a:solidFill>
                  <a:srgbClr val="000000"/>
                </a:solidFill>
                <a:latin typeface="Calibri"/>
                <a:ea typeface="Calibri"/>
                <a:cs typeface="Calibri"/>
              </a:defRPr>
            </a:pPr>
            <a:r>
              <a:rPr lang="ru-RU"/>
              <a:t>Контрольные и экспертно-аналитические мероприятия проведены на основании:</a:t>
            </a:r>
          </a:p>
        </c:rich>
      </c:tx>
      <c:spPr>
        <a:noFill/>
        <a:ln w="25247">
          <a:noFill/>
        </a:ln>
      </c:spPr>
    </c:title>
    <c:plotArea>
      <c:layout/>
      <c:barChart>
        <c:barDir val="col"/>
        <c:grouping val="clustered"/>
        <c:ser>
          <c:idx val="0"/>
          <c:order val="0"/>
          <c:tx>
            <c:strRef>
              <c:f>Лист1!$B$1</c:f>
              <c:strCache>
                <c:ptCount val="1"/>
                <c:pt idx="0">
                  <c:v>Поручений представительных органов МО</c:v>
                </c:pt>
              </c:strCache>
            </c:strRef>
          </c:tx>
          <c:spPr>
            <a:solidFill>
              <a:srgbClr val="5B9BD5"/>
            </a:solidFill>
            <a:ln w="25247">
              <a:noFill/>
            </a:ln>
          </c:spPr>
          <c:dLbls>
            <c:spPr>
              <a:noFill/>
              <a:ln w="25247">
                <a:noFill/>
              </a:ln>
            </c:spPr>
            <c:txPr>
              <a:bodyPr/>
              <a:lstStyle/>
              <a:p>
                <a:pPr>
                  <a:defRPr sz="1093"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4</c:v>
                </c:pt>
                <c:pt idx="1">
                  <c:v>2</c:v>
                </c:pt>
                <c:pt idx="2">
                  <c:v>4</c:v>
                </c:pt>
                <c:pt idx="3">
                  <c:v>2</c:v>
                </c:pt>
              </c:numCache>
            </c:numRef>
          </c:val>
          <c:extLst xmlns:c16r2="http://schemas.microsoft.com/office/drawing/2015/06/chart">
            <c:ext xmlns:c16="http://schemas.microsoft.com/office/drawing/2014/chart" uri="{C3380CC4-5D6E-409C-BE32-E72D297353CC}">
              <c16:uniqueId val="{00000000-9D5C-44CD-AE01-7F31C9914B0F}"/>
            </c:ext>
          </c:extLst>
        </c:ser>
        <c:ser>
          <c:idx val="1"/>
          <c:order val="1"/>
          <c:tx>
            <c:strRef>
              <c:f>Лист1!$C$1</c:f>
              <c:strCache>
                <c:ptCount val="1"/>
                <c:pt idx="0">
                  <c:v>Обращений органов прокуратуры и правоохранительных органов</c:v>
                </c:pt>
              </c:strCache>
            </c:strRef>
          </c:tx>
          <c:spPr>
            <a:solidFill>
              <a:srgbClr val="ED7D31"/>
            </a:solidFill>
            <a:ln w="25247">
              <a:noFill/>
            </a:ln>
          </c:spPr>
          <c:dLbls>
            <c:spPr>
              <a:noFill/>
              <a:ln w="25247">
                <a:noFill/>
              </a:ln>
            </c:spPr>
            <c:txPr>
              <a:bodyPr/>
              <a:lstStyle/>
              <a:p>
                <a:pPr>
                  <a:defRPr sz="1093"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3</c:v>
                </c:pt>
                <c:pt idx="1">
                  <c:v>15</c:v>
                </c:pt>
                <c:pt idx="2">
                  <c:v>24</c:v>
                </c:pt>
                <c:pt idx="3">
                  <c:v>2</c:v>
                </c:pt>
              </c:numCache>
            </c:numRef>
          </c:val>
          <c:extLst xmlns:c16r2="http://schemas.microsoft.com/office/drawing/2015/06/chart">
            <c:ext xmlns:c16="http://schemas.microsoft.com/office/drawing/2014/chart" uri="{C3380CC4-5D6E-409C-BE32-E72D297353CC}">
              <c16:uniqueId val="{00000001-9D5C-44CD-AE01-7F31C9914B0F}"/>
            </c:ext>
          </c:extLst>
        </c:ser>
        <c:ser>
          <c:idx val="2"/>
          <c:order val="2"/>
          <c:tx>
            <c:strRef>
              <c:f>Лист1!$D$1</c:f>
              <c:strCache>
                <c:ptCount val="1"/>
                <c:pt idx="0">
                  <c:v>Предложений и запросов главы Бардымского МО - главы Администрации БМО</c:v>
                </c:pt>
              </c:strCache>
            </c:strRef>
          </c:tx>
          <c:spPr>
            <a:solidFill>
              <a:srgbClr val="A5A5A5"/>
            </a:solidFill>
            <a:ln w="25247">
              <a:noFill/>
            </a:ln>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D5C-44CD-AE01-7F31C9914B0F}"/>
                </c:ext>
              </c:extLst>
            </c:dLbl>
            <c:spPr>
              <a:noFill/>
              <a:ln w="25247">
                <a:noFill/>
              </a:ln>
            </c:spPr>
            <c:txPr>
              <a:bodyPr/>
              <a:lstStyle/>
              <a:p>
                <a:pPr>
                  <a:defRPr sz="1093"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0</c:v>
                </c:pt>
                <c:pt idx="1">
                  <c:v>6</c:v>
                </c:pt>
                <c:pt idx="2">
                  <c:v>0</c:v>
                </c:pt>
                <c:pt idx="3">
                  <c:v>1</c:v>
                </c:pt>
              </c:numCache>
            </c:numRef>
          </c:val>
          <c:extLst xmlns:c16r2="http://schemas.microsoft.com/office/drawing/2015/06/chart">
            <c:ext xmlns:c16="http://schemas.microsoft.com/office/drawing/2014/chart" uri="{C3380CC4-5D6E-409C-BE32-E72D297353CC}">
              <c16:uniqueId val="{00000003-9D5C-44CD-AE01-7F31C9914B0F}"/>
            </c:ext>
          </c:extLst>
        </c:ser>
        <c:ser>
          <c:idx val="3"/>
          <c:order val="3"/>
          <c:tx>
            <c:strRef>
              <c:f>Лист1!$E$1</c:f>
              <c:strCache>
                <c:ptCount val="1"/>
                <c:pt idx="0">
                  <c:v>По инициативе КСП БМО</c:v>
                </c:pt>
              </c:strCache>
            </c:strRef>
          </c:tx>
          <c:spPr>
            <a:solidFill>
              <a:srgbClr val="FFC000"/>
            </a:solidFill>
            <a:ln w="25247">
              <a:noFill/>
            </a:ln>
          </c:spPr>
          <c:dLbls>
            <c:spPr>
              <a:noFill/>
              <a:ln w="25247">
                <a:noFill/>
              </a:ln>
            </c:spPr>
            <c:txPr>
              <a:bodyPr/>
              <a:lstStyle/>
              <a:p>
                <a:pPr>
                  <a:defRPr sz="1093"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Лист1!$E$2:$E$5</c:f>
              <c:numCache>
                <c:formatCode>General</c:formatCode>
                <c:ptCount val="4"/>
                <c:pt idx="0">
                  <c:v>32</c:v>
                </c:pt>
                <c:pt idx="1">
                  <c:v>35</c:v>
                </c:pt>
                <c:pt idx="2">
                  <c:v>34</c:v>
                </c:pt>
                <c:pt idx="3">
                  <c:v>32</c:v>
                </c:pt>
              </c:numCache>
            </c:numRef>
          </c:val>
          <c:extLst xmlns:c16r2="http://schemas.microsoft.com/office/drawing/2015/06/chart">
            <c:ext xmlns:c16="http://schemas.microsoft.com/office/drawing/2014/chart" uri="{C3380CC4-5D6E-409C-BE32-E72D297353CC}">
              <c16:uniqueId val="{00000004-9D5C-44CD-AE01-7F31C9914B0F}"/>
            </c:ext>
          </c:extLst>
        </c:ser>
        <c:axId val="160445568"/>
        <c:axId val="160447104"/>
      </c:barChart>
      <c:catAx>
        <c:axId val="160445568"/>
        <c:scaling>
          <c:orientation val="minMax"/>
        </c:scaling>
        <c:axPos val="b"/>
        <c:numFmt formatCode="General" sourceLinked="1"/>
        <c:majorTickMark val="none"/>
        <c:tickLblPos val="nextTo"/>
        <c:spPr>
          <a:ln w="6312">
            <a:noFill/>
          </a:ln>
        </c:spPr>
        <c:txPr>
          <a:bodyPr rot="0" vert="horz"/>
          <a:lstStyle/>
          <a:p>
            <a:pPr>
              <a:defRPr sz="1093" b="0" i="0" u="none" strike="noStrike" baseline="0">
                <a:solidFill>
                  <a:srgbClr val="000000"/>
                </a:solidFill>
                <a:latin typeface="Calibri"/>
                <a:ea typeface="Calibri"/>
                <a:cs typeface="Calibri"/>
              </a:defRPr>
            </a:pPr>
            <a:endParaRPr lang="ru-RU"/>
          </a:p>
        </c:txPr>
        <c:crossAx val="160447104"/>
        <c:crosses val="autoZero"/>
        <c:auto val="1"/>
        <c:lblAlgn val="ctr"/>
        <c:lblOffset val="100"/>
      </c:catAx>
      <c:valAx>
        <c:axId val="160447104"/>
        <c:scaling>
          <c:orientation val="minMax"/>
        </c:scaling>
        <c:axPos val="l"/>
        <c:majorGridlines>
          <c:spPr>
            <a:ln w="9467" cap="flat" cmpd="sng" algn="ctr">
              <a:solidFill>
                <a:schemeClr val="tx1">
                  <a:lumMod val="15000"/>
                  <a:lumOff val="85000"/>
                </a:schemeClr>
              </a:solidFill>
              <a:round/>
            </a:ln>
            <a:effectLst/>
          </c:spPr>
        </c:majorGridlines>
        <c:numFmt formatCode="General" sourceLinked="1"/>
        <c:majorTickMark val="none"/>
        <c:tickLblPos val="nextTo"/>
        <c:spPr>
          <a:ln w="6312">
            <a:noFill/>
          </a:ln>
        </c:spPr>
        <c:txPr>
          <a:bodyPr rot="0" vert="horz"/>
          <a:lstStyle/>
          <a:p>
            <a:pPr>
              <a:defRPr sz="1093" b="0" i="0" u="none" strike="noStrike" baseline="0">
                <a:solidFill>
                  <a:srgbClr val="000000"/>
                </a:solidFill>
                <a:latin typeface="Calibri"/>
                <a:ea typeface="Calibri"/>
                <a:cs typeface="Calibri"/>
              </a:defRPr>
            </a:pPr>
            <a:endParaRPr lang="ru-RU"/>
          </a:p>
        </c:txPr>
        <c:crossAx val="160445568"/>
        <c:crosses val="autoZero"/>
        <c:crossBetween val="between"/>
      </c:valAx>
      <c:dTable>
        <c:showHorzBorder val="1"/>
        <c:showVertBorder val="1"/>
        <c:showOutline val="1"/>
        <c:showKeys val="1"/>
        <c:spPr>
          <a:noFill/>
          <a:ln w="9467" cap="flat" cmpd="sng" algn="ctr">
            <a:solidFill>
              <a:schemeClr val="tx1">
                <a:lumMod val="15000"/>
                <a:lumOff val="85000"/>
              </a:schemeClr>
            </a:solidFill>
            <a:round/>
          </a:ln>
          <a:effectLst/>
        </c:spPr>
        <c:txPr>
          <a:bodyPr/>
          <a:lstStyle/>
          <a:p>
            <a:pPr rtl="0">
              <a:defRPr sz="1093" b="0" i="0" u="none" strike="noStrike" baseline="0">
                <a:solidFill>
                  <a:srgbClr val="000000"/>
                </a:solidFill>
                <a:latin typeface="Calibri"/>
                <a:ea typeface="Calibri"/>
                <a:cs typeface="Calibri"/>
              </a:defRPr>
            </a:pPr>
            <a:endParaRPr lang="ru-RU"/>
          </a:p>
        </c:txPr>
      </c:dTable>
      <c:spPr>
        <a:noFill/>
        <a:ln w="25247">
          <a:noFill/>
        </a:ln>
      </c:spPr>
    </c:plotArea>
    <c:plotVisOnly val="1"/>
    <c:dispBlanksAs val="gap"/>
  </c:chart>
  <c:spPr>
    <a:solidFill>
      <a:schemeClr val="bg1"/>
    </a:solidFill>
    <a:ln w="9467" cap="flat" cmpd="sng" algn="ctr">
      <a:solidFill>
        <a:schemeClr val="tx1">
          <a:lumMod val="15000"/>
          <a:lumOff val="85000"/>
        </a:schemeClr>
      </a:solidFill>
      <a:round/>
    </a:ln>
    <a:effectLst/>
  </c:spPr>
  <c:txPr>
    <a:bodyPr/>
    <a:lstStyle/>
    <a:p>
      <a:pPr>
        <a:defRPr sz="1093" b="0"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floor>
      <c:spPr>
        <a:noFill/>
        <a:ln w="9525">
          <a:noFill/>
        </a:ln>
      </c:spPr>
    </c:floor>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количество мероприятий КСП Бардымского муниципального округа </c:v>
                </c:pt>
              </c:strCache>
            </c:strRef>
          </c:tx>
          <c:spPr>
            <a:solidFill>
              <a:srgbClr val="4472C4"/>
            </a:solidFill>
            <a:ln w="25400">
              <a:noFill/>
            </a:ln>
          </c:spPr>
          <c:dLbls>
            <c:dLbl>
              <c:idx val="0"/>
              <c:layout>
                <c:manualLayout>
                  <c:x val="2.1472812544637933E-2"/>
                  <c:y val="-3.24633193363294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3AC-4C63-8E93-E90192DEEFEB}"/>
                </c:ext>
              </c:extLst>
            </c:dLbl>
            <c:dLbl>
              <c:idx val="1"/>
              <c:layout>
                <c:manualLayout>
                  <c:x val="2.0068915245244859E-2"/>
                  <c:y val="-4.0768521177144421E-3"/>
                </c:manualLayout>
              </c:layout>
              <c:spPr>
                <a:noFill/>
                <a:ln w="25400">
                  <a:noFill/>
                </a:ln>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63AC-4C63-8E93-E90192DEEFEB}"/>
                </c:ext>
              </c:extLst>
            </c:dLbl>
            <c:dLbl>
              <c:idx val="2"/>
              <c:layout>
                <c:manualLayout>
                  <c:x val="4.7411107160600322E-3"/>
                  <c:y val="-3.8246791184566385E-2"/>
                </c:manualLayout>
              </c:layout>
              <c:spPr>
                <a:noFill/>
                <a:ln w="25400">
                  <a:noFill/>
                </a:ln>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63AC-4C63-8E93-E90192DEEFEB}"/>
                </c:ext>
              </c:extLst>
            </c:dLbl>
            <c:dLbl>
              <c:idx val="3"/>
              <c:layout>
                <c:manualLayout>
                  <c:x val="-2.755769594227036E-3"/>
                  <c:y val="-2.40380975454642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3AC-4C63-8E93-E90192DEEFEB}"/>
                </c:ext>
              </c:extLst>
            </c:dLbl>
            <c:spPr>
              <a:noFill/>
              <a:ln w="25400">
                <a:noFill/>
              </a:ln>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контрольные мероприятия</c:v>
                </c:pt>
                <c:pt idx="1">
                  <c:v>экспертно-аналитические мероприятия</c:v>
                </c:pt>
                <c:pt idx="2">
                  <c:v>внешние проверки бюджетной отчетности</c:v>
                </c:pt>
                <c:pt idx="3">
                  <c:v>экспертиза муниципальных правовых актов</c:v>
                </c:pt>
              </c:strCache>
            </c:strRef>
          </c:cat>
          <c:val>
            <c:numRef>
              <c:f>Лист1!$B$2:$B$5</c:f>
              <c:numCache>
                <c:formatCode>General</c:formatCode>
                <c:ptCount val="4"/>
                <c:pt idx="0">
                  <c:v>18</c:v>
                </c:pt>
                <c:pt idx="1">
                  <c:v>6</c:v>
                </c:pt>
                <c:pt idx="2">
                  <c:v>13</c:v>
                </c:pt>
                <c:pt idx="3">
                  <c:v>33</c:v>
                </c:pt>
              </c:numCache>
            </c:numRef>
          </c:val>
          <c:extLst xmlns:c16r2="http://schemas.microsoft.com/office/drawing/2015/06/chart">
            <c:ext xmlns:c16="http://schemas.microsoft.com/office/drawing/2014/chart" uri="{C3380CC4-5D6E-409C-BE32-E72D297353CC}">
              <c16:uniqueId val="{00000004-63AC-4C63-8E93-E90192DEEFEB}"/>
            </c:ext>
          </c:extLst>
        </c:ser>
        <c:ser>
          <c:idx val="1"/>
          <c:order val="1"/>
          <c:tx>
            <c:strRef>
              <c:f>Лист1!$C$1</c:f>
              <c:strCache>
                <c:ptCount val="1"/>
                <c:pt idx="0">
                  <c:v>среднее количество мероприятий Контрольно-счетных органов по Пермскому краю</c:v>
                </c:pt>
              </c:strCache>
            </c:strRef>
          </c:tx>
          <c:spPr>
            <a:solidFill>
              <a:srgbClr val="ED7D31"/>
            </a:solidFill>
            <a:ln w="25400">
              <a:noFill/>
            </a:ln>
          </c:spPr>
          <c:dLbls>
            <c:dLbl>
              <c:idx val="0"/>
              <c:layout>
                <c:manualLayout>
                  <c:x val="3.0769230769230761E-2"/>
                  <c:y val="-4.61538426594606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3AC-4C63-8E93-E90192DEEFEB}"/>
                </c:ext>
              </c:extLst>
            </c:dLbl>
            <c:dLbl>
              <c:idx val="1"/>
              <c:layout>
                <c:manualLayout>
                  <c:x val="4.2060894378058114E-2"/>
                  <c:y val="-4.18042223832847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3AC-4C63-8E93-E90192DEEFEB}"/>
                </c:ext>
              </c:extLst>
            </c:dLbl>
            <c:dLbl>
              <c:idx val="2"/>
              <c:layout>
                <c:manualLayout>
                  <c:x val="3.5084293962005152E-2"/>
                  <c:y val="-1.4165478216506088E-2"/>
                </c:manualLayout>
              </c:layout>
              <c:spPr>
                <a:noFill/>
                <a:ln w="25400">
                  <a:noFill/>
                </a:ln>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63AC-4C63-8E93-E90192DEEFEB}"/>
                </c:ext>
              </c:extLst>
            </c:dLbl>
            <c:dLbl>
              <c:idx val="3"/>
              <c:layout>
                <c:manualLayout>
                  <c:x val="1.2400963174021626E-2"/>
                  <c:y val="-1.60253983636428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3AC-4C63-8E93-E90192DEEFEB}"/>
                </c:ext>
              </c:extLst>
            </c:dLbl>
            <c:spPr>
              <a:noFill/>
              <a:ln w="25400">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контрольные мероприятия</c:v>
                </c:pt>
                <c:pt idx="1">
                  <c:v>экспертно-аналитические мероприятия</c:v>
                </c:pt>
                <c:pt idx="2">
                  <c:v>внешние проверки бюджетной отчетности</c:v>
                </c:pt>
                <c:pt idx="3">
                  <c:v>экспертиза муниципальных правовых актов</c:v>
                </c:pt>
              </c:strCache>
            </c:strRef>
          </c:cat>
          <c:val>
            <c:numRef>
              <c:f>Лист1!$C$2:$C$5</c:f>
              <c:numCache>
                <c:formatCode>General</c:formatCode>
                <c:ptCount val="4"/>
                <c:pt idx="0">
                  <c:v>6.4</c:v>
                </c:pt>
                <c:pt idx="1">
                  <c:v>1.9000000000000001</c:v>
                </c:pt>
                <c:pt idx="2">
                  <c:v>4.3</c:v>
                </c:pt>
                <c:pt idx="3">
                  <c:v>63</c:v>
                </c:pt>
              </c:numCache>
            </c:numRef>
          </c:val>
          <c:extLst xmlns:c16r2="http://schemas.microsoft.com/office/drawing/2015/06/chart">
            <c:ext xmlns:c16="http://schemas.microsoft.com/office/drawing/2014/chart" uri="{C3380CC4-5D6E-409C-BE32-E72D297353CC}">
              <c16:uniqueId val="{00000009-63AC-4C63-8E93-E90192DEEFEB}"/>
            </c:ext>
          </c:extLst>
        </c:ser>
        <c:shape val="box"/>
        <c:axId val="160467584"/>
        <c:axId val="165777792"/>
        <c:axId val="0"/>
      </c:bar3DChart>
      <c:catAx>
        <c:axId val="160467584"/>
        <c:scaling>
          <c:orientation val="minMax"/>
        </c:scaling>
        <c:axPos val="b"/>
        <c:numFmt formatCode="General" sourceLinked="1"/>
        <c:majorTickMark val="none"/>
        <c:tickLblPos val="nextTo"/>
        <c:spPr>
          <a:ln w="9525">
            <a:noFill/>
          </a:ln>
        </c:spPr>
        <c:txPr>
          <a:bodyPr rot="-60000000" spcFirstLastPara="1" vertOverflow="ellipsis" vert="horz" wrap="square" anchor="ctr" anchorCtr="1"/>
          <a:lstStyle/>
          <a:p>
            <a:pPr>
              <a:defRPr sz="1197" b="1" i="0" u="none" strike="noStrike" kern="1200" baseline="0">
                <a:solidFill>
                  <a:schemeClr val="tx1">
                    <a:lumMod val="65000"/>
                    <a:lumOff val="35000"/>
                  </a:schemeClr>
                </a:solidFill>
                <a:latin typeface="+mn-lt"/>
                <a:ea typeface="+mn-ea"/>
                <a:cs typeface="+mn-cs"/>
              </a:defRPr>
            </a:pPr>
            <a:endParaRPr lang="ru-RU"/>
          </a:p>
        </c:txPr>
        <c:crossAx val="165777792"/>
        <c:crosses val="autoZero"/>
        <c:auto val="1"/>
        <c:lblAlgn val="ctr"/>
        <c:lblOffset val="100"/>
      </c:catAx>
      <c:valAx>
        <c:axId val="1657777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60467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97" b="1" i="0" u="none" strike="noStrike" kern="1200" baseline="0">
                <a:solidFill>
                  <a:schemeClr val="tx1"/>
                </a:solidFill>
                <a:latin typeface="+mn-lt"/>
                <a:ea typeface="+mn-ea"/>
                <a:cs typeface="+mn-cs"/>
              </a:defRPr>
            </a:pPr>
            <a:endParaRPr lang="ru-RU"/>
          </a:p>
        </c:txPr>
      </c:dTable>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0.62775</cdr:x>
      <cdr:y>0.6935</cdr:y>
    </cdr:from>
    <cdr:to>
      <cdr:x>0.69375</cdr:x>
      <cdr:y>0.76275</cdr:y>
    </cdr:to>
    <cdr:sp macro="" textlink="">
      <cdr:nvSpPr>
        <cdr:cNvPr id="1026" name="Line 2"/>
        <cdr:cNvSpPr>
          <a:spLocks xmlns:a="http://schemas.openxmlformats.org/drawingml/2006/main" noChangeShapeType="1"/>
        </cdr:cNvSpPr>
      </cdr:nvSpPr>
      <cdr:spPr bwMode="auto">
        <a:xfrm xmlns:a="http://schemas.openxmlformats.org/drawingml/2006/main" flipH="1">
          <a:off x="3348419" y="1842959"/>
          <a:ext cx="352044" cy="18403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a:ea typeface="Helvetica"/>
      <a:cs typeface="Helvetica"/>
    </a:majorFont>
    <a:minorFont>
      <a:latin typeface="Calibri"/>
      <a:ea typeface="Calibri"/>
      <a:cs typeface="Calibri"/>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18</Pages>
  <Words>4784</Words>
  <Characters>27269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Ляйсан-кадры</dc:creator>
  <cp:lastModifiedBy>Секретарь ДУМЫ</cp:lastModifiedBy>
  <cp:revision>2</cp:revision>
  <cp:lastPrinted>2021-12-20T07:07:00Z</cp:lastPrinted>
  <dcterms:created xsi:type="dcterms:W3CDTF">2022-04-21T12:21:00Z</dcterms:created>
  <dcterms:modified xsi:type="dcterms:W3CDTF">2022-04-21T12:21:00Z</dcterms:modified>
</cp:coreProperties>
</file>