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62326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862326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25.08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862326">
              <w:rPr>
                <w:rFonts w:ascii="Times New Roman" w:hAnsi="Times New Roman"/>
                <w:color w:val="000000" w:themeColor="text1"/>
                <w:sz w:val="28"/>
              </w:rPr>
              <w:t>298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326" w:rsidRPr="008C7981" w:rsidRDefault="00862326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a3"/>
        <w:rPr>
          <w:rFonts w:ascii="Times New Roman" w:hAnsi="Times New Roman"/>
          <w:b/>
          <w:sz w:val="28"/>
          <w:szCs w:val="28"/>
        </w:rPr>
      </w:pPr>
      <w:r w:rsidRPr="000B76D5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</w:p>
    <w:p w:rsidR="00862326" w:rsidRPr="000B76D5" w:rsidRDefault="00862326" w:rsidP="00862326">
      <w:pPr>
        <w:pStyle w:val="a3"/>
        <w:rPr>
          <w:rFonts w:ascii="Times New Roman" w:hAnsi="Times New Roman"/>
          <w:b/>
          <w:sz w:val="28"/>
          <w:szCs w:val="28"/>
        </w:rPr>
      </w:pPr>
      <w:r w:rsidRPr="000B76D5">
        <w:rPr>
          <w:rFonts w:ascii="Times New Roman" w:hAnsi="Times New Roman"/>
          <w:b/>
          <w:sz w:val="28"/>
          <w:szCs w:val="28"/>
        </w:rPr>
        <w:t>представления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76D5">
        <w:rPr>
          <w:rFonts w:ascii="Times New Roman" w:hAnsi="Times New Roman"/>
          <w:b/>
          <w:sz w:val="28"/>
          <w:szCs w:val="28"/>
        </w:rPr>
        <w:t xml:space="preserve">ежегодного отчета главы </w:t>
      </w:r>
    </w:p>
    <w:p w:rsidR="00862326" w:rsidRDefault="00862326" w:rsidP="00862326">
      <w:pPr>
        <w:pStyle w:val="a3"/>
        <w:rPr>
          <w:rFonts w:ascii="Times New Roman" w:hAnsi="Times New Roman"/>
          <w:b/>
          <w:sz w:val="28"/>
          <w:szCs w:val="28"/>
        </w:rPr>
      </w:pPr>
      <w:r w:rsidRPr="000B76D5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B76D5">
        <w:rPr>
          <w:rFonts w:ascii="Times New Roman" w:hAnsi="Times New Roman"/>
          <w:b/>
          <w:sz w:val="28"/>
          <w:szCs w:val="28"/>
        </w:rPr>
        <w:t xml:space="preserve">главы </w:t>
      </w:r>
    </w:p>
    <w:p w:rsidR="00862326" w:rsidRDefault="00862326" w:rsidP="00862326">
      <w:pPr>
        <w:pStyle w:val="a3"/>
        <w:rPr>
          <w:rFonts w:ascii="Times New Roman" w:hAnsi="Times New Roman"/>
          <w:b/>
          <w:sz w:val="28"/>
          <w:szCs w:val="28"/>
        </w:rPr>
      </w:pPr>
      <w:r w:rsidRPr="000B76D5">
        <w:rPr>
          <w:rFonts w:ascii="Times New Roman" w:hAnsi="Times New Roman"/>
          <w:b/>
          <w:sz w:val="28"/>
          <w:szCs w:val="28"/>
        </w:rPr>
        <w:t xml:space="preserve">администрации Бардымского </w:t>
      </w:r>
    </w:p>
    <w:p w:rsidR="00862326" w:rsidRDefault="00862326" w:rsidP="00862326">
      <w:pPr>
        <w:pStyle w:val="a3"/>
        <w:rPr>
          <w:rFonts w:ascii="Times New Roman" w:hAnsi="Times New Roman"/>
          <w:b/>
          <w:sz w:val="28"/>
          <w:szCs w:val="28"/>
        </w:rPr>
      </w:pPr>
      <w:r w:rsidRPr="000B76D5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76D5">
        <w:rPr>
          <w:rFonts w:ascii="Times New Roman" w:hAnsi="Times New Roman"/>
          <w:b/>
          <w:sz w:val="28"/>
          <w:szCs w:val="28"/>
        </w:rPr>
        <w:t>округа</w:t>
      </w:r>
    </w:p>
    <w:p w:rsidR="00862326" w:rsidRDefault="00862326" w:rsidP="00862326">
      <w:pPr>
        <w:pStyle w:val="a3"/>
        <w:rPr>
          <w:rFonts w:ascii="Times New Roman" w:hAnsi="Times New Roman"/>
          <w:sz w:val="28"/>
          <w:szCs w:val="28"/>
        </w:rPr>
      </w:pPr>
    </w:p>
    <w:p w:rsidR="00862326" w:rsidRDefault="00862326" w:rsidP="00862326">
      <w:pPr>
        <w:pStyle w:val="a3"/>
        <w:rPr>
          <w:rFonts w:ascii="Times New Roman" w:hAnsi="Times New Roman"/>
          <w:sz w:val="28"/>
          <w:szCs w:val="28"/>
        </w:rPr>
      </w:pPr>
    </w:p>
    <w:p w:rsidR="00862326" w:rsidRDefault="00862326" w:rsidP="00862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6D5">
        <w:rPr>
          <w:rFonts w:ascii="Times New Roman" w:hAnsi="Times New Roman" w:cs="Times New Roman"/>
          <w:sz w:val="28"/>
          <w:szCs w:val="28"/>
        </w:rPr>
        <w:t>В соответствии с частью 11.1 статьи 35, частью 5.1 статьи 36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B76D5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пункта 6</w:t>
      </w:r>
      <w:r w:rsidRPr="000B76D5">
        <w:rPr>
          <w:rFonts w:ascii="Times New Roman" w:hAnsi="Times New Roman" w:cs="Times New Roman"/>
          <w:bCs/>
          <w:sz w:val="28"/>
          <w:szCs w:val="28"/>
        </w:rPr>
        <w:t xml:space="preserve"> части 3 статьи 25 Устава </w:t>
      </w:r>
      <w:r>
        <w:rPr>
          <w:rFonts w:ascii="Times New Roman" w:hAnsi="Times New Roman" w:cs="Times New Roman"/>
          <w:bCs/>
          <w:sz w:val="28"/>
          <w:szCs w:val="28"/>
        </w:rPr>
        <w:t>Бардымского</w:t>
      </w:r>
      <w:r w:rsidRPr="000B76D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BE8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65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862326" w:rsidRPr="000B76D5" w:rsidRDefault="00862326" w:rsidP="0086232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D5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0B7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0B76D5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0B76D5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представления ежегодного отчета главы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B76D5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Бардымского </w:t>
      </w:r>
      <w:r w:rsidRPr="000B76D5">
        <w:rPr>
          <w:rFonts w:ascii="Times New Roman" w:eastAsia="Times New Roman" w:hAnsi="Times New Roman" w:cs="Times New Roman"/>
          <w:sz w:val="28"/>
          <w:szCs w:val="28"/>
        </w:rPr>
        <w:t>муниципального округа.</w:t>
      </w:r>
    </w:p>
    <w:p w:rsidR="00AA5F19" w:rsidRDefault="00862326" w:rsidP="00862326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5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P24"/>
      <w:bookmarkEnd w:id="0"/>
      <w:r w:rsidRPr="00073D53">
        <w:rPr>
          <w:rFonts w:ascii="Times New Roman" w:hAnsi="Times New Roman" w:cs="Times New Roman"/>
          <w:sz w:val="28"/>
          <w:szCs w:val="28"/>
        </w:rPr>
        <w:t>П</w:t>
      </w:r>
      <w:r w:rsidR="00AA5F19">
        <w:rPr>
          <w:rFonts w:ascii="Times New Roman" w:hAnsi="Times New Roman" w:cs="Times New Roman"/>
          <w:sz w:val="28"/>
          <w:szCs w:val="28"/>
        </w:rPr>
        <w:t>ризнать утратившими силу решения</w:t>
      </w:r>
      <w:r w:rsidRPr="00073D53">
        <w:rPr>
          <w:rFonts w:ascii="Times New Roman" w:hAnsi="Times New Roman" w:cs="Times New Roman"/>
          <w:sz w:val="28"/>
          <w:szCs w:val="28"/>
        </w:rPr>
        <w:t xml:space="preserve"> Земского Собрания Бардымского муниципального района</w:t>
      </w:r>
      <w:r w:rsidR="00AA5F19">
        <w:rPr>
          <w:rFonts w:ascii="Times New Roman" w:hAnsi="Times New Roman" w:cs="Times New Roman"/>
          <w:sz w:val="28"/>
          <w:szCs w:val="28"/>
        </w:rPr>
        <w:t>:</w:t>
      </w:r>
      <w:r w:rsidRPr="0007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26" w:rsidRDefault="00862326" w:rsidP="00862326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53">
        <w:rPr>
          <w:rFonts w:ascii="Times New Roman" w:hAnsi="Times New Roman" w:cs="Times New Roman"/>
          <w:sz w:val="28"/>
          <w:szCs w:val="28"/>
        </w:rPr>
        <w:t>от 17.02.2011 № 181 «</w:t>
      </w:r>
      <w:r w:rsidR="00F659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6592B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073D53">
        <w:rPr>
          <w:rFonts w:ascii="Times New Roman" w:eastAsia="Calibri" w:hAnsi="Times New Roman" w:cs="Times New Roman"/>
          <w:sz w:val="28"/>
          <w:szCs w:val="28"/>
        </w:rPr>
        <w:t xml:space="preserve"> заслушивания Земским Собранием Бардымского муниципального района отчета главы муниципального района – главы Администрации Бардымского муниципального района о результатах его деятельности, деятельности Администрации Бар</w:t>
      </w:r>
      <w:r w:rsidR="003C49C4">
        <w:rPr>
          <w:rFonts w:ascii="Times New Roman" w:eastAsia="Calibri" w:hAnsi="Times New Roman" w:cs="Times New Roman"/>
          <w:sz w:val="28"/>
          <w:szCs w:val="28"/>
        </w:rPr>
        <w:t>дымского муниципального района»;</w:t>
      </w:r>
    </w:p>
    <w:p w:rsidR="003C49C4" w:rsidRPr="003C49C4" w:rsidRDefault="003C49C4" w:rsidP="00862326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</w:t>
      </w:r>
      <w:r w:rsidRPr="003C49C4">
        <w:rPr>
          <w:rFonts w:ascii="Times New Roman" w:eastAsia="Calibri" w:hAnsi="Times New Roman" w:cs="Times New Roman"/>
          <w:sz w:val="28"/>
          <w:szCs w:val="28"/>
        </w:rPr>
        <w:t>.08.2018 № 433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Pr="003C49C4">
        <w:rPr>
          <w:rFonts w:ascii="Times New Roman" w:hAnsi="Times New Roman" w:cs="Times New Roman"/>
          <w:sz w:val="28"/>
          <w:szCs w:val="28"/>
        </w:rPr>
        <w:t xml:space="preserve"> в</w:t>
      </w:r>
      <w:r w:rsidRPr="003C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9C4">
        <w:rPr>
          <w:rFonts w:ascii="Times New Roman" w:hAnsi="Times New Roman" w:cs="Times New Roman"/>
          <w:sz w:val="28"/>
          <w:szCs w:val="28"/>
        </w:rPr>
        <w:t>Порядок заслушивания Земским Собранием Бардымского муниципального района отчета главы муниципального района - главы Администрации Бардымского муниципального района о результатах его деятельности, деятельности Администрации Бардымского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2326" w:rsidRPr="00A416B0" w:rsidRDefault="00862326" w:rsidP="008623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49C4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«Тан» («Рассвет») и</w:t>
      </w:r>
      <w:r w:rsidRPr="00A416B0">
        <w:rPr>
          <w:rFonts w:ascii="Times New Roman" w:hAnsi="Times New Roman"/>
          <w:sz w:val="28"/>
          <w:szCs w:val="28"/>
        </w:rPr>
        <w:t xml:space="preserve"> разместить на сайте Бардымского муниципального округа Пермского края барда.рф.</w:t>
      </w:r>
    </w:p>
    <w:p w:rsidR="00862326" w:rsidRPr="00776312" w:rsidRDefault="00862326" w:rsidP="008623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6312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62326" w:rsidRPr="006D03BB" w:rsidRDefault="00862326" w:rsidP="0086232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6D03BB">
        <w:rPr>
          <w:rFonts w:ascii="Times New Roman" w:hAnsi="Times New Roman" w:cs="Times New Roman"/>
          <w:b w:val="0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6D03BB">
        <w:rPr>
          <w:rFonts w:ascii="Times New Roman" w:hAnsi="Times New Roman" w:cs="Times New Roman"/>
          <w:b w:val="0"/>
          <w:sz w:val="28"/>
          <w:szCs w:val="28"/>
        </w:rPr>
        <w:t xml:space="preserve"> решения возложить на председателя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постоянной</w:t>
      </w:r>
      <w:r w:rsidRPr="006D03BB">
        <w:rPr>
          <w:rFonts w:ascii="Times New Roman" w:hAnsi="Times New Roman" w:cs="Times New Roman"/>
          <w:b w:val="0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b w:val="0"/>
          <w:sz w:val="28"/>
          <w:szCs w:val="28"/>
        </w:rPr>
        <w:t>экономической</w:t>
      </w:r>
      <w:r w:rsidRPr="006D03BB">
        <w:rPr>
          <w:rFonts w:ascii="Times New Roman" w:hAnsi="Times New Roman" w:cs="Times New Roman"/>
          <w:b w:val="0"/>
          <w:sz w:val="28"/>
          <w:szCs w:val="28"/>
        </w:rPr>
        <w:t xml:space="preserve">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Урстемирова И.Ш.</w:t>
      </w:r>
    </w:p>
    <w:p w:rsidR="00862326" w:rsidRDefault="00862326" w:rsidP="008623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326" w:rsidRDefault="00862326" w:rsidP="008623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326" w:rsidRPr="00527E15" w:rsidRDefault="00862326" w:rsidP="0086232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62326" w:rsidRPr="00527E15" w:rsidRDefault="00862326" w:rsidP="0086232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Бардымского муниципал</w:t>
      </w:r>
      <w:r>
        <w:rPr>
          <w:rFonts w:ascii="Times New Roman" w:hAnsi="Times New Roman" w:cs="Times New Roman"/>
          <w:sz w:val="28"/>
          <w:szCs w:val="28"/>
        </w:rPr>
        <w:t>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27E15">
        <w:rPr>
          <w:rFonts w:ascii="Times New Roman" w:hAnsi="Times New Roman" w:cs="Times New Roman"/>
          <w:sz w:val="28"/>
          <w:szCs w:val="28"/>
        </w:rPr>
        <w:t xml:space="preserve">       И.Р. Вахитов</w:t>
      </w:r>
    </w:p>
    <w:p w:rsidR="00862326" w:rsidRDefault="00862326" w:rsidP="0086232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Pr="00527E15" w:rsidRDefault="00862326" w:rsidP="0086232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Pr="00527E15" w:rsidRDefault="00862326" w:rsidP="0086232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862326" w:rsidRPr="00527E15" w:rsidRDefault="00862326" w:rsidP="0086232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862326" w:rsidRDefault="00862326" w:rsidP="008623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527E15">
        <w:rPr>
          <w:rFonts w:ascii="Times New Roman" w:hAnsi="Times New Roman" w:cs="Times New Roman"/>
          <w:sz w:val="28"/>
          <w:szCs w:val="28"/>
        </w:rPr>
        <w:t xml:space="preserve">   Х.Г. Алапанов</w:t>
      </w:r>
    </w:p>
    <w:p w:rsidR="00862326" w:rsidRDefault="00862326" w:rsidP="008623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B3C04" w:rsidP="008623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 w:rsidR="00862326">
        <w:rPr>
          <w:rFonts w:ascii="Times New Roman" w:hAnsi="Times New Roman" w:cs="Times New Roman"/>
          <w:sz w:val="28"/>
          <w:szCs w:val="28"/>
        </w:rPr>
        <w:t>.2021</w:t>
      </w: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385" w:rsidRDefault="00091385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385" w:rsidRDefault="00091385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385" w:rsidRDefault="00091385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385" w:rsidRDefault="00091385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385" w:rsidRDefault="00091385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385" w:rsidRDefault="00091385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385" w:rsidRDefault="00091385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11C" w:rsidRDefault="0082311C" w:rsidP="00862326">
      <w:pPr>
        <w:pStyle w:val="11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862326" w:rsidRDefault="00862326" w:rsidP="00862326">
      <w:pPr>
        <w:pStyle w:val="11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62326" w:rsidRDefault="00862326" w:rsidP="0086232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решением Думы </w:t>
      </w:r>
    </w:p>
    <w:p w:rsidR="00862326" w:rsidRDefault="00862326" w:rsidP="0086232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Бардымского муниципального округа</w:t>
      </w:r>
    </w:p>
    <w:p w:rsidR="00862326" w:rsidRDefault="00862326" w:rsidP="0086232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25.08.2021 № 298  </w:t>
      </w:r>
    </w:p>
    <w:p w:rsidR="00862326" w:rsidRDefault="00862326" w:rsidP="00862326">
      <w:pPr>
        <w:pStyle w:val="11"/>
        <w:rPr>
          <w:rFonts w:ascii="Times New Roman" w:hAnsi="Times New Roman"/>
          <w:sz w:val="28"/>
          <w:szCs w:val="28"/>
        </w:rPr>
      </w:pPr>
    </w:p>
    <w:p w:rsidR="00862326" w:rsidRPr="00F47656" w:rsidRDefault="00862326" w:rsidP="0086232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F47656">
        <w:rPr>
          <w:rFonts w:ascii="Times New Roman" w:hAnsi="Times New Roman"/>
          <w:b/>
          <w:sz w:val="28"/>
          <w:szCs w:val="28"/>
        </w:rPr>
        <w:t>ПОЛОЖЕНИЕ</w:t>
      </w:r>
    </w:p>
    <w:p w:rsidR="00862326" w:rsidRPr="00F47656" w:rsidRDefault="00862326" w:rsidP="0086232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56">
        <w:rPr>
          <w:rFonts w:ascii="Times New Roman" w:hAnsi="Times New Roman" w:cs="Times New Roman"/>
          <w:b/>
          <w:sz w:val="28"/>
          <w:szCs w:val="28"/>
        </w:rPr>
        <w:t>о порядке представления ежегодного отчета главы муниципального округа - главы администрации Бардымского муниципального округа</w:t>
      </w:r>
    </w:p>
    <w:p w:rsidR="00862326" w:rsidRPr="000B76D5" w:rsidRDefault="00862326" w:rsidP="0086232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62326" w:rsidRPr="00F47656" w:rsidRDefault="00862326" w:rsidP="0086232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47656">
        <w:rPr>
          <w:rFonts w:ascii="Times New Roman" w:hAnsi="Times New Roman"/>
          <w:b/>
          <w:sz w:val="28"/>
          <w:szCs w:val="28"/>
        </w:rPr>
        <w:t>. Общие положения</w:t>
      </w:r>
    </w:p>
    <w:p w:rsidR="00862326" w:rsidRPr="00F74F9A" w:rsidRDefault="00862326" w:rsidP="0086232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6D5">
        <w:rPr>
          <w:rFonts w:ascii="Times New Roman" w:hAnsi="Times New Roman"/>
          <w:color w:val="000000"/>
          <w:sz w:val="28"/>
          <w:szCs w:val="28"/>
        </w:rPr>
        <w:tab/>
        <w:t>1.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0B7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76D5">
        <w:rPr>
          <w:rFonts w:ascii="Times New Roman" w:hAnsi="Times New Roman"/>
          <w:sz w:val="28"/>
          <w:szCs w:val="28"/>
        </w:rPr>
        <w:t>Настоящее Положение устанавливает порядок представления ежегодного отчета главы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– главы администрации Бардымского муниципального округа</w:t>
      </w:r>
      <w:r w:rsidRPr="000B76D5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Бардымского муниципального округа, в том числе о решении вопросов поставленных Думой Бардымского муниципального округа (далее – ежегодный отчет), а также порядок заслушивания главы Бардымского муниципального округа (далее – глава муниципального округа) и оценки его деятельности</w:t>
      </w:r>
      <w:r w:rsidRPr="000B76D5">
        <w:rPr>
          <w:rFonts w:ascii="Times New Roman" w:hAnsi="Times New Roman"/>
          <w:sz w:val="28"/>
          <w:szCs w:val="28"/>
          <w:lang w:eastAsia="ru-RU"/>
        </w:rPr>
        <w:t>.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pacing w:val="-4"/>
          <w:sz w:val="28"/>
          <w:szCs w:val="28"/>
        </w:rPr>
      </w:pPr>
      <w:r w:rsidRPr="000B7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0B76D5">
        <w:rPr>
          <w:rFonts w:ascii="Times New Roman" w:hAnsi="Times New Roman"/>
          <w:sz w:val="28"/>
          <w:szCs w:val="28"/>
        </w:rPr>
        <w:t>2. Представление ежегодного отчета главой муниципального округа,</w:t>
      </w:r>
      <w:r w:rsidRPr="000B76D5">
        <w:rPr>
          <w:rFonts w:ascii="Times New Roman" w:hAnsi="Times New Roman"/>
          <w:spacing w:val="-4"/>
          <w:sz w:val="28"/>
          <w:szCs w:val="28"/>
        </w:rPr>
        <w:t xml:space="preserve"> заслушивание ежегодного отчета Думой </w:t>
      </w:r>
      <w:r w:rsidRPr="000B76D5">
        <w:rPr>
          <w:rFonts w:ascii="Times New Roman" w:hAnsi="Times New Roman"/>
          <w:sz w:val="28"/>
          <w:szCs w:val="28"/>
        </w:rPr>
        <w:t>Бардымского</w:t>
      </w:r>
      <w:r w:rsidRPr="000B76D5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(далее – Дума округа) и его оценка </w:t>
      </w:r>
      <w:r w:rsidRPr="000B76D5">
        <w:rPr>
          <w:rFonts w:ascii="Times New Roman" w:hAnsi="Times New Roman"/>
          <w:spacing w:val="-3"/>
          <w:sz w:val="28"/>
          <w:szCs w:val="28"/>
        </w:rPr>
        <w:t xml:space="preserve">осуществляется в соответствии с </w:t>
      </w:r>
      <w:r w:rsidRPr="000B76D5">
        <w:rPr>
          <w:rFonts w:ascii="Times New Roman" w:hAnsi="Times New Roman"/>
          <w:spacing w:val="-4"/>
          <w:sz w:val="28"/>
          <w:szCs w:val="28"/>
        </w:rPr>
        <w:t xml:space="preserve">действующим законодательством, Уставом </w:t>
      </w:r>
      <w:r w:rsidRPr="000B76D5">
        <w:rPr>
          <w:rFonts w:ascii="Times New Roman" w:hAnsi="Times New Roman"/>
          <w:sz w:val="28"/>
          <w:szCs w:val="28"/>
        </w:rPr>
        <w:t>Бардымского</w:t>
      </w:r>
      <w:r w:rsidRPr="000B76D5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и настоящим Положением.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326" w:rsidRDefault="00862326" w:rsidP="00862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47656">
        <w:rPr>
          <w:rFonts w:ascii="Times New Roman" w:hAnsi="Times New Roman" w:cs="Times New Roman"/>
          <w:b/>
          <w:color w:val="000000"/>
          <w:sz w:val="28"/>
          <w:szCs w:val="28"/>
        </w:rPr>
        <w:t>. Представление, форма и содержание ежегодного отчета</w:t>
      </w:r>
    </w:p>
    <w:p w:rsidR="00862326" w:rsidRPr="00F47656" w:rsidRDefault="00862326" w:rsidP="00862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Pr="000B76D5">
        <w:rPr>
          <w:rFonts w:ascii="Times New Roman" w:hAnsi="Times New Roman"/>
          <w:sz w:val="28"/>
          <w:szCs w:val="28"/>
        </w:rPr>
        <w:t>. Ежегодный отчет представляется в Думу</w:t>
      </w:r>
      <w:r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Pr="000B76D5">
        <w:rPr>
          <w:rFonts w:ascii="Times New Roman" w:hAnsi="Times New Roman"/>
          <w:sz w:val="28"/>
          <w:szCs w:val="28"/>
        </w:rPr>
        <w:t xml:space="preserve">округа главой муниципального округа один раз в год в срок до 01 мая, следующего за отчетным. 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 w:rsidRPr="000B76D5">
        <w:rPr>
          <w:rFonts w:ascii="Times New Roman" w:hAnsi="Times New Roman"/>
          <w:sz w:val="28"/>
          <w:szCs w:val="28"/>
        </w:rPr>
        <w:t> </w:t>
      </w:r>
      <w:r w:rsidRPr="000B76D5">
        <w:rPr>
          <w:rFonts w:ascii="Times New Roman" w:hAnsi="Times New Roman"/>
          <w:spacing w:val="-1"/>
          <w:sz w:val="28"/>
          <w:szCs w:val="28"/>
        </w:rPr>
        <w:t xml:space="preserve">Датой представления ежегодного отчета считается день регистрации </w:t>
      </w:r>
      <w:r w:rsidRPr="000B76D5">
        <w:rPr>
          <w:rFonts w:ascii="Times New Roman" w:hAnsi="Times New Roman"/>
          <w:spacing w:val="-2"/>
          <w:sz w:val="28"/>
          <w:szCs w:val="28"/>
        </w:rPr>
        <w:t xml:space="preserve">поступивших в </w:t>
      </w:r>
      <w:r w:rsidRPr="000B76D5">
        <w:rPr>
          <w:rFonts w:ascii="Times New Roman" w:hAnsi="Times New Roman"/>
          <w:spacing w:val="-4"/>
          <w:sz w:val="28"/>
          <w:szCs w:val="28"/>
        </w:rPr>
        <w:t xml:space="preserve">Думу </w:t>
      </w:r>
      <w:r>
        <w:rPr>
          <w:rFonts w:ascii="Times New Roman" w:hAnsi="Times New Roman"/>
          <w:sz w:val="28"/>
          <w:szCs w:val="28"/>
        </w:rPr>
        <w:t>Бардымского муниципального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76D5">
        <w:rPr>
          <w:rFonts w:ascii="Times New Roman" w:hAnsi="Times New Roman"/>
          <w:spacing w:val="-4"/>
          <w:sz w:val="28"/>
          <w:szCs w:val="28"/>
        </w:rPr>
        <w:t xml:space="preserve">округа </w:t>
      </w:r>
      <w:r w:rsidRPr="000B76D5">
        <w:rPr>
          <w:rFonts w:ascii="Times New Roman" w:hAnsi="Times New Roman"/>
          <w:sz w:val="28"/>
          <w:szCs w:val="28"/>
        </w:rPr>
        <w:t>документов и материалов.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 Форма представления – </w:t>
      </w:r>
      <w:r w:rsidRPr="000B76D5">
        <w:rPr>
          <w:rFonts w:ascii="Times New Roman" w:hAnsi="Times New Roman"/>
          <w:sz w:val="28"/>
          <w:szCs w:val="28"/>
        </w:rPr>
        <w:t xml:space="preserve">на бумажном и электронном носителях с последующим размещением на официальном сайте Бардымского муниципального округа. 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7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2.4</w:t>
      </w:r>
      <w:r w:rsidRPr="000B76D5">
        <w:rPr>
          <w:rFonts w:ascii="Times New Roman" w:hAnsi="Times New Roman"/>
          <w:sz w:val="28"/>
          <w:szCs w:val="28"/>
        </w:rPr>
        <w:t>. Ежегодный отчет должен содержать полную информацию за предшествующий отчету календарный год о результатах деятельности главы муниципального округа, деятельности администрации Бардымского муниципального округа, в том числе о решении вопросов, поставленных Думой</w:t>
      </w:r>
      <w:r w:rsidRPr="001B2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</w:t>
      </w:r>
      <w:r w:rsidRPr="000B76D5">
        <w:rPr>
          <w:rFonts w:ascii="Times New Roman" w:hAnsi="Times New Roman"/>
          <w:sz w:val="28"/>
          <w:szCs w:val="28"/>
        </w:rPr>
        <w:t xml:space="preserve"> округа.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</w:t>
      </w:r>
      <w:r w:rsidRPr="000B76D5">
        <w:rPr>
          <w:rFonts w:ascii="Times New Roman" w:hAnsi="Times New Roman"/>
          <w:sz w:val="28"/>
          <w:szCs w:val="28"/>
        </w:rPr>
        <w:t>. Структура ежегодного отчета должна включать информацию: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B76D5">
        <w:rPr>
          <w:rFonts w:ascii="Times New Roman" w:hAnsi="Times New Roman"/>
          <w:sz w:val="28"/>
          <w:szCs w:val="28"/>
        </w:rPr>
        <w:t>о реализации Стратегии социально-экономического развития Бардымского муниципального округа Пермского края (далее - Стратегия), включая реализацию планов и му</w:t>
      </w:r>
      <w:r w:rsidRPr="000B76D5">
        <w:rPr>
          <w:rFonts w:ascii="Times New Roman" w:hAnsi="Times New Roman"/>
          <w:spacing w:val="-4"/>
          <w:sz w:val="28"/>
          <w:szCs w:val="28"/>
        </w:rPr>
        <w:t>ниципальных программ;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0B76D5">
        <w:rPr>
          <w:rFonts w:ascii="Times New Roman" w:hAnsi="Times New Roman"/>
          <w:sz w:val="28"/>
          <w:szCs w:val="28"/>
        </w:rPr>
        <w:t>о решении вопросов местного значения Бардымского муниципального округа Пермского края;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7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0B76D5">
        <w:rPr>
          <w:rFonts w:ascii="Times New Roman" w:hAnsi="Times New Roman"/>
          <w:sz w:val="28"/>
          <w:szCs w:val="28"/>
        </w:rPr>
        <w:t> о решении вопросов, поставленных Думой</w:t>
      </w:r>
      <w:r w:rsidRPr="001B2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</w:t>
      </w:r>
      <w:r w:rsidRPr="000B76D5">
        <w:rPr>
          <w:rFonts w:ascii="Times New Roman" w:hAnsi="Times New Roman"/>
          <w:sz w:val="28"/>
          <w:szCs w:val="28"/>
        </w:rPr>
        <w:t xml:space="preserve"> округа в течение отчетного периода;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0B76D5">
        <w:rPr>
          <w:rFonts w:ascii="Times New Roman" w:hAnsi="Times New Roman"/>
          <w:sz w:val="28"/>
          <w:szCs w:val="28"/>
        </w:rPr>
        <w:t> об исполнении бюджета Бардымского муниципального округа Пермского края за отчетный период;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B76D5">
        <w:rPr>
          <w:rFonts w:ascii="Times New Roman" w:hAnsi="Times New Roman"/>
          <w:sz w:val="28"/>
          <w:szCs w:val="28"/>
        </w:rPr>
        <w:t>перечень и критерии показателей, применяемых при оценке результативности деятельности главы Бардымского муниципального округа, деятельности администрации Бардымского муниципального округа по итогам заслушивания ежегодного отчета главы Бардымского муниципального округа по форме согласно приложению к настоящему Положению.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7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2.6 </w:t>
      </w:r>
      <w:r w:rsidRPr="000B76D5">
        <w:rPr>
          <w:rFonts w:ascii="Times New Roman" w:hAnsi="Times New Roman"/>
          <w:sz w:val="28"/>
          <w:szCs w:val="28"/>
        </w:rPr>
        <w:t>В качестве комментария к ежегодному отчету могут быть приложены презентационные материалы, слайды, таблицы, мониторинговые исследования, иллюстрации.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0B76D5">
        <w:rPr>
          <w:rFonts w:ascii="Times New Roman" w:hAnsi="Times New Roman" w:cs="Times New Roman"/>
          <w:sz w:val="28"/>
          <w:szCs w:val="28"/>
        </w:rPr>
        <w:t xml:space="preserve">Непредставление ежегодного отчета главы муниципального округа рассматривается как нарушение федерального законодательства и может повлечь признание деятельности главы муниципального округа, деятельности администрации </w:t>
      </w:r>
      <w:r w:rsidRPr="000B76D5">
        <w:rPr>
          <w:rFonts w:ascii="Times New Roman" w:hAnsi="Times New Roman"/>
          <w:sz w:val="28"/>
          <w:szCs w:val="28"/>
        </w:rPr>
        <w:t>Бардымского</w:t>
      </w:r>
      <w:r w:rsidRPr="000B76D5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о решении вопросов, поставленных Думой</w:t>
      </w:r>
      <w:r w:rsidRPr="001B2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 w:cs="Times New Roman"/>
          <w:sz w:val="28"/>
          <w:szCs w:val="28"/>
        </w:rPr>
        <w:t xml:space="preserve"> округа, неудовлетворительной.</w:t>
      </w:r>
    </w:p>
    <w:p w:rsidR="00862326" w:rsidRPr="004476D8" w:rsidRDefault="00862326" w:rsidP="0086232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62326" w:rsidRDefault="00862326" w:rsidP="00862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6D8">
        <w:rPr>
          <w:rFonts w:ascii="Times New Roman" w:hAnsi="Times New Roman" w:cs="Times New Roman"/>
          <w:b/>
          <w:color w:val="000000"/>
          <w:sz w:val="28"/>
          <w:szCs w:val="28"/>
        </w:rPr>
        <w:t>3. Процедура рассмотрения и заслушивания ежегодного отчета</w:t>
      </w:r>
    </w:p>
    <w:p w:rsidR="00862326" w:rsidRPr="004476D8" w:rsidRDefault="00862326" w:rsidP="00862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3.1. </w:t>
      </w:r>
      <w:r w:rsidRPr="000B76D5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hAnsi="Times New Roman"/>
          <w:sz w:val="28"/>
          <w:szCs w:val="28"/>
        </w:rPr>
        <w:t>Бардымского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6D5">
        <w:rPr>
          <w:rFonts w:ascii="Times New Roman" w:hAnsi="Times New Roman"/>
          <w:sz w:val="28"/>
          <w:szCs w:val="28"/>
          <w:lang w:eastAsia="ru-RU"/>
        </w:rPr>
        <w:t>округа в течение трех рабочих дней со дня поступления ежегодного отчета главы муниципального округа направляет его в постоянные комиссии 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/>
          <w:sz w:val="28"/>
          <w:szCs w:val="28"/>
          <w:lang w:eastAsia="ru-RU"/>
        </w:rPr>
        <w:t>округа.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3.2.</w:t>
      </w:r>
      <w:r w:rsidRPr="000B76D5">
        <w:rPr>
          <w:rFonts w:ascii="Times New Roman" w:hAnsi="Times New Roman"/>
          <w:sz w:val="28"/>
          <w:szCs w:val="28"/>
        </w:rPr>
        <w:t xml:space="preserve"> Ежегодный отчет главы муниципального округа предварительно рассматривается на заседаниях постоянных комиссий Думы</w:t>
      </w:r>
      <w:r>
        <w:rPr>
          <w:rFonts w:ascii="Times New Roman" w:hAnsi="Times New Roman"/>
          <w:sz w:val="28"/>
          <w:szCs w:val="28"/>
        </w:rPr>
        <w:t xml:space="preserve"> Бардымского муниципального</w:t>
      </w:r>
      <w:r w:rsidRPr="000B76D5">
        <w:rPr>
          <w:rFonts w:ascii="Times New Roman" w:hAnsi="Times New Roman"/>
          <w:sz w:val="28"/>
          <w:szCs w:val="28"/>
        </w:rPr>
        <w:t xml:space="preserve"> округа. По решению председателей постоянных комиссий может быть проведено совместное заседание постоянных комиссий Думы </w:t>
      </w:r>
      <w:r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/>
          <w:sz w:val="28"/>
          <w:szCs w:val="28"/>
        </w:rPr>
        <w:t xml:space="preserve">округа. 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0B76D5">
        <w:rPr>
          <w:rFonts w:ascii="Times New Roman" w:hAnsi="Times New Roman" w:cs="Times New Roman"/>
          <w:sz w:val="28"/>
          <w:szCs w:val="28"/>
        </w:rPr>
        <w:t>. По итогам рассмотрения ежегодного отчета главы муниципального округа постоянными комиссиями Думы</w:t>
      </w:r>
      <w:r w:rsidRPr="00D8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0B76D5">
        <w:rPr>
          <w:rFonts w:ascii="Times New Roman" w:hAnsi="Times New Roman" w:cs="Times New Roman"/>
          <w:sz w:val="28"/>
          <w:szCs w:val="28"/>
        </w:rPr>
        <w:t xml:space="preserve"> округа оформляется протокол заседания постоянных комиссий, в котором формируется перечень вопросов депутатов, требующих разъяснений и/или дополнений при заслушивании ежегодного отчета на заседании Думы</w:t>
      </w:r>
      <w:r w:rsidRPr="00D8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 w:cs="Times New Roman"/>
          <w:sz w:val="28"/>
          <w:szCs w:val="28"/>
        </w:rPr>
        <w:t>округа.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3.4</w:t>
      </w:r>
      <w:r w:rsidRPr="000B76D5">
        <w:rPr>
          <w:rFonts w:ascii="Times New Roman" w:hAnsi="Times New Roman" w:cs="Times New Roman"/>
          <w:sz w:val="28"/>
          <w:szCs w:val="28"/>
        </w:rPr>
        <w:t>. Обобщенный перечень вопросов депутатов направляется председателем Думы</w:t>
      </w:r>
      <w:r w:rsidRPr="00D8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 w:cs="Times New Roman"/>
          <w:sz w:val="28"/>
          <w:szCs w:val="28"/>
        </w:rPr>
        <w:t>округа в адрес главы муниципального округ</w:t>
      </w:r>
      <w:r w:rsidR="00AC00E1">
        <w:rPr>
          <w:rFonts w:ascii="Times New Roman" w:hAnsi="Times New Roman" w:cs="Times New Roman"/>
          <w:sz w:val="28"/>
          <w:szCs w:val="28"/>
        </w:rPr>
        <w:t>а не позднее, чем за пять календарных</w:t>
      </w:r>
      <w:r w:rsidRPr="000B76D5">
        <w:rPr>
          <w:rFonts w:ascii="Times New Roman" w:hAnsi="Times New Roman" w:cs="Times New Roman"/>
          <w:sz w:val="28"/>
          <w:szCs w:val="28"/>
        </w:rPr>
        <w:t xml:space="preserve"> дней до согласованной даты заслушивания ежегодного отчета главы муниципального округа.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D5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3.5.</w:t>
      </w:r>
      <w:r w:rsidRPr="000B76D5">
        <w:rPr>
          <w:rFonts w:ascii="Times New Roman" w:hAnsi="Times New Roman" w:cs="Times New Roman"/>
          <w:sz w:val="28"/>
          <w:szCs w:val="28"/>
        </w:rPr>
        <w:t xml:space="preserve"> Информация о дате, месте и времени проведения заседания Думы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 w:cs="Times New Roman"/>
          <w:sz w:val="28"/>
          <w:szCs w:val="28"/>
        </w:rPr>
        <w:t xml:space="preserve">округа по вопросу заслушивания ежегодного отчета главы муниципального округа публикуется в </w:t>
      </w:r>
      <w:r w:rsidRPr="00776312">
        <w:rPr>
          <w:rFonts w:ascii="Times New Roman" w:hAnsi="Times New Roman"/>
          <w:sz w:val="28"/>
          <w:szCs w:val="28"/>
        </w:rPr>
        <w:t>газете «Тан» («Рассвет»)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6D5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0B76D5">
        <w:rPr>
          <w:rFonts w:ascii="Times New Roman" w:hAnsi="Times New Roman" w:cs="Times New Roman"/>
          <w:sz w:val="28"/>
          <w:szCs w:val="28"/>
        </w:rPr>
        <w:t xml:space="preserve"> муниципального округа не позднее, чем за семь дней до предполагаемой даты.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3.6.</w:t>
      </w:r>
      <w:r w:rsidRPr="000B76D5">
        <w:rPr>
          <w:rFonts w:ascii="Times New Roman" w:hAnsi="Times New Roman" w:cs="Times New Roman"/>
          <w:sz w:val="28"/>
          <w:szCs w:val="28"/>
        </w:rPr>
        <w:t xml:space="preserve"> Заслушивание ежегодного отчета главы муниципального округа производится в форме доклада на заседании Думы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Pr="000B76D5">
        <w:rPr>
          <w:rFonts w:ascii="Times New Roman" w:hAnsi="Times New Roman" w:cs="Times New Roman"/>
          <w:sz w:val="28"/>
          <w:szCs w:val="28"/>
        </w:rPr>
        <w:t>округа. На заседание</w:t>
      </w:r>
      <w:r w:rsidRPr="000B76D5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приглашаться депутаты Законодательного Собрания Пермского края, представители органов местного самоуправления, руководители предприятий, организаций и учреждений, представители общественных организаций и средств массовой информации,</w:t>
      </w:r>
      <w:r w:rsidRPr="000B76D5">
        <w:rPr>
          <w:rFonts w:ascii="Times New Roman" w:hAnsi="Times New Roman" w:cs="Times New Roman"/>
          <w:sz w:val="28"/>
          <w:szCs w:val="28"/>
        </w:rPr>
        <w:t xml:space="preserve"> а также могут присутствовать жители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0B76D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3.7</w:t>
      </w:r>
      <w:r w:rsidRPr="000B76D5">
        <w:rPr>
          <w:rFonts w:ascii="Times New Roman" w:hAnsi="Times New Roman" w:cs="Times New Roman"/>
          <w:sz w:val="28"/>
          <w:szCs w:val="28"/>
        </w:rPr>
        <w:t>. Продолжительность доклада главы муниципального округа составляет до 60 минут.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3.8</w:t>
      </w:r>
      <w:r w:rsidRPr="000B76D5">
        <w:rPr>
          <w:rFonts w:ascii="Times New Roman" w:hAnsi="Times New Roman" w:cs="Times New Roman"/>
          <w:sz w:val="28"/>
          <w:szCs w:val="28"/>
        </w:rPr>
        <w:t>. После окончания главой муниципального округа доклада заслушиваются ответы на вопросы депутатов, поставленные на заседаниях постоянных комиссий Думы</w:t>
      </w:r>
      <w:r>
        <w:rPr>
          <w:rFonts w:ascii="Times New Roman" w:hAnsi="Times New Roman" w:cs="Times New Roman"/>
          <w:sz w:val="28"/>
          <w:szCs w:val="28"/>
        </w:rPr>
        <w:t xml:space="preserve"> Бардымского</w:t>
      </w:r>
      <w:r w:rsidRPr="000B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76D5">
        <w:rPr>
          <w:rFonts w:ascii="Times New Roman" w:hAnsi="Times New Roman" w:cs="Times New Roman"/>
          <w:sz w:val="28"/>
          <w:szCs w:val="28"/>
        </w:rPr>
        <w:t xml:space="preserve">округа, которые могут быть делегированы главой муниципального округа его заместителям, руководителям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0B76D5">
        <w:rPr>
          <w:rFonts w:ascii="Times New Roman" w:hAnsi="Times New Roman" w:cs="Times New Roman"/>
          <w:sz w:val="28"/>
          <w:szCs w:val="28"/>
        </w:rPr>
        <w:t xml:space="preserve"> муниципального округа. В этом случае ответы и пояснения дают лица, которым главой муниципального округа делегировано право дачи ответа и пояснений на поставленные депутатами вопросы.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3.9</w:t>
      </w:r>
      <w:r w:rsidRPr="000B76D5">
        <w:rPr>
          <w:rFonts w:ascii="Times New Roman" w:hAnsi="Times New Roman" w:cs="Times New Roman"/>
          <w:sz w:val="28"/>
          <w:szCs w:val="28"/>
        </w:rPr>
        <w:t>. В случае, если глава муниципального округа не может лично выступать с ежегодным отчетом на заседании Думы</w:t>
      </w:r>
      <w:r w:rsidRPr="00D8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 w:cs="Times New Roman"/>
          <w:sz w:val="28"/>
          <w:szCs w:val="28"/>
        </w:rPr>
        <w:t>округа по уважительным причинам (болезнь, командировка), заслушивание ежегодного отчета может быть перенесено по решению Думы</w:t>
      </w:r>
      <w:r>
        <w:rPr>
          <w:rFonts w:ascii="Times New Roman" w:hAnsi="Times New Roman" w:cs="Times New Roman"/>
          <w:sz w:val="28"/>
          <w:szCs w:val="28"/>
        </w:rPr>
        <w:t xml:space="preserve"> Бардымского</w:t>
      </w:r>
      <w:r w:rsidRPr="000B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76D5">
        <w:rPr>
          <w:rFonts w:ascii="Times New Roman" w:hAnsi="Times New Roman" w:cs="Times New Roman"/>
          <w:sz w:val="28"/>
          <w:szCs w:val="28"/>
        </w:rPr>
        <w:t>округа на более поздний срок.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3.10</w:t>
      </w:r>
      <w:r w:rsidRPr="000B76D5">
        <w:rPr>
          <w:rFonts w:ascii="Times New Roman" w:hAnsi="Times New Roman" w:cs="Times New Roman"/>
          <w:sz w:val="28"/>
          <w:szCs w:val="28"/>
        </w:rPr>
        <w:t xml:space="preserve">. В случае если глава муниципального округа после переноса срока заслушивания ежегодного отчета вновь не может лично выступать с ежегодным отчетом по уважительной причине (длительная болезнь), он вправе передоверить (делегировать) право выступить с отчетом одному из заместителей главы </w:t>
      </w:r>
      <w:r>
        <w:rPr>
          <w:rFonts w:ascii="Times New Roman" w:hAnsi="Times New Roman" w:cs="Times New Roman"/>
          <w:sz w:val="28"/>
          <w:szCs w:val="28"/>
        </w:rPr>
        <w:t>администрации Бардымского муни</w:t>
      </w:r>
      <w:r w:rsidRPr="000B76D5">
        <w:rPr>
          <w:rFonts w:ascii="Times New Roman" w:hAnsi="Times New Roman" w:cs="Times New Roman"/>
          <w:sz w:val="28"/>
          <w:szCs w:val="28"/>
        </w:rPr>
        <w:t>ципального округа.</w:t>
      </w:r>
    </w:p>
    <w:p w:rsidR="00862326" w:rsidRPr="000B76D5" w:rsidRDefault="00862326" w:rsidP="0086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Default="00862326" w:rsidP="0086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D8">
        <w:rPr>
          <w:rFonts w:ascii="Times New Roman" w:hAnsi="Times New Roman" w:cs="Times New Roman"/>
          <w:b/>
          <w:sz w:val="28"/>
          <w:szCs w:val="28"/>
        </w:rPr>
        <w:t>4. Принятие решения по ежегодному отчету</w:t>
      </w:r>
    </w:p>
    <w:p w:rsidR="00862326" w:rsidRDefault="00862326" w:rsidP="00862326">
      <w:pPr>
        <w:pStyle w:val="a3"/>
        <w:ind w:left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62326" w:rsidRPr="001825FF" w:rsidRDefault="00862326" w:rsidP="00862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6F6A">
        <w:rPr>
          <w:rFonts w:ascii="Times New Roman" w:eastAsiaTheme="minorHAnsi" w:hAnsi="Times New Roman"/>
          <w:sz w:val="28"/>
          <w:szCs w:val="28"/>
          <w:lang w:eastAsia="en-US"/>
        </w:rPr>
        <w:t>4.1.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1825FF">
        <w:rPr>
          <w:rFonts w:ascii="Times New Roman" w:hAnsi="Times New Roman"/>
          <w:sz w:val="28"/>
          <w:szCs w:val="28"/>
        </w:rPr>
        <w:t xml:space="preserve">По итогам рассмотрения ежегодного отчета главы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1825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Дума Бардымского муниципального округа </w:t>
      </w:r>
      <w:r w:rsidRPr="001825FF">
        <w:rPr>
          <w:rFonts w:ascii="Times New Roman" w:hAnsi="Times New Roman"/>
          <w:sz w:val="28"/>
          <w:szCs w:val="28"/>
        </w:rPr>
        <w:t xml:space="preserve">своим решением утверждает ежегодный отчет и выставляет оценку деятельности главы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1825FF">
        <w:rPr>
          <w:rFonts w:ascii="Times New Roman" w:hAnsi="Times New Roman"/>
          <w:sz w:val="28"/>
          <w:szCs w:val="28"/>
        </w:rPr>
        <w:t>.</w:t>
      </w:r>
    </w:p>
    <w:p w:rsidR="00862326" w:rsidRPr="001825FF" w:rsidRDefault="00862326" w:rsidP="00862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825FF">
        <w:rPr>
          <w:rFonts w:ascii="Times New Roman" w:hAnsi="Times New Roman"/>
          <w:sz w:val="28"/>
          <w:szCs w:val="28"/>
        </w:rPr>
        <w:t>Оценка может быть «удовлетворительной» и</w:t>
      </w:r>
      <w:r>
        <w:rPr>
          <w:rFonts w:ascii="Times New Roman" w:hAnsi="Times New Roman"/>
          <w:sz w:val="28"/>
          <w:szCs w:val="28"/>
        </w:rPr>
        <w:t>ли</w:t>
      </w:r>
      <w:r w:rsidRPr="001825FF">
        <w:rPr>
          <w:rFonts w:ascii="Times New Roman" w:hAnsi="Times New Roman"/>
          <w:sz w:val="28"/>
          <w:szCs w:val="28"/>
        </w:rPr>
        <w:t xml:space="preserve"> «неудовлетворительной».</w:t>
      </w:r>
    </w:p>
    <w:p w:rsidR="00862326" w:rsidRPr="001825FF" w:rsidRDefault="00862326" w:rsidP="00862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1825FF">
        <w:rPr>
          <w:rFonts w:ascii="Times New Roman" w:hAnsi="Times New Roman"/>
          <w:color w:val="000000"/>
          <w:sz w:val="28"/>
          <w:szCs w:val="28"/>
        </w:rPr>
        <w:t xml:space="preserve">Решение об итогах рассмотрения ежегодного отчета и об оценке деятельности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Pr="001825FF">
        <w:rPr>
          <w:rFonts w:ascii="Times New Roman" w:hAnsi="Times New Roman"/>
          <w:color w:val="000000"/>
          <w:sz w:val="28"/>
          <w:szCs w:val="28"/>
        </w:rPr>
        <w:t xml:space="preserve">за отчетный период считается принятым, </w:t>
      </w:r>
      <w:r w:rsidRPr="0087682A">
        <w:rPr>
          <w:rFonts w:ascii="Times New Roman" w:hAnsi="Times New Roman"/>
          <w:color w:val="000000"/>
          <w:sz w:val="28"/>
          <w:szCs w:val="28"/>
        </w:rPr>
        <w:t xml:space="preserve">если за него проголосовало большинство от присутствующих на </w:t>
      </w:r>
      <w:r w:rsidRPr="0087682A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заседании депутатов Думы </w:t>
      </w:r>
      <w:r>
        <w:rPr>
          <w:rFonts w:ascii="Times New Roman" w:hAnsi="Times New Roman"/>
          <w:color w:val="000000"/>
          <w:sz w:val="28"/>
          <w:szCs w:val="28"/>
        </w:rPr>
        <w:t xml:space="preserve">Бардымского муниципального </w:t>
      </w:r>
      <w:r w:rsidRPr="0087682A">
        <w:rPr>
          <w:rFonts w:ascii="Times New Roman" w:hAnsi="Times New Roman"/>
          <w:color w:val="000000"/>
          <w:sz w:val="28"/>
          <w:szCs w:val="28"/>
        </w:rPr>
        <w:t>округа.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принимается открытым голосованием.</w:t>
      </w:r>
    </w:p>
    <w:p w:rsidR="00862326" w:rsidRDefault="00862326" w:rsidP="0086232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Pr="00182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25FF">
        <w:rPr>
          <w:rFonts w:ascii="Times New Roman" w:hAnsi="Times New Roman"/>
          <w:sz w:val="28"/>
          <w:szCs w:val="28"/>
        </w:rPr>
        <w:t xml:space="preserve">Оценка деятельности </w:t>
      </w:r>
      <w:r w:rsidRPr="001825FF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Pr="001825FF">
        <w:rPr>
          <w:rFonts w:ascii="Times New Roman" w:hAnsi="Times New Roman"/>
          <w:sz w:val="28"/>
          <w:szCs w:val="28"/>
        </w:rPr>
        <w:t>дается с учетом</w:t>
      </w:r>
      <w:r>
        <w:rPr>
          <w:rFonts w:ascii="Times New Roman" w:hAnsi="Times New Roman"/>
          <w:sz w:val="28"/>
          <w:szCs w:val="28"/>
        </w:rPr>
        <w:t xml:space="preserve"> исполнения </w:t>
      </w:r>
      <w:r w:rsidRPr="003D1381">
        <w:rPr>
          <w:rFonts w:ascii="Times New Roman" w:hAnsi="Times New Roman"/>
          <w:sz w:val="28"/>
          <w:szCs w:val="28"/>
        </w:rPr>
        <w:t>критериев оценки, установленных в приложении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326" w:rsidRPr="00745993" w:rsidRDefault="00862326" w:rsidP="00862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</w:t>
      </w:r>
      <w:r w:rsidRPr="0074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возникновения обстоятельств, препятствующих либо делающих невозможным достижение (исполнение) показателей (критериев оценки главы округа) в отчетном году, такие показатели не оцениваются.</w:t>
      </w:r>
    </w:p>
    <w:p w:rsidR="00862326" w:rsidRPr="00F74F9A" w:rsidRDefault="00862326" w:rsidP="0086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таковым </w:t>
      </w:r>
      <w:r w:rsidRPr="0074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обстоятельствам относятся такие обстоятельства как, введение ограничительных мер правовыми актами Пермского края, пожары, наводнения, стихийные бедствия, иные обстоятельства, не зависящие от деятельности главы округа 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4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округа.</w:t>
      </w:r>
    </w:p>
    <w:p w:rsidR="00862326" w:rsidRPr="000B76D5" w:rsidRDefault="00862326" w:rsidP="0086232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B76D5">
        <w:rPr>
          <w:rFonts w:ascii="Times New Roman" w:hAnsi="Times New Roman"/>
          <w:sz w:val="28"/>
          <w:szCs w:val="28"/>
        </w:rPr>
        <w:t>. Решение Думы</w:t>
      </w:r>
      <w:r>
        <w:rPr>
          <w:rFonts w:ascii="Times New Roman" w:hAnsi="Times New Roman"/>
          <w:sz w:val="28"/>
          <w:szCs w:val="28"/>
        </w:rPr>
        <w:t xml:space="preserve"> Бардымского муниципального</w:t>
      </w:r>
      <w:r w:rsidRPr="000B76D5">
        <w:rPr>
          <w:rFonts w:ascii="Times New Roman" w:hAnsi="Times New Roman"/>
          <w:sz w:val="28"/>
          <w:szCs w:val="28"/>
        </w:rPr>
        <w:t xml:space="preserve"> округа и текст ежегодного отчета главы муниципального округа подлежат официальному опубликованию, а также размещению на официальном сайте </w:t>
      </w:r>
      <w:r>
        <w:rPr>
          <w:rFonts w:ascii="Times New Roman" w:hAnsi="Times New Roman"/>
          <w:sz w:val="28"/>
          <w:szCs w:val="28"/>
        </w:rPr>
        <w:t>Бардымского</w:t>
      </w:r>
      <w:r w:rsidRPr="000B76D5">
        <w:rPr>
          <w:rFonts w:ascii="Times New Roman" w:hAnsi="Times New Roman"/>
          <w:sz w:val="28"/>
          <w:szCs w:val="28"/>
        </w:rPr>
        <w:t xml:space="preserve"> муниципального округа Пермского края.</w:t>
      </w:r>
    </w:p>
    <w:p w:rsidR="00862326" w:rsidRPr="000B76D5" w:rsidRDefault="00862326" w:rsidP="0086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B76D5">
        <w:rPr>
          <w:rFonts w:ascii="Times New Roman" w:hAnsi="Times New Roman" w:cs="Times New Roman"/>
          <w:sz w:val="28"/>
          <w:szCs w:val="28"/>
        </w:rPr>
        <w:t>.</w:t>
      </w:r>
      <w:r w:rsidRPr="000B76D5">
        <w:rPr>
          <w:rFonts w:ascii="Times New Roman" w:hAnsi="Times New Roman" w:cs="Times New Roman"/>
          <w:sz w:val="28"/>
          <w:szCs w:val="28"/>
        </w:rPr>
        <w:tab/>
      </w:r>
      <w:r w:rsidRPr="000B76D5">
        <w:rPr>
          <w:rFonts w:ascii="Times New Roman" w:hAnsi="Times New Roman" w:cs="Times New Roman"/>
          <w:color w:val="000000"/>
          <w:sz w:val="28"/>
          <w:szCs w:val="28"/>
        </w:rPr>
        <w:t>Неудовлетворительная оценка деятельности главы муниципального округа</w:t>
      </w:r>
      <w:r w:rsidR="00AC00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76D5">
        <w:rPr>
          <w:rFonts w:ascii="Times New Roman" w:hAnsi="Times New Roman" w:cs="Times New Roman"/>
          <w:color w:val="000000"/>
          <w:sz w:val="28"/>
          <w:szCs w:val="28"/>
        </w:rPr>
        <w:t xml:space="preserve"> данная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 w:cs="Times New Roman"/>
          <w:color w:val="000000"/>
          <w:sz w:val="28"/>
          <w:szCs w:val="28"/>
        </w:rPr>
        <w:t>округа по результатам его ежегодного отчета, два раза подряд, влечет за собой ответственность, предусмотренную пунктом 3 части 2 статьи 74.1 Федерального закона от 06.10.2003 № 131-ФЗ «Об общих принципах организации местного самоуправления в РФ».</w:t>
      </w:r>
    </w:p>
    <w:p w:rsidR="00862326" w:rsidRPr="000B76D5" w:rsidRDefault="00862326" w:rsidP="0086232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62326" w:rsidRPr="00396F6A" w:rsidRDefault="00862326" w:rsidP="00862326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6F6A">
        <w:rPr>
          <w:rFonts w:ascii="Times New Roman" w:hAnsi="Times New Roman"/>
          <w:b/>
          <w:color w:val="000000"/>
          <w:sz w:val="28"/>
          <w:szCs w:val="28"/>
        </w:rPr>
        <w:t>5. Контроль и ответственность</w:t>
      </w:r>
    </w:p>
    <w:p w:rsidR="00862326" w:rsidRPr="000B76D5" w:rsidRDefault="00862326" w:rsidP="00862326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2326" w:rsidRDefault="00862326" w:rsidP="008623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0B76D5">
        <w:rPr>
          <w:rFonts w:ascii="Times New Roman" w:hAnsi="Times New Roman" w:cs="Times New Roman"/>
          <w:color w:val="000000"/>
          <w:sz w:val="28"/>
          <w:szCs w:val="28"/>
        </w:rPr>
        <w:t xml:space="preserve">.  Контроль за соблюдением настоящего Положения осуществляется председателем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Бардымского муниципального </w:t>
      </w:r>
      <w:r w:rsidRPr="000B76D5">
        <w:rPr>
          <w:rFonts w:ascii="Times New Roman" w:hAnsi="Times New Roman" w:cs="Times New Roman"/>
          <w:color w:val="000000"/>
          <w:sz w:val="28"/>
          <w:szCs w:val="28"/>
        </w:rPr>
        <w:t xml:space="preserve">округа. </w:t>
      </w: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87682A">
        <w:rPr>
          <w:rFonts w:ascii="Times New Roman" w:hAnsi="Times New Roman"/>
          <w:color w:val="000000"/>
          <w:sz w:val="28"/>
          <w:szCs w:val="28"/>
        </w:rPr>
        <w:t>Ответственность за нарушение настоящего Порядка определяется в соответствии с законодательством и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пальными нормативными правовыми </w:t>
      </w:r>
      <w:r w:rsidRPr="0087682A">
        <w:rPr>
          <w:rFonts w:ascii="Times New Roman" w:hAnsi="Times New Roman"/>
          <w:color w:val="000000"/>
          <w:sz w:val="28"/>
          <w:szCs w:val="28"/>
        </w:rPr>
        <w:t>актами.</w:t>
      </w: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326" w:rsidRDefault="00862326" w:rsidP="008623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0E1" w:rsidRDefault="00AC00E1" w:rsidP="00862326">
      <w:pPr>
        <w:tabs>
          <w:tab w:val="left" w:pos="8789"/>
        </w:tabs>
        <w:spacing w:after="0" w:line="240" w:lineRule="auto"/>
        <w:ind w:left="539" w:right="-34" w:firstLine="4564"/>
        <w:jc w:val="right"/>
        <w:rPr>
          <w:rFonts w:ascii="Times New Roman" w:hAnsi="Times New Roman" w:cs="Times New Roman"/>
          <w:sz w:val="24"/>
          <w:szCs w:val="28"/>
        </w:rPr>
      </w:pPr>
    </w:p>
    <w:p w:rsidR="00862326" w:rsidRPr="00396F6A" w:rsidRDefault="00862326" w:rsidP="00862326">
      <w:pPr>
        <w:tabs>
          <w:tab w:val="left" w:pos="8789"/>
        </w:tabs>
        <w:spacing w:after="0" w:line="240" w:lineRule="auto"/>
        <w:ind w:left="539" w:right="-34" w:firstLine="4564"/>
        <w:jc w:val="right"/>
        <w:rPr>
          <w:rFonts w:ascii="Times New Roman" w:hAnsi="Times New Roman" w:cs="Times New Roman"/>
          <w:sz w:val="24"/>
          <w:szCs w:val="28"/>
        </w:rPr>
      </w:pPr>
      <w:r w:rsidRPr="00396F6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862326" w:rsidRPr="00396F6A" w:rsidRDefault="00862326" w:rsidP="00862326">
      <w:pPr>
        <w:tabs>
          <w:tab w:val="left" w:pos="8789"/>
        </w:tabs>
        <w:spacing w:after="0" w:line="240" w:lineRule="auto"/>
        <w:ind w:left="539" w:right="-34" w:firstLine="4564"/>
        <w:jc w:val="right"/>
        <w:rPr>
          <w:rFonts w:ascii="Times New Roman" w:hAnsi="Times New Roman" w:cs="Times New Roman"/>
          <w:sz w:val="24"/>
          <w:szCs w:val="28"/>
        </w:rPr>
      </w:pPr>
      <w:r w:rsidRPr="00396F6A">
        <w:rPr>
          <w:rFonts w:ascii="Times New Roman" w:hAnsi="Times New Roman" w:cs="Times New Roman"/>
          <w:sz w:val="24"/>
          <w:szCs w:val="28"/>
        </w:rPr>
        <w:t>к Положению «О порядке представления</w:t>
      </w:r>
    </w:p>
    <w:p w:rsidR="00862326" w:rsidRDefault="00862326" w:rsidP="00862326">
      <w:pPr>
        <w:tabs>
          <w:tab w:val="left" w:pos="8789"/>
        </w:tabs>
        <w:spacing w:after="0" w:line="240" w:lineRule="auto"/>
        <w:ind w:left="5103" w:right="-34"/>
        <w:jc w:val="right"/>
        <w:rPr>
          <w:rFonts w:ascii="Times New Roman" w:hAnsi="Times New Roman" w:cs="Times New Roman"/>
          <w:sz w:val="24"/>
          <w:szCs w:val="28"/>
        </w:rPr>
      </w:pPr>
      <w:r w:rsidRPr="00396F6A">
        <w:rPr>
          <w:rFonts w:ascii="Times New Roman" w:hAnsi="Times New Roman" w:cs="Times New Roman"/>
          <w:sz w:val="24"/>
          <w:szCs w:val="28"/>
        </w:rPr>
        <w:t>ежегодного отчета главы муниципального округа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96F6A">
        <w:rPr>
          <w:rFonts w:ascii="Times New Roman" w:hAnsi="Times New Roman" w:cs="Times New Roman"/>
          <w:sz w:val="24"/>
          <w:szCs w:val="28"/>
        </w:rPr>
        <w:t>главы администрации Бардымского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96F6A">
        <w:rPr>
          <w:rFonts w:ascii="Times New Roman" w:hAnsi="Times New Roman" w:cs="Times New Roman"/>
          <w:sz w:val="24"/>
          <w:szCs w:val="28"/>
        </w:rPr>
        <w:t xml:space="preserve"> муниципального округа»</w:t>
      </w:r>
    </w:p>
    <w:p w:rsidR="00862326" w:rsidRPr="00396F6A" w:rsidRDefault="00862326" w:rsidP="00862326">
      <w:pPr>
        <w:tabs>
          <w:tab w:val="left" w:pos="8789"/>
        </w:tabs>
        <w:spacing w:after="0" w:line="240" w:lineRule="auto"/>
        <w:ind w:left="5103" w:right="-34"/>
        <w:jc w:val="right"/>
        <w:rPr>
          <w:rFonts w:ascii="Times New Roman" w:hAnsi="Times New Roman" w:cs="Times New Roman"/>
          <w:sz w:val="24"/>
          <w:szCs w:val="28"/>
        </w:rPr>
      </w:pPr>
    </w:p>
    <w:p w:rsidR="00862326" w:rsidRDefault="00862326" w:rsidP="0086232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96F6A">
        <w:rPr>
          <w:rFonts w:ascii="Times New Roman" w:hAnsi="Times New Roman"/>
          <w:b/>
          <w:sz w:val="28"/>
          <w:szCs w:val="28"/>
        </w:rPr>
        <w:t>еречень и критерии показателей, применяемых при оценке результативности деятельности главы Бардымского муниципального округа, деятельности администрации Бардымского муниципального округа по итогам заслушивания ежегодного отчета главы Бардымского муниципального округа</w:t>
      </w:r>
    </w:p>
    <w:p w:rsidR="00862326" w:rsidRPr="00396F6A" w:rsidRDefault="00862326" w:rsidP="0086232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072"/>
      </w:tblGrid>
      <w:tr w:rsidR="00862326" w:rsidRPr="00922DB2" w:rsidTr="00300829">
        <w:trPr>
          <w:trHeight w:val="216"/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ind w:left="67"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СОЦИАЛЬНОЕ РАЗВИТИЕ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ind w:left="67"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Численность постоянного населения на конец года, чел.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ind w:left="67"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Миграционный прирост населения (чел.)                               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ind w:left="67"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выпускников 11-х классов, получивших аттестаты о среднем общем образовании, %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ind w:left="67"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Превышение среднего балла ЕГЭ по всем предметам в сравнении с аналогичным периодом предыдущего года, (ед)                               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ind w:left="67"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учителей в возрасте до 35 лет в общей численности учителей общеобразовательных организаций, 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ind w:left="67"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Пермского края, 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ind w:left="67"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по Пермскому краю, %</w:t>
            </w:r>
          </w:p>
        </w:tc>
      </w:tr>
      <w:tr w:rsidR="00862326" w:rsidRPr="00922DB2" w:rsidTr="00300829">
        <w:trPr>
          <w:trHeight w:val="6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</w:rPr>
            </w:pPr>
            <w:r w:rsidRPr="00922DB2">
              <w:rPr>
                <w:rFonts w:ascii="Times New Roman" w:hAnsi="Times New Roman" w:cs="Times New Roman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Пермском крае, %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в возрасте от 3 до 7 лет, стоящих в очереди для определения в дошкольные образовательные учреждения, %             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школьного возраста, посещающих занятия физкультурно-оздоровительных групп и спортивных секций, в общем количестве детей данной возрастной группы, %                                        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различными формами оздоровления и отдыха, от числа детей в возрасте от 7 до 17 лет, %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населения, систематически занимающегося физической культурой и спортом, %                                                         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обеспеченности населения спортивными сооружениями исходя из их единовременной пропускной способности , %                         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образовательных учреждений, имеющих лицензию на  образовательную деятельность, %                      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учреждений культуры, здания которых находятся в  аварийном состоянии или требуют капитального ремонта, в общем количестве муниципальных учреждений культуры (%)                    </w:t>
            </w:r>
          </w:p>
        </w:tc>
      </w:tr>
      <w:tr w:rsidR="00862326" w:rsidRPr="00922DB2" w:rsidTr="00300829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собственности, %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работников культуры к средней заработной плате в крае, %                   </w:t>
            </w:r>
          </w:p>
        </w:tc>
      </w:tr>
      <w:tr w:rsidR="00862326" w:rsidRPr="00922DB2" w:rsidTr="00AC00E1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многодетных семей, обеспеченных земельными участками в собственность бесплатно, от числа многодетных семей, поставленных на учет, %</w:t>
            </w:r>
          </w:p>
          <w:p w:rsidR="00AC00E1" w:rsidRPr="00922DB2" w:rsidRDefault="00AC00E1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2326" w:rsidRPr="00922DB2" w:rsidTr="00AC00E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Уровень преступности на 10 тыс. населения, ед.</w:t>
            </w:r>
          </w:p>
        </w:tc>
      </w:tr>
      <w:tr w:rsidR="00862326" w:rsidRPr="00922DB2" w:rsidTr="00AC00E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совершивших преступления, в общей численности несовершеннолетних в муниципальном районе , %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ЭКОНОМИЧЕСКОЕ РАЗВИТИЕ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площади земельных участков, являющихся объектами налогообложения земельным налогом, от общей площади территории  Бардымского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, %                       </w:t>
            </w:r>
          </w:p>
        </w:tc>
      </w:tr>
      <w:tr w:rsidR="00862326" w:rsidRPr="00922DB2" w:rsidTr="00300829">
        <w:trPr>
          <w:trHeight w:val="2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Число субъектов малого предпринимательства в расчете на 10 тыс. человек населения                                                   </w:t>
            </w:r>
          </w:p>
        </w:tc>
      </w:tr>
      <w:tr w:rsidR="00862326" w:rsidRPr="00922DB2" w:rsidTr="00300829">
        <w:trPr>
          <w:trHeight w:val="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Темп роста количества объектов туристической инфраструктуры (%)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прибыльных предприятий аграрно-промышленного комплекса в общем их числе(%)                            </w:t>
            </w:r>
          </w:p>
        </w:tc>
      </w:tr>
      <w:tr w:rsidR="00862326" w:rsidRPr="00922DB2" w:rsidTr="00300829">
        <w:trPr>
          <w:trHeight w:val="22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используемой пашни в хозяйствах всех категорий, %</w:t>
            </w:r>
          </w:p>
        </w:tc>
      </w:tr>
      <w:tr w:rsidR="00862326" w:rsidRPr="00922DB2" w:rsidTr="00300829">
        <w:trPr>
          <w:trHeight w:val="22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Ввод (приобретение) жилья для граждан, проживающих в сельской местности (кв.м)                                     </w:t>
            </w:r>
          </w:p>
        </w:tc>
      </w:tr>
      <w:tr w:rsidR="00862326" w:rsidRPr="00922DB2" w:rsidTr="00300829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Посевные площади сельскохозяйственных культур в хозяйствах всех категорий, га</w:t>
            </w:r>
          </w:p>
        </w:tc>
      </w:tr>
      <w:tr w:rsidR="00862326" w:rsidRPr="00922DB2" w:rsidTr="00300829">
        <w:trPr>
          <w:trHeight w:val="21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 (в живом весе)</w:t>
            </w:r>
          </w:p>
        </w:tc>
      </w:tr>
      <w:tr w:rsidR="00862326" w:rsidRPr="00922DB2" w:rsidTr="00300829">
        <w:trPr>
          <w:trHeight w:val="22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Среднемесячная номинальная начисленная заработная плата работников, занятых на крупных и средних предприятиях, организациях муниципального образования , руб.          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Уровень регистрируемой безработицы в среднем за год (% к экономически активному населению)                                   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 (за период с начала года) по крупным и средним предприятиям на 1 жителя, тыс. рублей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ТЕРРИТОРИАЛЬНОЕ РАЗВИТИЕ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нормативного размещения отходов (соотношение объектов  размещения отходов, соответствующих нормативным требованиям, к общему количеству объектов размещения отходов)                      </w:t>
            </w:r>
          </w:p>
        </w:tc>
      </w:tr>
      <w:tr w:rsidR="00862326" w:rsidRPr="00922DB2" w:rsidTr="00300829">
        <w:trPr>
          <w:trHeight w:val="30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вовлеченных земельных участков под жилищное строительство, га   </w:t>
            </w:r>
          </w:p>
        </w:tc>
      </w:tr>
      <w:tr w:rsidR="00862326" w:rsidRPr="00922DB2" w:rsidTr="00300829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Объем ввода жилья в муниципальном образовании, кв.м.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введенной общей площади жилых домов по отношению к  общей площади жилищного фонда (в расчете на 1 чел.)                 </w:t>
            </w:r>
          </w:p>
        </w:tc>
      </w:tr>
      <w:tr w:rsidR="00862326" w:rsidRPr="00922DB2" w:rsidTr="00300829">
        <w:trPr>
          <w:trHeight w:val="51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Объем не завершенного в установленные сроки строительства, осуществляемого за счет средств бюджета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Объем задолженности за топливно-энергетические ресурсы в расчете на одного проживающего на территории муниципального образования, тыс. руб.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организаций, участие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 в уставном капитале которых составляет не менее 25%, прошедших  обязательное энергетическое обследование(%)                        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населения, проживающего в населенных пунктах, не имеющих регулярного автобусного сообщения с административным центром  Бардымского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, в общей численности населения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,%                 </w:t>
            </w:r>
          </w:p>
        </w:tc>
      </w:tr>
      <w:tr w:rsidR="00862326" w:rsidRPr="00922DB2" w:rsidTr="00300829">
        <w:trPr>
          <w:trHeight w:val="5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автомобильных дорог местного значения, отвечающих нормативным  требованиям, %                                                     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утвержденного документа территориального планирования  Бардымского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</w:p>
        </w:tc>
      </w:tr>
      <w:tr w:rsidR="00862326" w:rsidRPr="00922DB2" w:rsidTr="00300829">
        <w:trPr>
          <w:trHeight w:val="2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газифицированных природным газом, ед.</w:t>
            </w:r>
          </w:p>
        </w:tc>
      </w:tr>
      <w:tr w:rsidR="00862326" w:rsidRPr="00922DB2" w:rsidTr="00300829">
        <w:trPr>
          <w:trHeight w:val="2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населения, обеспеченного питьевой водой, отвечающей требованиям санитарного законодательства 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Покрытие сотовой связью территории Бардымского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в местах жизнедеятельности населения (в границах поселения),%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Покрытие территории Бардымского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округа 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сетью «Интернет» в 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тах жизнедеятельности населения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62326" w:rsidRPr="00922DB2" w:rsidTr="00300829">
        <w:trPr>
          <w:trHeight w:val="34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лесных пожаров, ликвидированных (локализованных) в течение суток, 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Готовность жилищного фонда, объектов коммунальной инфраструктуры к отопительному периоду по состоянию на 15 сентября, %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РАЗВИТИЕ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плана мероприятий по реализации Стратегии социально-экономического развития Бардымского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на 2018 – 2030 годы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и неналоговых доходов консолидированного бюджета Бардымского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округа 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в общем объеме дохода консолидированного бюджета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(без учета субвенций), %                                           </w:t>
            </w:r>
          </w:p>
        </w:tc>
      </w:tr>
      <w:tr w:rsidR="00862326" w:rsidRPr="00922DB2" w:rsidTr="00300829">
        <w:trPr>
          <w:trHeight w:val="4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Просроченная кредиторская задолженность по заработной плате по бюджету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Объем задолженности муниципальных учреждений, организаций по консолидированному бюджету в бюджеты различных уровней и внебюджетные фонды, тыс. руб.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Динамика поступления доходов в местный бюджет от сдачи муниципального имущества в аренду в сравнении с аналогичным периодом предыдущего года, %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Поступление доходов в виде арендной платы за земельные участки, а также средства от продажи права на заключение договоров аренды указанных земельных участков в бюджет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, тыс. руб. </w:t>
            </w:r>
          </w:p>
        </w:tc>
      </w:tr>
      <w:tr w:rsidR="00862326" w:rsidRPr="00922DB2" w:rsidTr="00300829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Доходы в бюджет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от сдачи в аренду имущества, тыс.руб.               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Доходы в бюджет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продажи земельных участков, тыс.руб.                                   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Доходы в бюджет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от реализации имущества, тыс.руб.       </w:t>
            </w:r>
          </w:p>
        </w:tc>
      </w:tr>
      <w:tr w:rsidR="00862326" w:rsidRPr="00922DB2" w:rsidTr="003008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плана приватизации объектов муниципальной собственности, %   </w:t>
            </w:r>
          </w:p>
        </w:tc>
      </w:tr>
      <w:tr w:rsidR="00862326" w:rsidRPr="00922DB2" w:rsidTr="00300829">
        <w:trPr>
          <w:trHeight w:val="8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муниципальных услуг, оказываемых органами местного самоуправления и муниципальными учреждениями в электронном виде, в общем объеме муниципальных услуг, которые могут оказываться в электронном виде, %</w:t>
            </w:r>
          </w:p>
        </w:tc>
      </w:tr>
      <w:tr w:rsidR="00862326" w:rsidRPr="00922DB2" w:rsidTr="00300829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жителей Бардымского  муниципального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 государственных и муниципальных услуг , %                           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Уровень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края, 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проектов решений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Думы Бардымского муниципального 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снятых с рассмотрения (не подготовленных в соответствии с планом нормотворческой деятельности) по инициативе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Бардымского муниципального 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,  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проектов решений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Думы Бардымского муниципального 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не рекомендуемых Контрольно-счетной палатой к рассмотрению ,%</w:t>
            </w:r>
          </w:p>
        </w:tc>
      </w:tr>
      <w:tr w:rsidR="00862326" w:rsidRPr="00922DB2" w:rsidTr="0030082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Доля выполненных исполнительным органом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 решений, принятых представительным органом Бардымского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 xml:space="preserve">, %                       </w:t>
            </w:r>
          </w:p>
        </w:tc>
      </w:tr>
      <w:tr w:rsidR="00862326" w:rsidRPr="00922DB2" w:rsidTr="0030082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6" w:rsidRPr="00922DB2" w:rsidRDefault="00862326" w:rsidP="003008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2DB2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своевременно прошедших повышение квалификации от общего количества муниципальных служащих, %</w:t>
            </w:r>
          </w:p>
        </w:tc>
      </w:tr>
    </w:tbl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Оценка уровня достижения стратегических показателей осуществляется ежегодно путем сопоставления фактических и утвержденных настоящим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22DB2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22DB2">
        <w:rPr>
          <w:rFonts w:ascii="Times New Roman" w:hAnsi="Times New Roman" w:cs="Times New Roman"/>
          <w:sz w:val="28"/>
          <w:szCs w:val="28"/>
        </w:rPr>
        <w:t>(плановых) значений по каждому показателю за анализируемый период и расчета коэффициента относительного отклонения фактического значения показателя от планового по формуле: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П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                                  1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                           У  = ---- - 1,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                            П    П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                                 0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2DB2">
        <w:rPr>
          <w:rFonts w:ascii="Times New Roman" w:hAnsi="Times New Roman" w:cs="Times New Roman"/>
        </w:rPr>
        <w:t>где: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у  - коэффициент    отклонения,    определяющий    уровень   достижения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 П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>утвержденного показателя;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П  - утвержденное значение показателя;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 0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П  - фактическое значение показателя.</w:t>
      </w:r>
    </w:p>
    <w:p w:rsidR="00862326" w:rsidRPr="00922DB2" w:rsidRDefault="00862326" w:rsidP="008623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DB2">
        <w:rPr>
          <w:rFonts w:ascii="Times New Roman" w:hAnsi="Times New Roman" w:cs="Times New Roman"/>
          <w:sz w:val="22"/>
          <w:szCs w:val="22"/>
        </w:rPr>
        <w:t xml:space="preserve">     1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В целях проведения анализа полученных значений коэффициента отклонения утвержденные показатели делятся на две группы: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1) показатели с порядковыми номерами:  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Раздел «Социальное развитие» - п.1-14, п.16, п.18-20 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Раздел «Экономическое развитие» -п.1-10, п.12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Раздел «Территориальное развитие» - п.1-4, п.7, п.9-15, п.17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Раздел «Муниципальное развитие» - п.1-2, п.5-13, п.16-17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2) показатели с порядковыми номерами:   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Раздел «Социальное развитие» - п.15, п.17, 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Раздел «Экономическое развитие» - п.11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Раздел «Территориальное развитие» - п.5-6, п.8, п.16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Раздел «Муниципальное развитие» - п.3-4, п.14-15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Положительная динамика коэффициента отклонения для показателей первой группы обусловлена их возрастанием, а для показателей второй группы - их убыванием.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Показатели первой группы, по которым коэффициент отклонения, больше или равен -0,05, а также показатели второй группы, по которым коэффициент отклонения не превышает 0,05, следует считать выполненными. В остальных случаях показатели считаются невыполненными.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В случае получения отрицательного значения коэффициента отклонения, по показателям первой группы либо положительного значения коэффициента отклонения по показателям второй группы в абсолютном значении, превышающем 0,1, проводится анализ причин, повлекших это отклонение.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В результате такого анализа может быть инициирована корректировка (уточнение) отдельных утвержденных показателей на последующие периоды.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Достижение значений показателей оценивается на основе определения доли выполненных и невыполненных показателей в общем количестве утвержденных показателей.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В случае невыполнения более чем 30 процентов от общего числа утвержденных показателей уровень достижения утвержденных показателей за анализируемый период может быть признан неудовлетворительным.</w:t>
      </w:r>
    </w:p>
    <w:p w:rsidR="00862326" w:rsidRPr="00922DB2" w:rsidRDefault="00862326" w:rsidP="0086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326" w:rsidRPr="008E41CC" w:rsidRDefault="00862326" w:rsidP="00862326"/>
    <w:sectPr w:rsidR="00862326" w:rsidRPr="008E41CC" w:rsidSect="00862326">
      <w:headerReference w:type="default" r:id="rId10"/>
      <w:footnotePr>
        <w:numRestart w:val="eachPage"/>
      </w:footnotePr>
      <w:endnotePr>
        <w:numFmt w:val="decimal"/>
      </w:end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A4" w:rsidRDefault="00C93CA4" w:rsidP="00C80F86">
      <w:pPr>
        <w:spacing w:after="0" w:line="240" w:lineRule="auto"/>
      </w:pPr>
      <w:r>
        <w:separator/>
      </w:r>
    </w:p>
  </w:endnote>
  <w:endnote w:type="continuationSeparator" w:id="1">
    <w:p w:rsidR="00C93CA4" w:rsidRDefault="00C93CA4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A4" w:rsidRDefault="00C93CA4" w:rsidP="00C80F86">
      <w:pPr>
        <w:spacing w:after="0" w:line="240" w:lineRule="auto"/>
      </w:pPr>
      <w:r>
        <w:separator/>
      </w:r>
    </w:p>
  </w:footnote>
  <w:footnote w:type="continuationSeparator" w:id="1">
    <w:p w:rsidR="00C93CA4" w:rsidRDefault="00C93CA4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C93CA4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C93CA4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1385"/>
    <w:rsid w:val="0009640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80B3E"/>
    <w:rsid w:val="001A0977"/>
    <w:rsid w:val="001E555C"/>
    <w:rsid w:val="00200099"/>
    <w:rsid w:val="00202E2B"/>
    <w:rsid w:val="00245565"/>
    <w:rsid w:val="00262244"/>
    <w:rsid w:val="0027235E"/>
    <w:rsid w:val="0029433C"/>
    <w:rsid w:val="00294F81"/>
    <w:rsid w:val="002C0455"/>
    <w:rsid w:val="002C1C19"/>
    <w:rsid w:val="002D1DBE"/>
    <w:rsid w:val="002D3FC6"/>
    <w:rsid w:val="002E63FA"/>
    <w:rsid w:val="0031023C"/>
    <w:rsid w:val="00314C57"/>
    <w:rsid w:val="003214DE"/>
    <w:rsid w:val="00330055"/>
    <w:rsid w:val="00330621"/>
    <w:rsid w:val="0035580E"/>
    <w:rsid w:val="00365133"/>
    <w:rsid w:val="00375B1C"/>
    <w:rsid w:val="00377A59"/>
    <w:rsid w:val="003B5D51"/>
    <w:rsid w:val="003C49C4"/>
    <w:rsid w:val="003D070F"/>
    <w:rsid w:val="003D3463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023F0"/>
    <w:rsid w:val="00510993"/>
    <w:rsid w:val="00535F0C"/>
    <w:rsid w:val="00541479"/>
    <w:rsid w:val="0056379A"/>
    <w:rsid w:val="005713C6"/>
    <w:rsid w:val="005866D7"/>
    <w:rsid w:val="0059705B"/>
    <w:rsid w:val="005A3242"/>
    <w:rsid w:val="005A5E5C"/>
    <w:rsid w:val="005D07EC"/>
    <w:rsid w:val="005D2FD3"/>
    <w:rsid w:val="005D3EDB"/>
    <w:rsid w:val="005D52F8"/>
    <w:rsid w:val="005D578F"/>
    <w:rsid w:val="005F6F99"/>
    <w:rsid w:val="005F754B"/>
    <w:rsid w:val="00612F57"/>
    <w:rsid w:val="00653111"/>
    <w:rsid w:val="006A0FE0"/>
    <w:rsid w:val="006C605D"/>
    <w:rsid w:val="006E449D"/>
    <w:rsid w:val="006F3B87"/>
    <w:rsid w:val="007217B3"/>
    <w:rsid w:val="00724DD3"/>
    <w:rsid w:val="007275AC"/>
    <w:rsid w:val="007360E1"/>
    <w:rsid w:val="0078359C"/>
    <w:rsid w:val="007B77EC"/>
    <w:rsid w:val="007C16AF"/>
    <w:rsid w:val="007D227D"/>
    <w:rsid w:val="00804293"/>
    <w:rsid w:val="00810C90"/>
    <w:rsid w:val="0082311C"/>
    <w:rsid w:val="00833A3F"/>
    <w:rsid w:val="008419B3"/>
    <w:rsid w:val="00846E23"/>
    <w:rsid w:val="00862326"/>
    <w:rsid w:val="008656B1"/>
    <w:rsid w:val="008862D3"/>
    <w:rsid w:val="008906AF"/>
    <w:rsid w:val="008911E0"/>
    <w:rsid w:val="008A03A6"/>
    <w:rsid w:val="008A3CD3"/>
    <w:rsid w:val="008A5C1E"/>
    <w:rsid w:val="008B3C04"/>
    <w:rsid w:val="008B42B0"/>
    <w:rsid w:val="008C7981"/>
    <w:rsid w:val="008E0607"/>
    <w:rsid w:val="008F3B76"/>
    <w:rsid w:val="009012AF"/>
    <w:rsid w:val="00902CB6"/>
    <w:rsid w:val="00915427"/>
    <w:rsid w:val="0093327F"/>
    <w:rsid w:val="00975354"/>
    <w:rsid w:val="009A145F"/>
    <w:rsid w:val="009C032B"/>
    <w:rsid w:val="00A06DCC"/>
    <w:rsid w:val="00A10CE3"/>
    <w:rsid w:val="00A40B6A"/>
    <w:rsid w:val="00A53E94"/>
    <w:rsid w:val="00A54520"/>
    <w:rsid w:val="00A54643"/>
    <w:rsid w:val="00A8741C"/>
    <w:rsid w:val="00AA5F19"/>
    <w:rsid w:val="00AB724B"/>
    <w:rsid w:val="00AC00E1"/>
    <w:rsid w:val="00AE03EC"/>
    <w:rsid w:val="00AF5F3A"/>
    <w:rsid w:val="00B02D9E"/>
    <w:rsid w:val="00B0544A"/>
    <w:rsid w:val="00B1467F"/>
    <w:rsid w:val="00B40384"/>
    <w:rsid w:val="00B54F55"/>
    <w:rsid w:val="00B63AD8"/>
    <w:rsid w:val="00B64C21"/>
    <w:rsid w:val="00B973F0"/>
    <w:rsid w:val="00BA50AB"/>
    <w:rsid w:val="00BB1455"/>
    <w:rsid w:val="00BC1F71"/>
    <w:rsid w:val="00BD0C61"/>
    <w:rsid w:val="00BD2927"/>
    <w:rsid w:val="00C138C8"/>
    <w:rsid w:val="00C178BA"/>
    <w:rsid w:val="00C526AB"/>
    <w:rsid w:val="00C80F86"/>
    <w:rsid w:val="00C93CA4"/>
    <w:rsid w:val="00C944D9"/>
    <w:rsid w:val="00D020C0"/>
    <w:rsid w:val="00D1058A"/>
    <w:rsid w:val="00D12689"/>
    <w:rsid w:val="00D353F4"/>
    <w:rsid w:val="00D526B1"/>
    <w:rsid w:val="00D57993"/>
    <w:rsid w:val="00DC158C"/>
    <w:rsid w:val="00DF44EB"/>
    <w:rsid w:val="00E20E91"/>
    <w:rsid w:val="00E25269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6592B"/>
    <w:rsid w:val="00F83DBF"/>
    <w:rsid w:val="00F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  <w:style w:type="paragraph" w:customStyle="1" w:styleId="ConsPlusNonformat">
    <w:name w:val="ConsPlusNonformat"/>
    <w:rsid w:val="00862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2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8623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660F11FB95456D2A71BD68DAEE8E1893BB8E9AF6290ED98A528A54DD46AC0D19EAC212F65F5BDF87A66R2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7257-B9FA-483D-B294-2856C3A1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9</cp:revision>
  <cp:lastPrinted>2021-09-03T06:18:00Z</cp:lastPrinted>
  <dcterms:created xsi:type="dcterms:W3CDTF">2021-08-26T12:34:00Z</dcterms:created>
  <dcterms:modified xsi:type="dcterms:W3CDTF">2021-09-03T06:21:00Z</dcterms:modified>
</cp:coreProperties>
</file>