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4D4C1E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4C1E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D25BFF">
              <w:rPr>
                <w:rFonts w:ascii="Times New Roman" w:hAnsi="Times New Roman"/>
                <w:color w:val="000000" w:themeColor="text1"/>
                <w:sz w:val="28"/>
              </w:rPr>
              <w:t>177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D25BFF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Новоашапской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D25BFF">
        <w:rPr>
          <w:rFonts w:ascii="Times New Roman" w:hAnsi="Times New Roman"/>
          <w:bCs/>
          <w:sz w:val="28"/>
          <w:szCs w:val="28"/>
        </w:rPr>
        <w:t>Новоашапской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5545C">
        <w:rPr>
          <w:rFonts w:ascii="Times New Roman" w:hAnsi="Times New Roman" w:cs="Times New Roman"/>
          <w:sz w:val="28"/>
          <w:szCs w:val="28"/>
        </w:rPr>
        <w:t>177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25545C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545C">
        <w:rPr>
          <w:rFonts w:ascii="Times New Roman" w:hAnsi="Times New Roman"/>
          <w:b/>
          <w:bCs/>
          <w:sz w:val="28"/>
          <w:szCs w:val="28"/>
        </w:rPr>
        <w:t>Новоашапской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25545C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Pr="0025545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5545C" w:rsidRPr="0025545C">
        <w:rPr>
          <w:rFonts w:ascii="Times New Roman" w:hAnsi="Times New Roman"/>
          <w:color w:val="000000"/>
          <w:sz w:val="28"/>
          <w:szCs w:val="28"/>
        </w:rPr>
        <w:t>село Новый Ашап, деревня Верхний Ашап, деревня Никольск, деревня Талканка, деревня Усть-Шлык</w:t>
      </w:r>
      <w:r w:rsidRPr="0025545C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475EA2" w:rsidRPr="00475EA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75EA2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25545C">
        <w:rPr>
          <w:rFonts w:ascii="Times New Roman" w:hAnsi="Times New Roman"/>
          <w:bCs/>
          <w:sz w:val="28"/>
          <w:szCs w:val="28"/>
        </w:rPr>
        <w:t>НОВОАШАПСКОЙ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4D4C1E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4D4C1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25545C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Новоашапской</w:t>
      </w:r>
      <w:r w:rsidRPr="00D61A40">
        <w:rPr>
          <w:rFonts w:ascii="Times New Roman" w:hAnsi="Times New Roman"/>
          <w:sz w:val="28"/>
          <w:szCs w:val="28"/>
        </w:rPr>
        <w:t xml:space="preserve"> </w:t>
      </w:r>
      <w:r w:rsidR="00571FC8" w:rsidRPr="00D61A40">
        <w:rPr>
          <w:rFonts w:ascii="Times New Roman" w:hAnsi="Times New Roman"/>
          <w:sz w:val="28"/>
          <w:szCs w:val="28"/>
        </w:rPr>
        <w:t>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4D4C1E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</w:t>
                  </w:r>
                  <w:r w:rsidR="00C739C7">
                    <w:rPr>
                      <w:b/>
                      <w:i/>
                      <w:color w:val="FF0000"/>
                      <w:sz w:val="44"/>
                      <w:szCs w:val="44"/>
                    </w:rPr>
                    <w:t>НЫЙ ГР</w:t>
                  </w:r>
                  <w:r w:rsidR="0025545C">
                    <w:rPr>
                      <w:b/>
                      <w:i/>
                      <w:color w:val="FF0000"/>
                      <w:sz w:val="44"/>
                      <w:szCs w:val="44"/>
                    </w:rPr>
                    <w:t>АЖДАНИН  НОВОАШАПСКОЙ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5C" w:rsidRDefault="00521A5C" w:rsidP="00510008">
      <w:pPr>
        <w:spacing w:after="0" w:line="240" w:lineRule="auto"/>
      </w:pPr>
      <w:r>
        <w:separator/>
      </w:r>
    </w:p>
  </w:endnote>
  <w:endnote w:type="continuationSeparator" w:id="1">
    <w:p w:rsidR="00521A5C" w:rsidRDefault="00521A5C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5C" w:rsidRDefault="00521A5C" w:rsidP="00510008">
      <w:pPr>
        <w:spacing w:after="0" w:line="240" w:lineRule="auto"/>
      </w:pPr>
      <w:r>
        <w:separator/>
      </w:r>
    </w:p>
  </w:footnote>
  <w:footnote w:type="continuationSeparator" w:id="1">
    <w:p w:rsidR="00521A5C" w:rsidRDefault="00521A5C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3ED4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545C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75EA2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4C1E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21A5C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66966"/>
    <w:rsid w:val="00C71655"/>
    <w:rsid w:val="00C739C7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5BF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3FD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4</cp:revision>
  <cp:lastPrinted>2021-03-22T13:34:00Z</cp:lastPrinted>
  <dcterms:created xsi:type="dcterms:W3CDTF">2021-03-22T13:35:00Z</dcterms:created>
  <dcterms:modified xsi:type="dcterms:W3CDTF">2021-03-22T13:58:00Z</dcterms:modified>
</cp:coreProperties>
</file>