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Override PartName="/word/charts/chart99.xml" ContentType="application/vnd.openxmlformats-officedocument.drawingml.chart+xml"/>
  <Override PartName="/word/charts/chart59.xml" ContentType="application/vnd.openxmlformats-officedocument.drawingml.chart+xml"/>
  <Override PartName="/word/charts/chart77.xml" ContentType="application/vnd.openxmlformats-officedocument.drawingml.chart+xml"/>
  <Override PartName="/word/diagrams/colors1.xml" ContentType="application/vnd.openxmlformats-officedocument.drawingml.diagramColors+xml"/>
  <Override PartName="/word/charts/chart88.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95.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word/footer3.xml" ContentType="application/vnd.openxmlformats-officedocument.wordprocessingml.footer+xml"/>
  <Override PartName="/word/charts/chart8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charts/chart91.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charts/chart80.xml" ContentType="application/vnd.openxmlformats-officedocument.drawingml.chart+xml"/>
  <Override PartName="/word/charts/chart101.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Override PartName="/word/diagrams/layout1.xml" ContentType="application/vnd.openxmlformats-officedocument.drawingml.diagramLayout+xml"/>
  <Default Extension="png" ContentType="image/png"/>
  <Override PartName="/word/diagrams/quickStyle1.xml" ContentType="application/vnd.openxmlformats-officedocument.drawingml.diagramStyle+xml"/>
  <Default Extension="bin" ContentType="application/vnd.openxmlformats-officedocument.oleObject"/>
  <Override PartName="/word/charts/chart89.xml" ContentType="application/vnd.openxmlformats-officedocument.drawingml.chart+xml"/>
  <Override PartName="/word/charts/chart98.xml" ContentType="application/vnd.openxmlformats-officedocument.drawingml.chart+xml"/>
  <Default Extension="emf" ContentType="image/x-emf"/>
  <Override PartName="/word/charts/chart49.xml" ContentType="application/vnd.openxmlformats-officedocument.drawingml.chart+xml"/>
  <Override PartName="/word/charts/chart69.xml" ContentType="application/vnd.openxmlformats-officedocument.drawingml.chart+xml"/>
  <Override PartName="/word/charts/chart78.xml" ContentType="application/vnd.openxmlformats-officedocument.drawingml.chart+xml"/>
  <Override PartName="/word/charts/chart87.xml" ContentType="application/vnd.openxmlformats-officedocument.drawingml.chart+xml"/>
  <Default Extension="jpeg" ContentType="image/jpeg"/>
  <Override PartName="/word/charts/chart96.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word/charts/chart76.xml" ContentType="application/vnd.openxmlformats-officedocument.drawingml.chart+xml"/>
  <Override PartName="/word/footer4.xml" ContentType="application/vnd.openxmlformats-officedocument.wordprocessingml.footer+xml"/>
  <Override PartName="/word/charts/chart85.xml" ContentType="application/vnd.openxmlformats-officedocument.drawingml.chart+xml"/>
  <Override PartName="/word/charts/chart94.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footer2.xml" ContentType="application/vnd.openxmlformats-officedocument.wordprocessingml.footer+xml"/>
  <Override PartName="/word/charts/chart74.xml" ContentType="application/vnd.openxmlformats-officedocument.drawingml.chart+xml"/>
  <Override PartName="/word/charts/chart83.xml" ContentType="application/vnd.openxmlformats-officedocument.drawingml.chart+xml"/>
  <Override PartName="/word/charts/chart92.xml" ContentType="application/vnd.openxmlformats-officedocument.drawingml.chart+xml"/>
  <Override PartName="/word/diagrams/drawing1.xml" ContentType="application/vnd.ms-office.drawingml.diagramDrawing+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charts/chart81.xml" ContentType="application/vnd.openxmlformats-officedocument.drawingml.chart+xml"/>
  <Override PartName="/word/charts/chart90.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charts/chart10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10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diagrams/data1.xml" ContentType="application/vnd.openxmlformats-officedocument.drawingml.diagramData+xml"/>
  <Override PartName="/word/charts/chart68.xml" ContentType="application/vnd.openxmlformats-officedocument.drawingml.chart+xml"/>
  <Override PartName="/word/charts/chart79.xml" ContentType="application/vnd.openxmlformats-officedocument.drawingml.chart+xml"/>
  <Default Extension="wmf" ContentType="image/x-wmf"/>
  <Override PartName="/word/charts/chart97.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footer5.xml" ContentType="application/vnd.openxmlformats-officedocument.wordprocessingml.footer+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footer1.xml" ContentType="application/vnd.openxmlformats-officedocument.wordprocessingml.footer+xml"/>
  <Override PartName="/word/charts/chart71.xml" ContentType="application/vnd.openxmlformats-officedocument.drawingml.chart+xml"/>
  <Override PartName="/word/charts/chart8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31.xml" ContentType="application/vnd.openxmlformats-officedocument.drawingml.chart+xml"/>
  <Override PartName="/word/charts/chart42.xml" ContentType="application/vnd.openxmlformats-officedocument.drawingml.chart+xml"/>
  <Override PartName="/word/charts/chart6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76E" w:rsidRPr="00574C4C" w:rsidRDefault="00B9076E" w:rsidP="00B9076E">
      <w:pPr>
        <w:spacing w:after="0" w:line="240" w:lineRule="auto"/>
        <w:rPr>
          <w:rFonts w:ascii="Times New Roman" w:eastAsia="Times New Roman" w:hAnsi="Times New Roman" w:cs="Times New Roman"/>
          <w:sz w:val="28"/>
          <w:szCs w:val="28"/>
        </w:rPr>
      </w:pPr>
      <w:r w:rsidRPr="00574C4C">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simplePos x="0" y="0"/>
            <wp:positionH relativeFrom="page">
              <wp:posOffset>3643630</wp:posOffset>
            </wp:positionH>
            <wp:positionV relativeFrom="page">
              <wp:posOffset>262890</wp:posOffset>
            </wp:positionV>
            <wp:extent cx="671195" cy="641350"/>
            <wp:effectExtent l="19050" t="0" r="0" b="0"/>
            <wp:wrapTopAndBottom/>
            <wp:docPr id="6" name="Рисунок 6"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1"/>
                    <pic:cNvPicPr>
                      <a:picLocks noChangeAspect="1" noChangeArrowheads="1"/>
                    </pic:cNvPicPr>
                  </pic:nvPicPr>
                  <pic:blipFill>
                    <a:blip r:embed="rId8" cstate="print"/>
                    <a:srcRect l="15825" r="73529" b="74850"/>
                    <a:stretch>
                      <a:fillRect/>
                    </a:stretch>
                  </pic:blipFill>
                  <pic:spPr bwMode="auto">
                    <a:xfrm>
                      <a:off x="0" y="0"/>
                      <a:ext cx="671195" cy="641350"/>
                    </a:xfrm>
                    <a:prstGeom prst="rect">
                      <a:avLst/>
                    </a:prstGeom>
                    <a:noFill/>
                    <a:ln w="9525">
                      <a:noFill/>
                      <a:miter lim="800000"/>
                      <a:headEnd/>
                      <a:tailEnd/>
                    </a:ln>
                  </pic:spPr>
                </pic:pic>
              </a:graphicData>
            </a:graphic>
          </wp:anchor>
        </w:drawing>
      </w:r>
    </w:p>
    <w:p w:rsidR="00B9076E" w:rsidRPr="00574C4C" w:rsidRDefault="00B9076E" w:rsidP="00B9076E">
      <w:pPr>
        <w:spacing w:after="0" w:line="240" w:lineRule="auto"/>
        <w:jc w:val="center"/>
        <w:rPr>
          <w:rFonts w:ascii="Times New Roman" w:eastAsia="Times New Roman" w:hAnsi="Times New Roman" w:cs="Times New Roman"/>
          <w:sz w:val="28"/>
          <w:szCs w:val="28"/>
        </w:rPr>
      </w:pPr>
      <w:r w:rsidRPr="00574C4C">
        <w:rPr>
          <w:rFonts w:ascii="Times New Roman" w:eastAsia="Times New Roman" w:hAnsi="Times New Roman" w:cs="Times New Roman"/>
          <w:sz w:val="28"/>
          <w:szCs w:val="28"/>
        </w:rPr>
        <w:t>ЗЕМСКОЕ СОБРАНИЕ</w:t>
      </w:r>
    </w:p>
    <w:p w:rsidR="00B9076E" w:rsidRPr="00574C4C" w:rsidRDefault="00B9076E" w:rsidP="00B9076E">
      <w:pPr>
        <w:spacing w:after="0" w:line="240" w:lineRule="auto"/>
        <w:jc w:val="center"/>
        <w:rPr>
          <w:rFonts w:ascii="Times New Roman" w:eastAsia="Times New Roman" w:hAnsi="Times New Roman" w:cs="Times New Roman"/>
          <w:sz w:val="28"/>
          <w:szCs w:val="28"/>
        </w:rPr>
      </w:pPr>
      <w:r w:rsidRPr="00574C4C">
        <w:rPr>
          <w:rFonts w:ascii="Times New Roman" w:eastAsia="Times New Roman" w:hAnsi="Times New Roman" w:cs="Times New Roman"/>
          <w:sz w:val="28"/>
          <w:szCs w:val="28"/>
        </w:rPr>
        <w:t>БАРДЫМСКОГО МУНИЦИПАЛЬНОГО РАЙОНА</w:t>
      </w:r>
    </w:p>
    <w:p w:rsidR="00B9076E" w:rsidRPr="00574C4C" w:rsidRDefault="00B9076E" w:rsidP="00B9076E">
      <w:pPr>
        <w:spacing w:after="0" w:line="240" w:lineRule="auto"/>
        <w:jc w:val="center"/>
        <w:rPr>
          <w:rFonts w:ascii="Times New Roman" w:eastAsia="Times New Roman" w:hAnsi="Times New Roman" w:cs="Times New Roman"/>
          <w:sz w:val="28"/>
          <w:szCs w:val="28"/>
        </w:rPr>
      </w:pPr>
      <w:r w:rsidRPr="00574C4C">
        <w:rPr>
          <w:rFonts w:ascii="Times New Roman" w:eastAsia="Times New Roman" w:hAnsi="Times New Roman" w:cs="Times New Roman"/>
          <w:sz w:val="28"/>
          <w:szCs w:val="28"/>
        </w:rPr>
        <w:t>ПЕРМСК</w:t>
      </w:r>
      <w:r w:rsidRPr="00574C4C">
        <w:rPr>
          <w:rFonts w:ascii="Times New Roman" w:eastAsia="Times New Roman" w:hAnsi="Times New Roman" w:cs="Times New Roman"/>
          <w:noProof/>
          <w:sz w:val="28"/>
          <w:szCs w:val="28"/>
          <w:lang w:eastAsia="en-US"/>
        </w:rPr>
        <w:t>ОГО</w:t>
      </w:r>
      <w:r w:rsidRPr="00574C4C">
        <w:rPr>
          <w:rFonts w:ascii="Times New Roman" w:eastAsia="Times New Roman" w:hAnsi="Times New Roman" w:cs="Times New Roman"/>
          <w:sz w:val="28"/>
          <w:szCs w:val="28"/>
        </w:rPr>
        <w:t xml:space="preserve"> КРАЯ</w:t>
      </w:r>
    </w:p>
    <w:p w:rsidR="00B9076E" w:rsidRPr="00574C4C" w:rsidRDefault="00B9076E" w:rsidP="00B9076E">
      <w:pPr>
        <w:spacing w:after="0" w:line="240" w:lineRule="auto"/>
        <w:jc w:val="center"/>
        <w:rPr>
          <w:rFonts w:ascii="Times New Roman" w:eastAsia="Times New Roman" w:hAnsi="Times New Roman" w:cs="Times New Roman"/>
          <w:sz w:val="28"/>
          <w:szCs w:val="28"/>
        </w:rPr>
      </w:pPr>
    </w:p>
    <w:p w:rsidR="00B9076E" w:rsidRPr="00AC37BD" w:rsidRDefault="00F11E5C" w:rsidP="00B9076E">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ДВАДЦАТЬ </w:t>
      </w:r>
      <w:r w:rsidR="00437674">
        <w:rPr>
          <w:rFonts w:ascii="Times New Roman" w:eastAsia="Times New Roman" w:hAnsi="Times New Roman" w:cs="Times New Roman"/>
          <w:color w:val="000000" w:themeColor="text1"/>
          <w:sz w:val="28"/>
          <w:szCs w:val="28"/>
        </w:rPr>
        <w:t xml:space="preserve">ВОСЬМОЕ (ВНЕОЧЕРЕДНОЕ) </w:t>
      </w:r>
      <w:r w:rsidR="00B9076E" w:rsidRPr="00AC37BD">
        <w:rPr>
          <w:rFonts w:ascii="Times New Roman" w:eastAsia="Times New Roman" w:hAnsi="Times New Roman" w:cs="Times New Roman"/>
          <w:color w:val="000000" w:themeColor="text1"/>
          <w:sz w:val="28"/>
          <w:szCs w:val="28"/>
        </w:rPr>
        <w:t>ЗАСЕДАНИ</w:t>
      </w:r>
      <w:r w:rsidR="00136EC4">
        <w:rPr>
          <w:rFonts w:ascii="Times New Roman" w:eastAsia="Times New Roman" w:hAnsi="Times New Roman" w:cs="Times New Roman"/>
          <w:color w:val="000000" w:themeColor="text1"/>
          <w:sz w:val="28"/>
          <w:szCs w:val="28"/>
        </w:rPr>
        <w:t>Е</w:t>
      </w:r>
    </w:p>
    <w:p w:rsidR="00B9076E" w:rsidRPr="00574C4C" w:rsidRDefault="00B9076E" w:rsidP="00B9076E">
      <w:pPr>
        <w:spacing w:after="0" w:line="240" w:lineRule="auto"/>
        <w:jc w:val="center"/>
        <w:rPr>
          <w:rFonts w:ascii="Times New Roman" w:eastAsia="Times New Roman" w:hAnsi="Times New Roman" w:cs="Times New Roman"/>
          <w:sz w:val="28"/>
          <w:szCs w:val="28"/>
        </w:rPr>
      </w:pPr>
    </w:p>
    <w:p w:rsidR="00B9076E" w:rsidRPr="00574C4C" w:rsidRDefault="00B9076E" w:rsidP="00B9076E">
      <w:pPr>
        <w:spacing w:after="0" w:line="240" w:lineRule="auto"/>
        <w:jc w:val="center"/>
        <w:rPr>
          <w:rFonts w:ascii="Times New Roman" w:eastAsia="Times New Roman" w:hAnsi="Times New Roman" w:cs="Times New Roman"/>
          <w:sz w:val="28"/>
          <w:szCs w:val="28"/>
        </w:rPr>
      </w:pPr>
      <w:r w:rsidRPr="00574C4C">
        <w:rPr>
          <w:rFonts w:ascii="Times New Roman" w:eastAsia="Times New Roman" w:hAnsi="Times New Roman" w:cs="Times New Roman"/>
          <w:sz w:val="28"/>
          <w:szCs w:val="28"/>
        </w:rPr>
        <w:t>РЕШЕНИЕ</w:t>
      </w:r>
    </w:p>
    <w:p w:rsidR="00B9076E" w:rsidRPr="00574C4C" w:rsidRDefault="00B9076E" w:rsidP="00B9076E">
      <w:pPr>
        <w:spacing w:after="0" w:line="240" w:lineRule="auto"/>
        <w:rPr>
          <w:rFonts w:ascii="Times New Roman" w:eastAsia="Times New Roman" w:hAnsi="Times New Roman" w:cs="Times New Roman"/>
          <w:b/>
          <w:sz w:val="36"/>
          <w:szCs w:val="20"/>
        </w:rPr>
      </w:pPr>
    </w:p>
    <w:p w:rsidR="009F0B4C" w:rsidRDefault="00B9076E" w:rsidP="00B9076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437674">
        <w:rPr>
          <w:rFonts w:ascii="Times New Roman" w:eastAsia="Times New Roman" w:hAnsi="Times New Roman" w:cs="Times New Roman"/>
          <w:sz w:val="28"/>
          <w:szCs w:val="28"/>
        </w:rPr>
        <w:t>30</w:t>
      </w:r>
      <w:r w:rsidR="001D788E">
        <w:rPr>
          <w:rFonts w:ascii="Times New Roman" w:eastAsia="Times New Roman" w:hAnsi="Times New Roman" w:cs="Times New Roman"/>
          <w:sz w:val="28"/>
          <w:szCs w:val="28"/>
        </w:rPr>
        <w:t>.0</w:t>
      </w:r>
      <w:r w:rsidR="00437674">
        <w:rPr>
          <w:rFonts w:ascii="Times New Roman" w:eastAsia="Times New Roman" w:hAnsi="Times New Roman" w:cs="Times New Roman"/>
          <w:sz w:val="28"/>
          <w:szCs w:val="28"/>
        </w:rPr>
        <w:t>5</w:t>
      </w:r>
      <w:r w:rsidR="001D788E">
        <w:rPr>
          <w:rFonts w:ascii="Times New Roman" w:eastAsia="Times New Roman" w:hAnsi="Times New Roman" w:cs="Times New Roman"/>
          <w:sz w:val="28"/>
          <w:szCs w:val="28"/>
        </w:rPr>
        <w:t>.2018</w:t>
      </w:r>
      <w:r w:rsidRPr="00574C4C">
        <w:rPr>
          <w:rFonts w:ascii="Times New Roman" w:eastAsia="Times New Roman" w:hAnsi="Times New Roman" w:cs="Times New Roman"/>
          <w:sz w:val="28"/>
          <w:szCs w:val="28"/>
        </w:rPr>
        <w:tab/>
      </w:r>
      <w:r w:rsidR="00E92390">
        <w:rPr>
          <w:rFonts w:ascii="Times New Roman" w:eastAsia="Times New Roman" w:hAnsi="Times New Roman" w:cs="Times New Roman"/>
          <w:sz w:val="28"/>
          <w:szCs w:val="28"/>
        </w:rPr>
        <w:tab/>
      </w:r>
      <w:r w:rsidR="00E92390">
        <w:rPr>
          <w:rFonts w:ascii="Times New Roman" w:eastAsia="Times New Roman" w:hAnsi="Times New Roman" w:cs="Times New Roman"/>
          <w:sz w:val="28"/>
          <w:szCs w:val="28"/>
        </w:rPr>
        <w:tab/>
      </w:r>
      <w:r w:rsidR="00E92390">
        <w:rPr>
          <w:rFonts w:ascii="Times New Roman" w:eastAsia="Times New Roman" w:hAnsi="Times New Roman" w:cs="Times New Roman"/>
          <w:sz w:val="28"/>
          <w:szCs w:val="28"/>
        </w:rPr>
        <w:tab/>
      </w:r>
      <w:r w:rsidR="00E92390">
        <w:rPr>
          <w:rFonts w:ascii="Times New Roman" w:eastAsia="Times New Roman" w:hAnsi="Times New Roman" w:cs="Times New Roman"/>
          <w:sz w:val="28"/>
          <w:szCs w:val="28"/>
        </w:rPr>
        <w:tab/>
      </w:r>
      <w:r w:rsidR="00E92390">
        <w:rPr>
          <w:rFonts w:ascii="Times New Roman" w:eastAsia="Times New Roman" w:hAnsi="Times New Roman" w:cs="Times New Roman"/>
          <w:sz w:val="28"/>
          <w:szCs w:val="28"/>
        </w:rPr>
        <w:tab/>
      </w:r>
      <w:r w:rsidR="00E92390">
        <w:rPr>
          <w:rFonts w:ascii="Times New Roman" w:eastAsia="Times New Roman" w:hAnsi="Times New Roman" w:cs="Times New Roman"/>
          <w:sz w:val="28"/>
          <w:szCs w:val="28"/>
        </w:rPr>
        <w:tab/>
      </w:r>
      <w:r w:rsidR="001D788E">
        <w:rPr>
          <w:rFonts w:ascii="Times New Roman" w:eastAsia="Times New Roman" w:hAnsi="Times New Roman" w:cs="Times New Roman"/>
          <w:sz w:val="28"/>
          <w:szCs w:val="28"/>
        </w:rPr>
        <w:t xml:space="preserve">                            </w:t>
      </w:r>
      <w:r w:rsidRPr="00574C4C">
        <w:rPr>
          <w:rFonts w:ascii="Times New Roman" w:eastAsia="Times New Roman" w:hAnsi="Times New Roman" w:cs="Times New Roman"/>
          <w:sz w:val="28"/>
          <w:szCs w:val="28"/>
        </w:rPr>
        <w:t xml:space="preserve">№ </w:t>
      </w:r>
      <w:r w:rsidR="008E3709">
        <w:rPr>
          <w:rFonts w:ascii="Times New Roman" w:eastAsia="Times New Roman" w:hAnsi="Times New Roman" w:cs="Times New Roman"/>
          <w:sz w:val="28"/>
          <w:szCs w:val="28"/>
        </w:rPr>
        <w:t>411</w:t>
      </w:r>
    </w:p>
    <w:p w:rsidR="00437674" w:rsidRDefault="00437674" w:rsidP="00B9076E">
      <w:pPr>
        <w:spacing w:after="0" w:line="240" w:lineRule="auto"/>
        <w:rPr>
          <w:rFonts w:ascii="Times New Roman" w:eastAsia="Times New Roman" w:hAnsi="Times New Roman" w:cs="Times New Roman"/>
          <w:sz w:val="28"/>
          <w:szCs w:val="20"/>
        </w:rPr>
      </w:pPr>
    </w:p>
    <w:p w:rsidR="001D788E" w:rsidRPr="00574C4C" w:rsidRDefault="001D788E" w:rsidP="00B9076E">
      <w:pPr>
        <w:spacing w:after="0" w:line="240" w:lineRule="auto"/>
        <w:rPr>
          <w:rFonts w:ascii="Times New Roman" w:eastAsia="Times New Roman" w:hAnsi="Times New Roman" w:cs="Times New Roman"/>
          <w:sz w:val="28"/>
          <w:szCs w:val="20"/>
        </w:rPr>
      </w:pPr>
    </w:p>
    <w:p w:rsidR="00064F30" w:rsidRDefault="00CF141C" w:rsidP="00CF141C">
      <w:pPr>
        <w:spacing w:after="0" w:line="240" w:lineRule="auto"/>
        <w:rPr>
          <w:rFonts w:ascii="Times New Roman" w:hAnsi="Times New Roman" w:cs="Times New Roman"/>
          <w:b/>
          <w:sz w:val="28"/>
          <w:szCs w:val="28"/>
        </w:rPr>
      </w:pPr>
      <w:r w:rsidRPr="00CF141C">
        <w:rPr>
          <w:rFonts w:ascii="Times New Roman" w:hAnsi="Times New Roman" w:cs="Times New Roman"/>
          <w:b/>
          <w:sz w:val="28"/>
          <w:szCs w:val="28"/>
        </w:rPr>
        <w:t>О</w:t>
      </w:r>
      <w:r w:rsidR="00437674">
        <w:rPr>
          <w:rFonts w:ascii="Times New Roman" w:hAnsi="Times New Roman" w:cs="Times New Roman"/>
          <w:b/>
          <w:sz w:val="28"/>
          <w:szCs w:val="28"/>
        </w:rPr>
        <w:t>б</w:t>
      </w:r>
      <w:r w:rsidR="003250B8">
        <w:rPr>
          <w:rFonts w:ascii="Times New Roman" w:hAnsi="Times New Roman" w:cs="Times New Roman"/>
          <w:b/>
          <w:sz w:val="28"/>
          <w:szCs w:val="28"/>
        </w:rPr>
        <w:t xml:space="preserve"> </w:t>
      </w:r>
      <w:r w:rsidR="00437674">
        <w:rPr>
          <w:rFonts w:ascii="Times New Roman" w:hAnsi="Times New Roman" w:cs="Times New Roman"/>
          <w:b/>
          <w:sz w:val="28"/>
          <w:szCs w:val="28"/>
        </w:rPr>
        <w:t xml:space="preserve">утверждении </w:t>
      </w:r>
      <w:r w:rsidR="003250B8">
        <w:rPr>
          <w:rFonts w:ascii="Times New Roman" w:hAnsi="Times New Roman" w:cs="Times New Roman"/>
          <w:b/>
          <w:sz w:val="28"/>
          <w:szCs w:val="28"/>
        </w:rPr>
        <w:t xml:space="preserve">Стратегии </w:t>
      </w:r>
    </w:p>
    <w:p w:rsidR="003250B8" w:rsidRDefault="003250B8" w:rsidP="00CF141C">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социально-экономического </w:t>
      </w:r>
    </w:p>
    <w:p w:rsidR="00052850" w:rsidRDefault="003250B8" w:rsidP="00CF141C">
      <w:pPr>
        <w:spacing w:after="0" w:line="240" w:lineRule="auto"/>
        <w:rPr>
          <w:rFonts w:ascii="Times New Roman" w:hAnsi="Times New Roman" w:cs="Times New Roman"/>
          <w:b/>
          <w:sz w:val="28"/>
          <w:szCs w:val="28"/>
        </w:rPr>
      </w:pPr>
      <w:r>
        <w:rPr>
          <w:rFonts w:ascii="Times New Roman" w:hAnsi="Times New Roman" w:cs="Times New Roman"/>
          <w:b/>
          <w:sz w:val="28"/>
          <w:szCs w:val="28"/>
        </w:rPr>
        <w:t>развития Бардымского</w:t>
      </w:r>
      <w:r w:rsidR="00E97C6A">
        <w:rPr>
          <w:rFonts w:ascii="Times New Roman" w:hAnsi="Times New Roman" w:cs="Times New Roman"/>
          <w:b/>
          <w:sz w:val="28"/>
          <w:szCs w:val="28"/>
        </w:rPr>
        <w:t xml:space="preserve"> </w:t>
      </w:r>
      <w:r>
        <w:rPr>
          <w:rFonts w:ascii="Times New Roman" w:hAnsi="Times New Roman" w:cs="Times New Roman"/>
          <w:b/>
          <w:sz w:val="28"/>
          <w:szCs w:val="28"/>
        </w:rPr>
        <w:t xml:space="preserve">муниципального </w:t>
      </w:r>
    </w:p>
    <w:p w:rsidR="00B9076E" w:rsidRPr="00CF141C" w:rsidRDefault="003250B8" w:rsidP="00CF141C">
      <w:pPr>
        <w:spacing w:after="0" w:line="240" w:lineRule="auto"/>
        <w:rPr>
          <w:rFonts w:ascii="Times New Roman" w:eastAsia="Times New Roman" w:hAnsi="Times New Roman" w:cs="Times New Roman"/>
          <w:b/>
          <w:bCs/>
          <w:sz w:val="28"/>
          <w:szCs w:val="28"/>
        </w:rPr>
      </w:pPr>
      <w:r>
        <w:rPr>
          <w:rFonts w:ascii="Times New Roman" w:hAnsi="Times New Roman" w:cs="Times New Roman"/>
          <w:b/>
          <w:sz w:val="28"/>
          <w:szCs w:val="28"/>
        </w:rPr>
        <w:t>района на</w:t>
      </w:r>
      <w:r w:rsidR="002D7431">
        <w:rPr>
          <w:rFonts w:ascii="Times New Roman" w:hAnsi="Times New Roman" w:cs="Times New Roman"/>
          <w:b/>
          <w:sz w:val="28"/>
          <w:szCs w:val="28"/>
        </w:rPr>
        <w:t xml:space="preserve"> </w:t>
      </w:r>
      <w:r>
        <w:rPr>
          <w:rFonts w:ascii="Times New Roman" w:hAnsi="Times New Roman" w:cs="Times New Roman"/>
          <w:b/>
          <w:sz w:val="28"/>
          <w:szCs w:val="28"/>
        </w:rPr>
        <w:t>2018-2030 годы</w:t>
      </w:r>
      <w:r w:rsidR="001241D9">
        <w:rPr>
          <w:rFonts w:ascii="Times New Roman" w:hAnsi="Times New Roman" w:cs="Times New Roman"/>
          <w:b/>
          <w:sz w:val="28"/>
          <w:szCs w:val="28"/>
        </w:rPr>
        <w:t xml:space="preserve"> </w:t>
      </w:r>
    </w:p>
    <w:p w:rsidR="00B9076E" w:rsidRDefault="00B9076E" w:rsidP="00B9076E">
      <w:pPr>
        <w:autoSpaceDE w:val="0"/>
        <w:autoSpaceDN w:val="0"/>
        <w:adjustRightInd w:val="0"/>
        <w:spacing w:after="0" w:line="240" w:lineRule="auto"/>
        <w:rPr>
          <w:rFonts w:ascii="Times New Roman" w:eastAsia="Times New Roman" w:hAnsi="Times New Roman" w:cs="Times New Roman"/>
          <w:b/>
          <w:sz w:val="28"/>
          <w:szCs w:val="28"/>
        </w:rPr>
      </w:pPr>
    </w:p>
    <w:p w:rsidR="00052850" w:rsidRPr="00574C4C" w:rsidRDefault="00052850" w:rsidP="00B9076E">
      <w:pPr>
        <w:autoSpaceDE w:val="0"/>
        <w:autoSpaceDN w:val="0"/>
        <w:adjustRightInd w:val="0"/>
        <w:spacing w:after="0" w:line="240" w:lineRule="auto"/>
        <w:rPr>
          <w:rFonts w:ascii="Times New Roman" w:eastAsia="Times New Roman" w:hAnsi="Times New Roman" w:cs="Times New Roman"/>
          <w:b/>
          <w:sz w:val="28"/>
          <w:szCs w:val="28"/>
        </w:rPr>
      </w:pPr>
    </w:p>
    <w:p w:rsidR="00CF141C" w:rsidRPr="00574C4C" w:rsidRDefault="00D5668B" w:rsidP="00CF141C">
      <w:pPr>
        <w:spacing w:after="0" w:line="240" w:lineRule="auto"/>
        <w:ind w:firstLine="720"/>
        <w:jc w:val="both"/>
        <w:rPr>
          <w:rFonts w:ascii="Times New Roman" w:eastAsia="Times New Roman" w:hAnsi="Times New Roman" w:cs="Times New Roman"/>
          <w:sz w:val="28"/>
          <w:szCs w:val="28"/>
        </w:rPr>
      </w:pPr>
      <w:r>
        <w:rPr>
          <w:rFonts w:ascii="Times New Roman" w:hAnsi="Times New Roman" w:cs="Times New Roman"/>
          <w:sz w:val="28"/>
          <w:szCs w:val="28"/>
        </w:rPr>
        <w:t xml:space="preserve">В соответствии с </w:t>
      </w:r>
      <w:r w:rsidR="00CF141C" w:rsidRPr="00CF141C">
        <w:rPr>
          <w:rFonts w:ascii="Times New Roman" w:hAnsi="Times New Roman" w:cs="Times New Roman"/>
          <w:sz w:val="28"/>
          <w:szCs w:val="28"/>
        </w:rPr>
        <w:t>Федеральным законом от 28</w:t>
      </w:r>
      <w:r w:rsidR="00BE7C22">
        <w:rPr>
          <w:rFonts w:ascii="Times New Roman" w:hAnsi="Times New Roman" w:cs="Times New Roman"/>
          <w:sz w:val="28"/>
          <w:szCs w:val="28"/>
        </w:rPr>
        <w:t>.06.2</w:t>
      </w:r>
      <w:r w:rsidR="00CF141C" w:rsidRPr="00CF141C">
        <w:rPr>
          <w:rFonts w:ascii="Times New Roman" w:hAnsi="Times New Roman" w:cs="Times New Roman"/>
          <w:sz w:val="28"/>
          <w:szCs w:val="28"/>
        </w:rPr>
        <w:t xml:space="preserve">014 № 172-ФЗ </w:t>
      </w:r>
      <w:r w:rsidR="00CF141C" w:rsidRPr="00CF141C">
        <w:rPr>
          <w:rFonts w:ascii="Times New Roman" w:hAnsi="Times New Roman" w:cs="Times New Roman"/>
          <w:sz w:val="28"/>
          <w:szCs w:val="28"/>
        </w:rPr>
        <w:br/>
      </w:r>
      <w:r w:rsidR="00DE2D0E">
        <w:rPr>
          <w:rFonts w:ascii="Times New Roman" w:hAnsi="Times New Roman" w:cs="Times New Roman"/>
          <w:sz w:val="28"/>
          <w:szCs w:val="28"/>
        </w:rPr>
        <w:t>«</w:t>
      </w:r>
      <w:r w:rsidR="00CF141C" w:rsidRPr="00CF141C">
        <w:rPr>
          <w:rFonts w:ascii="Times New Roman" w:hAnsi="Times New Roman" w:cs="Times New Roman"/>
          <w:sz w:val="28"/>
          <w:szCs w:val="28"/>
        </w:rPr>
        <w:t>О стратегическом планировании в Российской Федерации</w:t>
      </w:r>
      <w:r w:rsidR="00DE2D0E">
        <w:rPr>
          <w:rFonts w:ascii="Times New Roman" w:hAnsi="Times New Roman" w:cs="Times New Roman"/>
          <w:sz w:val="28"/>
          <w:szCs w:val="28"/>
        </w:rPr>
        <w:t>»</w:t>
      </w:r>
      <w:r w:rsidR="00CF141C" w:rsidRPr="00CF141C">
        <w:rPr>
          <w:rFonts w:ascii="Times New Roman" w:hAnsi="Times New Roman" w:cs="Times New Roman"/>
          <w:sz w:val="28"/>
          <w:szCs w:val="28"/>
        </w:rPr>
        <w:t>,</w:t>
      </w:r>
      <w:r w:rsidR="00A13D85" w:rsidRPr="00A13D85">
        <w:rPr>
          <w:rFonts w:ascii="Times New Roman" w:hAnsi="Times New Roman" w:cs="Times New Roman"/>
          <w:sz w:val="28"/>
          <w:szCs w:val="28"/>
        </w:rPr>
        <w:t xml:space="preserve"> </w:t>
      </w:r>
      <w:r w:rsidRPr="00CF141C">
        <w:rPr>
          <w:rFonts w:ascii="Times New Roman" w:hAnsi="Times New Roman" w:cs="Times New Roman"/>
          <w:sz w:val="28"/>
          <w:szCs w:val="28"/>
        </w:rPr>
        <w:t xml:space="preserve">Уставом </w:t>
      </w:r>
      <w:r>
        <w:rPr>
          <w:rFonts w:ascii="Times New Roman" w:hAnsi="Times New Roman" w:cs="Times New Roman"/>
          <w:sz w:val="28"/>
          <w:szCs w:val="28"/>
        </w:rPr>
        <w:t xml:space="preserve">Бардымского </w:t>
      </w:r>
      <w:r w:rsidRPr="00CF141C">
        <w:rPr>
          <w:rFonts w:ascii="Times New Roman" w:hAnsi="Times New Roman" w:cs="Times New Roman"/>
          <w:sz w:val="28"/>
          <w:szCs w:val="28"/>
        </w:rPr>
        <w:t>муниципального района</w:t>
      </w:r>
      <w:r w:rsidR="0081565B">
        <w:rPr>
          <w:rFonts w:ascii="Times New Roman" w:hAnsi="Times New Roman" w:cs="Times New Roman"/>
          <w:sz w:val="28"/>
          <w:szCs w:val="28"/>
        </w:rPr>
        <w:t>, решением Земского С</w:t>
      </w:r>
      <w:r>
        <w:rPr>
          <w:rFonts w:ascii="Times New Roman" w:hAnsi="Times New Roman" w:cs="Times New Roman"/>
          <w:sz w:val="28"/>
          <w:szCs w:val="28"/>
        </w:rPr>
        <w:t xml:space="preserve">обрания Бардымского муниципального района от 11.07.2017 № 321 </w:t>
      </w:r>
      <w:r w:rsidR="00DE2D0E">
        <w:rPr>
          <w:rFonts w:ascii="Times New Roman" w:hAnsi="Times New Roman" w:cs="Times New Roman"/>
          <w:sz w:val="28"/>
          <w:szCs w:val="28"/>
        </w:rPr>
        <w:t>«</w:t>
      </w:r>
      <w:r>
        <w:rPr>
          <w:rFonts w:ascii="Times New Roman" w:hAnsi="Times New Roman" w:cs="Times New Roman"/>
          <w:sz w:val="28"/>
          <w:szCs w:val="28"/>
        </w:rPr>
        <w:t>Об утверждении Положения о стратегическом планировании в Бардымском муниципальном районе</w:t>
      </w:r>
      <w:r w:rsidR="00DE2D0E">
        <w:rPr>
          <w:rFonts w:ascii="Times New Roman" w:hAnsi="Times New Roman" w:cs="Times New Roman"/>
          <w:sz w:val="28"/>
          <w:szCs w:val="28"/>
        </w:rPr>
        <w:t>»</w:t>
      </w:r>
      <w:r w:rsidR="002D7431">
        <w:rPr>
          <w:rFonts w:ascii="Times New Roman" w:hAnsi="Times New Roman" w:cs="Times New Roman"/>
          <w:sz w:val="28"/>
          <w:szCs w:val="28"/>
        </w:rPr>
        <w:t xml:space="preserve"> </w:t>
      </w:r>
      <w:r w:rsidR="00CF141C" w:rsidRPr="00574C4C">
        <w:rPr>
          <w:rFonts w:ascii="Times New Roman" w:eastAsia="Times New Roman" w:hAnsi="Times New Roman" w:cs="Times New Roman"/>
          <w:sz w:val="28"/>
          <w:szCs w:val="28"/>
        </w:rPr>
        <w:t>Земское Собрание Бардымского муниципального района</w:t>
      </w:r>
    </w:p>
    <w:p w:rsidR="00CF141C" w:rsidRPr="00574C4C" w:rsidRDefault="00CF141C" w:rsidP="00CF141C">
      <w:pPr>
        <w:spacing w:after="0" w:line="240" w:lineRule="auto"/>
        <w:jc w:val="both"/>
        <w:rPr>
          <w:rFonts w:ascii="Times New Roman" w:eastAsia="Times New Roman" w:hAnsi="Times New Roman" w:cs="Times New Roman"/>
          <w:sz w:val="28"/>
          <w:szCs w:val="28"/>
        </w:rPr>
      </w:pPr>
      <w:r w:rsidRPr="00574C4C">
        <w:rPr>
          <w:rFonts w:ascii="Times New Roman" w:eastAsia="Times New Roman" w:hAnsi="Times New Roman" w:cs="Times New Roman"/>
          <w:sz w:val="28"/>
          <w:szCs w:val="28"/>
        </w:rPr>
        <w:t xml:space="preserve">РЕШАЕТ: </w:t>
      </w:r>
    </w:p>
    <w:p w:rsidR="00CF141C" w:rsidRPr="00CF141C" w:rsidRDefault="00CF141C" w:rsidP="00CF141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F141C">
        <w:rPr>
          <w:rFonts w:ascii="Times New Roman" w:hAnsi="Times New Roman" w:cs="Times New Roman"/>
          <w:sz w:val="28"/>
          <w:szCs w:val="28"/>
        </w:rPr>
        <w:t xml:space="preserve">1. </w:t>
      </w:r>
      <w:r w:rsidR="00437674">
        <w:rPr>
          <w:rFonts w:ascii="Times New Roman" w:hAnsi="Times New Roman" w:cs="Times New Roman"/>
          <w:sz w:val="28"/>
          <w:szCs w:val="28"/>
        </w:rPr>
        <w:t xml:space="preserve">Утвердить </w:t>
      </w:r>
      <w:r w:rsidR="00D5668B">
        <w:rPr>
          <w:rFonts w:ascii="Times New Roman" w:hAnsi="Times New Roman" w:cs="Times New Roman"/>
          <w:sz w:val="28"/>
          <w:szCs w:val="28"/>
        </w:rPr>
        <w:t>Стратегию</w:t>
      </w:r>
      <w:r w:rsidR="003250B8">
        <w:rPr>
          <w:rFonts w:ascii="Times New Roman" w:hAnsi="Times New Roman" w:cs="Times New Roman"/>
          <w:sz w:val="28"/>
          <w:szCs w:val="28"/>
        </w:rPr>
        <w:t xml:space="preserve"> социально-экономического развития Бардымского муниципального района на 2018 – 2030 годы</w:t>
      </w:r>
      <w:r w:rsidR="008E3709">
        <w:rPr>
          <w:rFonts w:ascii="Times New Roman" w:hAnsi="Times New Roman" w:cs="Times New Roman"/>
          <w:sz w:val="28"/>
          <w:szCs w:val="28"/>
        </w:rPr>
        <w:t>.</w:t>
      </w:r>
    </w:p>
    <w:p w:rsidR="00CF141C" w:rsidRPr="00A55770" w:rsidRDefault="00A55770" w:rsidP="00A557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CF141C" w:rsidRPr="00CF141C">
        <w:rPr>
          <w:rFonts w:ascii="Times New Roman" w:hAnsi="Times New Roman" w:cs="Times New Roman"/>
          <w:sz w:val="28"/>
          <w:szCs w:val="28"/>
        </w:rPr>
        <w:t xml:space="preserve">2. </w:t>
      </w:r>
      <w:r w:rsidR="00CF141C" w:rsidRPr="00574C4C">
        <w:rPr>
          <w:rFonts w:ascii="Times New Roman" w:eastAsia="Times New Roman" w:hAnsi="Times New Roman" w:cs="Times New Roman"/>
          <w:bCs/>
          <w:sz w:val="28"/>
          <w:szCs w:val="20"/>
        </w:rPr>
        <w:t xml:space="preserve">Настоящее решение </w:t>
      </w:r>
      <w:r w:rsidR="002D7431">
        <w:rPr>
          <w:rFonts w:ascii="Times New Roman" w:eastAsia="Times New Roman" w:hAnsi="Times New Roman" w:cs="Times New Roman"/>
          <w:bCs/>
          <w:sz w:val="28"/>
          <w:szCs w:val="20"/>
        </w:rPr>
        <w:t>опубликовать</w:t>
      </w:r>
      <w:r w:rsidR="006F3566">
        <w:rPr>
          <w:rFonts w:ascii="Times New Roman" w:eastAsia="Times New Roman" w:hAnsi="Times New Roman" w:cs="Times New Roman"/>
          <w:bCs/>
          <w:sz w:val="28"/>
          <w:szCs w:val="20"/>
        </w:rPr>
        <w:t xml:space="preserve"> (разместить)</w:t>
      </w:r>
      <w:r w:rsidR="00CF141C">
        <w:rPr>
          <w:rFonts w:ascii="Times New Roman" w:eastAsia="Times New Roman" w:hAnsi="Times New Roman" w:cs="Times New Roman"/>
          <w:bCs/>
          <w:sz w:val="28"/>
          <w:szCs w:val="20"/>
        </w:rPr>
        <w:t xml:space="preserve"> на официальном сайте А</w:t>
      </w:r>
      <w:r w:rsidR="00CF141C" w:rsidRPr="00574C4C">
        <w:rPr>
          <w:rFonts w:ascii="Times New Roman" w:eastAsia="Times New Roman" w:hAnsi="Times New Roman" w:cs="Times New Roman"/>
          <w:bCs/>
          <w:sz w:val="28"/>
          <w:szCs w:val="20"/>
        </w:rPr>
        <w:t>дминистрации Бар</w:t>
      </w:r>
      <w:r w:rsidR="00CF141C">
        <w:rPr>
          <w:rFonts w:ascii="Times New Roman" w:eastAsia="Times New Roman" w:hAnsi="Times New Roman" w:cs="Times New Roman"/>
          <w:bCs/>
          <w:sz w:val="28"/>
          <w:szCs w:val="20"/>
        </w:rPr>
        <w:t>дымского муниципального района</w:t>
      </w:r>
      <w:r w:rsidR="002D7431">
        <w:rPr>
          <w:rFonts w:ascii="Times New Roman" w:eastAsia="Times New Roman" w:hAnsi="Times New Roman" w:cs="Times New Roman"/>
          <w:bCs/>
          <w:sz w:val="28"/>
          <w:szCs w:val="20"/>
        </w:rPr>
        <w:t xml:space="preserve"> </w:t>
      </w:r>
      <w:r w:rsidR="00CF141C" w:rsidRPr="00574C4C">
        <w:rPr>
          <w:rFonts w:ascii="Times New Roman" w:eastAsia="Times New Roman" w:hAnsi="Times New Roman" w:cs="Times New Roman"/>
          <w:bCs/>
          <w:sz w:val="28"/>
          <w:szCs w:val="20"/>
          <w:lang w:val="en-US"/>
        </w:rPr>
        <w:t>www</w:t>
      </w:r>
      <w:r w:rsidR="00CF141C" w:rsidRPr="00574C4C">
        <w:rPr>
          <w:rFonts w:ascii="Times New Roman" w:eastAsia="Times New Roman" w:hAnsi="Times New Roman" w:cs="Times New Roman"/>
          <w:bCs/>
          <w:sz w:val="28"/>
          <w:szCs w:val="20"/>
        </w:rPr>
        <w:t>.barda-rayon.ru.</w:t>
      </w:r>
    </w:p>
    <w:p w:rsidR="00CF141C" w:rsidRPr="00CF141C" w:rsidRDefault="00437674" w:rsidP="00CF141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CF141C" w:rsidRPr="00CF141C">
        <w:rPr>
          <w:rFonts w:ascii="Times New Roman" w:hAnsi="Times New Roman" w:cs="Times New Roman"/>
          <w:sz w:val="28"/>
          <w:szCs w:val="28"/>
        </w:rPr>
        <w:t>. Контроль исполнени</w:t>
      </w:r>
      <w:r w:rsidR="00BE7C22">
        <w:rPr>
          <w:rFonts w:ascii="Times New Roman" w:hAnsi="Times New Roman" w:cs="Times New Roman"/>
          <w:sz w:val="28"/>
          <w:szCs w:val="28"/>
        </w:rPr>
        <w:t xml:space="preserve">я </w:t>
      </w:r>
      <w:r w:rsidR="00CF141C" w:rsidRPr="00CF141C">
        <w:rPr>
          <w:rFonts w:ascii="Times New Roman" w:hAnsi="Times New Roman" w:cs="Times New Roman"/>
          <w:sz w:val="28"/>
          <w:szCs w:val="28"/>
        </w:rPr>
        <w:t xml:space="preserve">решения </w:t>
      </w:r>
      <w:r w:rsidR="00BE7C22">
        <w:rPr>
          <w:rFonts w:ascii="Times New Roman" w:hAnsi="Times New Roman" w:cs="Times New Roman"/>
          <w:sz w:val="28"/>
          <w:szCs w:val="28"/>
        </w:rPr>
        <w:t xml:space="preserve">возложить на </w:t>
      </w:r>
      <w:r w:rsidR="00893941">
        <w:rPr>
          <w:rFonts w:ascii="Times New Roman" w:hAnsi="Times New Roman" w:cs="Times New Roman"/>
          <w:sz w:val="28"/>
          <w:szCs w:val="28"/>
        </w:rPr>
        <w:t>председателя</w:t>
      </w:r>
      <w:r w:rsidR="001073A9">
        <w:rPr>
          <w:rFonts w:ascii="Times New Roman" w:hAnsi="Times New Roman" w:cs="Times New Roman"/>
          <w:sz w:val="28"/>
          <w:szCs w:val="28"/>
        </w:rPr>
        <w:t xml:space="preserve"> комиссии</w:t>
      </w:r>
      <w:r w:rsidR="00893941">
        <w:rPr>
          <w:rFonts w:ascii="Times New Roman" w:hAnsi="Times New Roman" w:cs="Times New Roman"/>
          <w:sz w:val="28"/>
          <w:szCs w:val="28"/>
        </w:rPr>
        <w:t xml:space="preserve"> по экономической политике Сарбаева В.М.</w:t>
      </w:r>
    </w:p>
    <w:p w:rsidR="00CF141C" w:rsidRDefault="00CF141C" w:rsidP="00B9076E">
      <w:pPr>
        <w:spacing w:after="0" w:line="240" w:lineRule="auto"/>
        <w:ind w:firstLine="720"/>
        <w:jc w:val="both"/>
        <w:rPr>
          <w:rFonts w:ascii="Times New Roman" w:eastAsia="Times New Roman" w:hAnsi="Times New Roman" w:cs="Times New Roman"/>
          <w:sz w:val="28"/>
          <w:szCs w:val="28"/>
        </w:rPr>
      </w:pPr>
    </w:p>
    <w:p w:rsidR="00B9076E" w:rsidRPr="00574C4C" w:rsidRDefault="00B9076E" w:rsidP="00B9076E">
      <w:pPr>
        <w:tabs>
          <w:tab w:val="left" w:pos="0"/>
        </w:tabs>
        <w:spacing w:after="0" w:line="240" w:lineRule="auto"/>
        <w:jc w:val="both"/>
        <w:rPr>
          <w:rFonts w:ascii="Times New Roman" w:eastAsia="Times New Roman" w:hAnsi="Times New Roman" w:cs="Times New Roman"/>
          <w:sz w:val="28"/>
          <w:szCs w:val="28"/>
        </w:rPr>
      </w:pPr>
    </w:p>
    <w:p w:rsidR="00B9076E" w:rsidRPr="00574C4C" w:rsidRDefault="00B9076E" w:rsidP="00B9076E">
      <w:pPr>
        <w:tabs>
          <w:tab w:val="left" w:pos="0"/>
        </w:tabs>
        <w:spacing w:after="0" w:line="240" w:lineRule="auto"/>
        <w:jc w:val="both"/>
        <w:rPr>
          <w:rFonts w:ascii="Times New Roman" w:eastAsia="Times New Roman" w:hAnsi="Times New Roman" w:cs="Times New Roman"/>
          <w:sz w:val="28"/>
          <w:szCs w:val="28"/>
        </w:rPr>
      </w:pPr>
      <w:r w:rsidRPr="00574C4C">
        <w:rPr>
          <w:rFonts w:ascii="Times New Roman" w:eastAsia="Times New Roman" w:hAnsi="Times New Roman" w:cs="Times New Roman"/>
          <w:sz w:val="28"/>
          <w:szCs w:val="28"/>
        </w:rPr>
        <w:t>Председатель Земского Собрания</w:t>
      </w:r>
    </w:p>
    <w:p w:rsidR="00B9076E" w:rsidRPr="00574C4C" w:rsidRDefault="00B9076E" w:rsidP="00B9076E">
      <w:pPr>
        <w:tabs>
          <w:tab w:val="left" w:pos="0"/>
        </w:tabs>
        <w:spacing w:after="0" w:line="240" w:lineRule="auto"/>
        <w:rPr>
          <w:rFonts w:ascii="Times New Roman" w:eastAsia="Times New Roman" w:hAnsi="Times New Roman" w:cs="Times New Roman"/>
          <w:sz w:val="28"/>
          <w:szCs w:val="28"/>
        </w:rPr>
      </w:pPr>
      <w:r w:rsidRPr="00574C4C">
        <w:rPr>
          <w:rFonts w:ascii="Times New Roman" w:eastAsia="Times New Roman" w:hAnsi="Times New Roman" w:cs="Times New Roman"/>
          <w:sz w:val="28"/>
          <w:szCs w:val="28"/>
        </w:rPr>
        <w:t xml:space="preserve">Бардымского муниципального района                      </w:t>
      </w:r>
      <w:r w:rsidR="0031634F">
        <w:rPr>
          <w:rFonts w:ascii="Times New Roman" w:eastAsia="Times New Roman" w:hAnsi="Times New Roman" w:cs="Times New Roman"/>
          <w:sz w:val="28"/>
          <w:szCs w:val="28"/>
        </w:rPr>
        <w:t xml:space="preserve">                              Х.Г.</w:t>
      </w:r>
      <w:r>
        <w:rPr>
          <w:rFonts w:ascii="Times New Roman" w:eastAsia="Times New Roman" w:hAnsi="Times New Roman" w:cs="Times New Roman"/>
          <w:sz w:val="28"/>
          <w:szCs w:val="28"/>
        </w:rPr>
        <w:t>Алапанов</w:t>
      </w:r>
    </w:p>
    <w:p w:rsidR="00B9076E" w:rsidRDefault="00B9076E" w:rsidP="00B9076E">
      <w:pPr>
        <w:tabs>
          <w:tab w:val="left" w:pos="0"/>
        </w:tabs>
        <w:spacing w:after="0" w:line="240" w:lineRule="auto"/>
        <w:jc w:val="both"/>
        <w:rPr>
          <w:rFonts w:ascii="Times New Roman" w:eastAsia="Times New Roman" w:hAnsi="Times New Roman" w:cs="Times New Roman"/>
          <w:sz w:val="28"/>
          <w:szCs w:val="28"/>
        </w:rPr>
      </w:pPr>
    </w:p>
    <w:p w:rsidR="00B9076E" w:rsidRDefault="00B9076E" w:rsidP="00B9076E">
      <w:pPr>
        <w:tabs>
          <w:tab w:val="left" w:pos="0"/>
        </w:tabs>
        <w:spacing w:after="0" w:line="240" w:lineRule="auto"/>
        <w:jc w:val="both"/>
        <w:rPr>
          <w:rFonts w:ascii="Times New Roman" w:eastAsia="Times New Roman" w:hAnsi="Times New Roman" w:cs="Times New Roman"/>
          <w:sz w:val="28"/>
          <w:szCs w:val="28"/>
        </w:rPr>
      </w:pPr>
    </w:p>
    <w:p w:rsidR="00886F09" w:rsidRDefault="00BE7C22" w:rsidP="00BE7C2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Глава муниципального района – </w:t>
      </w:r>
    </w:p>
    <w:p w:rsidR="00BE7C22" w:rsidRDefault="00BE7C22" w:rsidP="00BE7C22">
      <w:pPr>
        <w:spacing w:after="0" w:line="240" w:lineRule="auto"/>
        <w:rPr>
          <w:rFonts w:ascii="Times New Roman" w:hAnsi="Times New Roman" w:cs="Times New Roman"/>
          <w:sz w:val="28"/>
          <w:szCs w:val="28"/>
        </w:rPr>
      </w:pPr>
      <w:r>
        <w:rPr>
          <w:rFonts w:ascii="Times New Roman" w:hAnsi="Times New Roman" w:cs="Times New Roman"/>
          <w:sz w:val="28"/>
          <w:szCs w:val="28"/>
        </w:rPr>
        <w:t>глава Администрации Бардымского</w:t>
      </w:r>
    </w:p>
    <w:p w:rsidR="00BE7C22" w:rsidRPr="00BE7C22" w:rsidRDefault="00BE7C22" w:rsidP="00BE7C22">
      <w:pPr>
        <w:spacing w:after="0" w:line="240" w:lineRule="auto"/>
        <w:rPr>
          <w:rFonts w:ascii="Times New Roman" w:hAnsi="Times New Roman" w:cs="Times New Roman"/>
          <w:sz w:val="28"/>
          <w:szCs w:val="28"/>
        </w:rPr>
      </w:pPr>
      <w:r>
        <w:rPr>
          <w:rFonts w:ascii="Times New Roman" w:hAnsi="Times New Roman" w:cs="Times New Roman"/>
          <w:sz w:val="28"/>
          <w:szCs w:val="28"/>
        </w:rPr>
        <w:t>муниципального района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С.М.Ибраев</w:t>
      </w:r>
    </w:p>
    <w:p w:rsidR="00C82567" w:rsidRDefault="00C82567">
      <w:pPr>
        <w:rPr>
          <w:sz w:val="24"/>
          <w:szCs w:val="24"/>
        </w:rPr>
      </w:pPr>
    </w:p>
    <w:p w:rsidR="001D788E" w:rsidRDefault="008E3709">
      <w:pPr>
        <w:rPr>
          <w:sz w:val="24"/>
          <w:szCs w:val="24"/>
        </w:rPr>
      </w:pPr>
      <w:r>
        <w:rPr>
          <w:sz w:val="24"/>
          <w:szCs w:val="24"/>
        </w:rPr>
        <w:t>01.06.2018</w:t>
      </w:r>
    </w:p>
    <w:p w:rsidR="00CF141C" w:rsidRPr="008E3709" w:rsidRDefault="00157F5C" w:rsidP="008E3709">
      <w:pPr>
        <w:spacing w:after="0" w:line="360" w:lineRule="exact"/>
        <w:ind w:hanging="708"/>
        <w:jc w:val="right"/>
        <w:rPr>
          <w:rFonts w:ascii="Times New Roman" w:hAnsi="Times New Roman" w:cs="Times New Roman"/>
          <w:sz w:val="24"/>
          <w:szCs w:val="24"/>
        </w:rPr>
      </w:pPr>
      <w:r>
        <w:rPr>
          <w:rFonts w:ascii="Times New Roman" w:hAnsi="Times New Roman" w:cs="Times New Roman"/>
          <w:sz w:val="28"/>
          <w:szCs w:val="28"/>
        </w:rPr>
        <w:lastRenderedPageBreak/>
        <w:t xml:space="preserve">     </w:t>
      </w:r>
      <w:r w:rsidR="00064F30" w:rsidRPr="00153E07">
        <w:rPr>
          <w:rFonts w:ascii="Times New Roman" w:hAnsi="Times New Roman" w:cs="Times New Roman"/>
          <w:sz w:val="28"/>
          <w:szCs w:val="28"/>
        </w:rPr>
        <w:tab/>
      </w:r>
      <w:r w:rsidR="00064F30" w:rsidRPr="00153E07">
        <w:rPr>
          <w:rFonts w:ascii="Times New Roman" w:hAnsi="Times New Roman" w:cs="Times New Roman"/>
          <w:sz w:val="28"/>
          <w:szCs w:val="28"/>
        </w:rPr>
        <w:tab/>
      </w:r>
      <w:r w:rsidR="00064F30" w:rsidRPr="00153E07">
        <w:rPr>
          <w:rFonts w:ascii="Times New Roman" w:hAnsi="Times New Roman" w:cs="Times New Roman"/>
          <w:sz w:val="28"/>
          <w:szCs w:val="28"/>
        </w:rPr>
        <w:tab/>
      </w:r>
      <w:r w:rsidR="00064F30" w:rsidRPr="00153E07">
        <w:rPr>
          <w:rFonts w:ascii="Times New Roman" w:hAnsi="Times New Roman" w:cs="Times New Roman"/>
          <w:sz w:val="28"/>
          <w:szCs w:val="28"/>
        </w:rPr>
        <w:tab/>
      </w:r>
      <w:r w:rsidR="00064F30" w:rsidRPr="00153E07">
        <w:rPr>
          <w:rFonts w:ascii="Times New Roman" w:hAnsi="Times New Roman" w:cs="Times New Roman"/>
          <w:sz w:val="28"/>
          <w:szCs w:val="28"/>
        </w:rPr>
        <w:tab/>
      </w:r>
      <w:r w:rsidR="00064F30" w:rsidRPr="00153E07">
        <w:rPr>
          <w:rFonts w:ascii="Times New Roman" w:hAnsi="Times New Roman" w:cs="Times New Roman"/>
          <w:sz w:val="28"/>
          <w:szCs w:val="28"/>
        </w:rPr>
        <w:tab/>
      </w:r>
      <w:r w:rsidR="00064F30" w:rsidRPr="00153E07">
        <w:rPr>
          <w:rFonts w:ascii="Times New Roman" w:hAnsi="Times New Roman" w:cs="Times New Roman"/>
          <w:sz w:val="28"/>
          <w:szCs w:val="28"/>
        </w:rPr>
        <w:tab/>
      </w:r>
      <w:r w:rsidR="00064F30" w:rsidRPr="00153E07">
        <w:rPr>
          <w:rFonts w:ascii="Times New Roman" w:hAnsi="Times New Roman" w:cs="Times New Roman"/>
          <w:sz w:val="28"/>
          <w:szCs w:val="28"/>
        </w:rPr>
        <w:tab/>
      </w:r>
      <w:r w:rsidRPr="008E3709">
        <w:rPr>
          <w:rFonts w:ascii="Times New Roman" w:hAnsi="Times New Roman" w:cs="Times New Roman"/>
          <w:sz w:val="24"/>
          <w:szCs w:val="24"/>
        </w:rPr>
        <w:t xml:space="preserve">          </w:t>
      </w:r>
      <w:r w:rsidR="0081565B" w:rsidRPr="008E3709">
        <w:rPr>
          <w:rFonts w:ascii="Times New Roman" w:hAnsi="Times New Roman" w:cs="Times New Roman"/>
          <w:sz w:val="24"/>
          <w:szCs w:val="24"/>
        </w:rPr>
        <w:t>Приложение</w:t>
      </w:r>
    </w:p>
    <w:p w:rsidR="00C82567" w:rsidRPr="008E3709" w:rsidRDefault="00CF141C" w:rsidP="008E3709">
      <w:pPr>
        <w:spacing w:after="0" w:line="240" w:lineRule="exact"/>
        <w:jc w:val="right"/>
        <w:rPr>
          <w:rFonts w:ascii="Times New Roman" w:hAnsi="Times New Roman" w:cs="Times New Roman"/>
          <w:sz w:val="24"/>
          <w:szCs w:val="24"/>
        </w:rPr>
      </w:pPr>
      <w:r w:rsidRPr="008E3709">
        <w:rPr>
          <w:rFonts w:ascii="Times New Roman" w:hAnsi="Times New Roman" w:cs="Times New Roman"/>
          <w:sz w:val="24"/>
          <w:szCs w:val="24"/>
        </w:rPr>
        <w:tab/>
      </w:r>
      <w:r w:rsidRPr="008E3709">
        <w:rPr>
          <w:rFonts w:ascii="Times New Roman" w:hAnsi="Times New Roman" w:cs="Times New Roman"/>
          <w:sz w:val="24"/>
          <w:szCs w:val="24"/>
        </w:rPr>
        <w:tab/>
      </w:r>
      <w:r w:rsidRPr="008E3709">
        <w:rPr>
          <w:rFonts w:ascii="Times New Roman" w:hAnsi="Times New Roman" w:cs="Times New Roman"/>
          <w:sz w:val="24"/>
          <w:szCs w:val="24"/>
        </w:rPr>
        <w:tab/>
      </w:r>
      <w:r w:rsidRPr="008E3709">
        <w:rPr>
          <w:rFonts w:ascii="Times New Roman" w:hAnsi="Times New Roman" w:cs="Times New Roman"/>
          <w:sz w:val="24"/>
          <w:szCs w:val="24"/>
        </w:rPr>
        <w:tab/>
      </w:r>
      <w:r w:rsidRPr="008E3709">
        <w:rPr>
          <w:rFonts w:ascii="Times New Roman" w:hAnsi="Times New Roman" w:cs="Times New Roman"/>
          <w:sz w:val="24"/>
          <w:szCs w:val="24"/>
        </w:rPr>
        <w:tab/>
      </w:r>
      <w:r w:rsidRPr="008E3709">
        <w:rPr>
          <w:rFonts w:ascii="Times New Roman" w:hAnsi="Times New Roman" w:cs="Times New Roman"/>
          <w:sz w:val="24"/>
          <w:szCs w:val="24"/>
        </w:rPr>
        <w:tab/>
      </w:r>
      <w:r w:rsidRPr="008E3709">
        <w:rPr>
          <w:rFonts w:ascii="Times New Roman" w:hAnsi="Times New Roman" w:cs="Times New Roman"/>
          <w:sz w:val="24"/>
          <w:szCs w:val="24"/>
        </w:rPr>
        <w:tab/>
      </w:r>
      <w:r w:rsidRPr="008E3709">
        <w:rPr>
          <w:rFonts w:ascii="Times New Roman" w:hAnsi="Times New Roman" w:cs="Times New Roman"/>
          <w:sz w:val="24"/>
          <w:szCs w:val="24"/>
        </w:rPr>
        <w:tab/>
      </w:r>
      <w:r w:rsidR="0081565B" w:rsidRPr="008E3709">
        <w:rPr>
          <w:rFonts w:ascii="Times New Roman" w:hAnsi="Times New Roman" w:cs="Times New Roman"/>
          <w:sz w:val="24"/>
          <w:szCs w:val="24"/>
        </w:rPr>
        <w:t xml:space="preserve">к </w:t>
      </w:r>
      <w:r w:rsidRPr="008E3709">
        <w:rPr>
          <w:rFonts w:ascii="Times New Roman" w:hAnsi="Times New Roman" w:cs="Times New Roman"/>
          <w:sz w:val="24"/>
          <w:szCs w:val="24"/>
        </w:rPr>
        <w:t>решени</w:t>
      </w:r>
      <w:r w:rsidR="0081565B" w:rsidRPr="008E3709">
        <w:rPr>
          <w:rFonts w:ascii="Times New Roman" w:hAnsi="Times New Roman" w:cs="Times New Roman"/>
          <w:sz w:val="24"/>
          <w:szCs w:val="24"/>
        </w:rPr>
        <w:t>ю</w:t>
      </w:r>
      <w:r w:rsidR="00BE7C22" w:rsidRPr="008E3709">
        <w:rPr>
          <w:rFonts w:ascii="Times New Roman" w:hAnsi="Times New Roman" w:cs="Times New Roman"/>
          <w:sz w:val="24"/>
          <w:szCs w:val="24"/>
        </w:rPr>
        <w:t xml:space="preserve"> Земского С</w:t>
      </w:r>
      <w:r w:rsidRPr="008E3709">
        <w:rPr>
          <w:rFonts w:ascii="Times New Roman" w:hAnsi="Times New Roman" w:cs="Times New Roman"/>
          <w:sz w:val="24"/>
          <w:szCs w:val="24"/>
        </w:rPr>
        <w:t xml:space="preserve">обрания </w:t>
      </w:r>
    </w:p>
    <w:p w:rsidR="00C82567" w:rsidRPr="008E3709" w:rsidRDefault="00A13D85" w:rsidP="008E3709">
      <w:pPr>
        <w:spacing w:after="0" w:line="240" w:lineRule="exact"/>
        <w:jc w:val="right"/>
        <w:rPr>
          <w:rFonts w:ascii="Times New Roman" w:hAnsi="Times New Roman" w:cs="Times New Roman"/>
          <w:sz w:val="24"/>
          <w:szCs w:val="24"/>
        </w:rPr>
      </w:pPr>
      <w:r w:rsidRPr="008E3709">
        <w:rPr>
          <w:rFonts w:ascii="Times New Roman" w:hAnsi="Times New Roman" w:cs="Times New Roman"/>
          <w:sz w:val="24"/>
          <w:szCs w:val="24"/>
        </w:rPr>
        <w:t xml:space="preserve">                                                                                 </w:t>
      </w:r>
      <w:r w:rsidR="00CF141C" w:rsidRPr="008E3709">
        <w:rPr>
          <w:rFonts w:ascii="Times New Roman" w:hAnsi="Times New Roman" w:cs="Times New Roman"/>
          <w:sz w:val="24"/>
          <w:szCs w:val="24"/>
        </w:rPr>
        <w:t xml:space="preserve">Бардымского </w:t>
      </w:r>
      <w:r w:rsidR="00C82567" w:rsidRPr="008E3709">
        <w:rPr>
          <w:rFonts w:ascii="Times New Roman" w:hAnsi="Times New Roman" w:cs="Times New Roman"/>
          <w:sz w:val="24"/>
          <w:szCs w:val="24"/>
        </w:rPr>
        <w:t>мун</w:t>
      </w:r>
      <w:r w:rsidR="00CF141C" w:rsidRPr="008E3709">
        <w:rPr>
          <w:rFonts w:ascii="Times New Roman" w:hAnsi="Times New Roman" w:cs="Times New Roman"/>
          <w:sz w:val="24"/>
          <w:szCs w:val="24"/>
        </w:rPr>
        <w:t>и</w:t>
      </w:r>
      <w:r w:rsidR="00C82567" w:rsidRPr="008E3709">
        <w:rPr>
          <w:rFonts w:ascii="Times New Roman" w:hAnsi="Times New Roman" w:cs="Times New Roman"/>
          <w:sz w:val="24"/>
          <w:szCs w:val="24"/>
        </w:rPr>
        <w:t>ци</w:t>
      </w:r>
      <w:r w:rsidR="00CF141C" w:rsidRPr="008E3709">
        <w:rPr>
          <w:rFonts w:ascii="Times New Roman" w:hAnsi="Times New Roman" w:cs="Times New Roman"/>
          <w:sz w:val="24"/>
          <w:szCs w:val="24"/>
        </w:rPr>
        <w:t xml:space="preserve">пального </w:t>
      </w:r>
    </w:p>
    <w:p w:rsidR="00064F30" w:rsidRPr="008E3709" w:rsidRDefault="00A13D85" w:rsidP="008E3709">
      <w:pPr>
        <w:spacing w:after="0" w:line="240" w:lineRule="exact"/>
        <w:jc w:val="right"/>
        <w:rPr>
          <w:rFonts w:ascii="Times New Roman" w:hAnsi="Times New Roman" w:cs="Times New Roman"/>
          <w:sz w:val="24"/>
          <w:szCs w:val="24"/>
        </w:rPr>
      </w:pPr>
      <w:r w:rsidRPr="008E3709">
        <w:rPr>
          <w:rFonts w:ascii="Times New Roman" w:hAnsi="Times New Roman" w:cs="Times New Roman"/>
          <w:sz w:val="24"/>
          <w:szCs w:val="24"/>
        </w:rPr>
        <w:t xml:space="preserve">                                                                                 р</w:t>
      </w:r>
      <w:r w:rsidR="00CF141C" w:rsidRPr="008E3709">
        <w:rPr>
          <w:rFonts w:ascii="Times New Roman" w:hAnsi="Times New Roman" w:cs="Times New Roman"/>
          <w:sz w:val="24"/>
          <w:szCs w:val="24"/>
        </w:rPr>
        <w:t>айона</w:t>
      </w:r>
      <w:r w:rsidR="00530383" w:rsidRPr="008E3709">
        <w:rPr>
          <w:rFonts w:ascii="Times New Roman" w:hAnsi="Times New Roman" w:cs="Times New Roman"/>
          <w:sz w:val="24"/>
          <w:szCs w:val="24"/>
        </w:rPr>
        <w:t xml:space="preserve"> </w:t>
      </w:r>
      <w:r w:rsidR="001D788E" w:rsidRPr="008E3709">
        <w:rPr>
          <w:rFonts w:ascii="Times New Roman" w:hAnsi="Times New Roman" w:cs="Times New Roman"/>
          <w:sz w:val="24"/>
          <w:szCs w:val="24"/>
        </w:rPr>
        <w:t>от</w:t>
      </w:r>
      <w:r w:rsidRPr="008E3709">
        <w:rPr>
          <w:rFonts w:ascii="Times New Roman" w:hAnsi="Times New Roman" w:cs="Times New Roman"/>
          <w:sz w:val="24"/>
          <w:szCs w:val="24"/>
        </w:rPr>
        <w:t xml:space="preserve"> </w:t>
      </w:r>
      <w:r w:rsidR="00157F5C" w:rsidRPr="008E3709">
        <w:rPr>
          <w:rFonts w:ascii="Times New Roman" w:hAnsi="Times New Roman" w:cs="Times New Roman"/>
          <w:sz w:val="24"/>
          <w:szCs w:val="24"/>
        </w:rPr>
        <w:t xml:space="preserve">30 мая </w:t>
      </w:r>
      <w:r w:rsidR="00A55770" w:rsidRPr="008E3709">
        <w:rPr>
          <w:rFonts w:ascii="Times New Roman" w:hAnsi="Times New Roman" w:cs="Times New Roman"/>
          <w:sz w:val="24"/>
          <w:szCs w:val="24"/>
        </w:rPr>
        <w:t>201</w:t>
      </w:r>
      <w:r w:rsidRPr="008E3709">
        <w:rPr>
          <w:rFonts w:ascii="Times New Roman" w:hAnsi="Times New Roman" w:cs="Times New Roman"/>
          <w:sz w:val="24"/>
          <w:szCs w:val="24"/>
        </w:rPr>
        <w:t>8</w:t>
      </w:r>
      <w:r w:rsidR="00A55770" w:rsidRPr="008E3709">
        <w:rPr>
          <w:rFonts w:ascii="Times New Roman" w:hAnsi="Times New Roman" w:cs="Times New Roman"/>
          <w:sz w:val="24"/>
          <w:szCs w:val="24"/>
        </w:rPr>
        <w:t xml:space="preserve"> </w:t>
      </w:r>
      <w:r w:rsidR="00C82567" w:rsidRPr="008E3709">
        <w:rPr>
          <w:rFonts w:ascii="Times New Roman" w:hAnsi="Times New Roman" w:cs="Times New Roman"/>
          <w:sz w:val="24"/>
          <w:szCs w:val="24"/>
        </w:rPr>
        <w:t>№</w:t>
      </w:r>
      <w:r w:rsidR="00157F5C" w:rsidRPr="008E3709">
        <w:rPr>
          <w:rFonts w:ascii="Times New Roman" w:hAnsi="Times New Roman" w:cs="Times New Roman"/>
          <w:sz w:val="24"/>
          <w:szCs w:val="24"/>
        </w:rPr>
        <w:t xml:space="preserve"> </w:t>
      </w:r>
      <w:r w:rsidR="008E3709" w:rsidRPr="008E3709">
        <w:rPr>
          <w:rFonts w:ascii="Times New Roman" w:hAnsi="Times New Roman" w:cs="Times New Roman"/>
          <w:sz w:val="24"/>
          <w:szCs w:val="24"/>
        </w:rPr>
        <w:t>411</w:t>
      </w:r>
    </w:p>
    <w:p w:rsidR="00747DEB" w:rsidRPr="00153E07" w:rsidRDefault="00747DEB" w:rsidP="00153E07">
      <w:pPr>
        <w:spacing w:after="0" w:line="240" w:lineRule="exact"/>
        <w:jc w:val="both"/>
        <w:rPr>
          <w:rFonts w:ascii="Times New Roman" w:hAnsi="Times New Roman" w:cs="Times New Roman"/>
          <w:b/>
          <w:sz w:val="28"/>
          <w:szCs w:val="28"/>
        </w:rPr>
      </w:pPr>
    </w:p>
    <w:p w:rsidR="00CF141C" w:rsidRPr="00153E07" w:rsidRDefault="00064F30" w:rsidP="00157F5C">
      <w:pPr>
        <w:spacing w:after="0" w:line="240" w:lineRule="auto"/>
        <w:jc w:val="center"/>
        <w:rPr>
          <w:rFonts w:ascii="Times New Roman" w:hAnsi="Times New Roman" w:cs="Times New Roman"/>
          <w:b/>
          <w:sz w:val="28"/>
          <w:szCs w:val="28"/>
        </w:rPr>
      </w:pPr>
      <w:r w:rsidRPr="00153E07">
        <w:rPr>
          <w:rFonts w:ascii="Times New Roman" w:hAnsi="Times New Roman" w:cs="Times New Roman"/>
          <w:b/>
          <w:sz w:val="28"/>
          <w:szCs w:val="28"/>
        </w:rPr>
        <w:t>Стратегия социально-экономического развития Бардымского муниципа</w:t>
      </w:r>
      <w:r w:rsidR="00747DEB" w:rsidRPr="00153E07">
        <w:rPr>
          <w:rFonts w:ascii="Times New Roman" w:hAnsi="Times New Roman" w:cs="Times New Roman"/>
          <w:b/>
          <w:sz w:val="28"/>
          <w:szCs w:val="28"/>
        </w:rPr>
        <w:t>льного района на 2018-2030 годы</w:t>
      </w:r>
    </w:p>
    <w:p w:rsidR="00CF141C" w:rsidRPr="00153E07" w:rsidRDefault="00CF141C" w:rsidP="00DD3EEB">
      <w:pPr>
        <w:spacing w:after="0" w:line="240" w:lineRule="auto"/>
        <w:jc w:val="both"/>
        <w:rPr>
          <w:rFonts w:ascii="Times New Roman" w:hAnsi="Times New Roman" w:cs="Times New Roman"/>
          <w:sz w:val="28"/>
          <w:szCs w:val="28"/>
        </w:rPr>
      </w:pPr>
    </w:p>
    <w:p w:rsidR="00064F30" w:rsidRDefault="00064F30" w:rsidP="00DD3EEB">
      <w:pPr>
        <w:pStyle w:val="1"/>
        <w:spacing w:line="240" w:lineRule="auto"/>
      </w:pPr>
      <w:bookmarkStart w:id="0" w:name="_Toc491779060"/>
      <w:bookmarkStart w:id="1" w:name="_Toc494124282"/>
      <w:r w:rsidRPr="00153E07">
        <w:t>1. Оценка социально-экономического развития Бардымского муниципального района</w:t>
      </w:r>
      <w:bookmarkEnd w:id="0"/>
      <w:bookmarkEnd w:id="1"/>
    </w:p>
    <w:p w:rsidR="00153E07" w:rsidRDefault="00153E07" w:rsidP="00DD3EEB">
      <w:pPr>
        <w:pStyle w:val="1"/>
        <w:numPr>
          <w:ilvl w:val="1"/>
          <w:numId w:val="17"/>
        </w:numPr>
        <w:spacing w:line="240" w:lineRule="auto"/>
      </w:pPr>
      <w:bookmarkStart w:id="2" w:name="_Toc491779061"/>
      <w:bookmarkStart w:id="3" w:name="_Toc494124283"/>
      <w:r w:rsidRPr="00153E07">
        <w:t>Бардымский муниципальный район (общая информация)</w:t>
      </w:r>
    </w:p>
    <w:p w:rsidR="00153E07" w:rsidRPr="00153E07" w:rsidRDefault="00153E07" w:rsidP="00DD3EEB">
      <w:pPr>
        <w:pStyle w:val="1"/>
        <w:spacing w:line="240" w:lineRule="auto"/>
      </w:pPr>
      <w:r w:rsidRPr="00153E07">
        <w:tab/>
      </w:r>
      <w:r w:rsidRPr="00153E07">
        <w:tab/>
        <w:t>1.1.1 Краткая информация</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Площадь территории Бардымского муниципального района Пермского края составляет 2403 кв. км.</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Численность населения района по данным территориального органа Федеральной службы государственной статистики по Пермскому краю на 01.01.2017г. составила 25 291 чел.</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Средняя плотность населения в Бардымском районе - 12 чел./кв.км.</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Административным центром Бардымского муниципального района является село Барда. </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Структура площади и численности населения в разрезе сельских поселений представлена в таблице 1.1.</w:t>
      </w:r>
    </w:p>
    <w:p w:rsidR="00153E07" w:rsidRPr="009D0B85" w:rsidRDefault="00153E07" w:rsidP="00DD3EEB">
      <w:pPr>
        <w:spacing w:after="0" w:line="240" w:lineRule="auto"/>
        <w:ind w:firstLine="709"/>
        <w:jc w:val="right"/>
        <w:rPr>
          <w:rFonts w:ascii="Times New Roman" w:eastAsia="Times New Roman" w:hAnsi="Times New Roman" w:cs="Times New Roman"/>
          <w:b/>
          <w:sz w:val="28"/>
          <w:szCs w:val="28"/>
        </w:rPr>
      </w:pPr>
      <w:r w:rsidRPr="009D0B85">
        <w:rPr>
          <w:rFonts w:ascii="Times New Roman" w:eastAsia="Times New Roman" w:hAnsi="Times New Roman" w:cs="Times New Roman"/>
          <w:b/>
          <w:sz w:val="28"/>
          <w:szCs w:val="28"/>
        </w:rPr>
        <w:t>Таблица 1.1</w:t>
      </w:r>
    </w:p>
    <w:p w:rsidR="00153E07" w:rsidRPr="009D0B85" w:rsidRDefault="00153E07" w:rsidP="00DD3EEB">
      <w:pPr>
        <w:spacing w:after="0" w:line="240" w:lineRule="auto"/>
        <w:jc w:val="center"/>
        <w:rPr>
          <w:rFonts w:ascii="Times New Roman" w:eastAsia="Times New Roman" w:hAnsi="Times New Roman" w:cs="Times New Roman"/>
          <w:b/>
          <w:color w:val="000000"/>
          <w:sz w:val="28"/>
          <w:szCs w:val="28"/>
        </w:rPr>
      </w:pPr>
      <w:r w:rsidRPr="009D0B85">
        <w:rPr>
          <w:rFonts w:ascii="Times New Roman" w:eastAsia="Times New Roman" w:hAnsi="Times New Roman" w:cs="Times New Roman"/>
          <w:b/>
          <w:sz w:val="28"/>
          <w:szCs w:val="28"/>
        </w:rPr>
        <w:t>Структура площади и численности населения в разрезе сельских поселений Бардымского муниципального района на 01.01.2017</w:t>
      </w:r>
      <w:r w:rsidR="00157F5C">
        <w:rPr>
          <w:rFonts w:ascii="Times New Roman" w:eastAsia="Times New Roman" w:hAnsi="Times New Roman" w:cs="Times New Roman"/>
          <w:b/>
          <w:sz w:val="28"/>
          <w:szCs w:val="28"/>
        </w:rPr>
        <w:t xml:space="preserve"> </w:t>
      </w:r>
      <w:r w:rsidRPr="009D0B85">
        <w:rPr>
          <w:rFonts w:ascii="Times New Roman" w:eastAsia="Times New Roman" w:hAnsi="Times New Roman" w:cs="Times New Roman"/>
          <w:b/>
          <w:sz w:val="28"/>
          <w:szCs w:val="28"/>
        </w:rPr>
        <w:t>г.</w:t>
      </w:r>
    </w:p>
    <w:tbl>
      <w:tblPr>
        <w:tblW w:w="5000" w:type="pct"/>
        <w:tblLook w:val="04A0"/>
      </w:tblPr>
      <w:tblGrid>
        <w:gridCol w:w="4043"/>
        <w:gridCol w:w="906"/>
        <w:gridCol w:w="1346"/>
        <w:gridCol w:w="1087"/>
        <w:gridCol w:w="1346"/>
        <w:gridCol w:w="1409"/>
      </w:tblGrid>
      <w:tr w:rsidR="00153E07" w:rsidRPr="00153E07" w:rsidTr="00153E07">
        <w:trPr>
          <w:trHeight w:val="300"/>
        </w:trPr>
        <w:tc>
          <w:tcPr>
            <w:tcW w:w="204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4"/>
              </w:rPr>
            </w:pPr>
            <w:r w:rsidRPr="00E444CA">
              <w:rPr>
                <w:rFonts w:ascii="Times New Roman" w:eastAsia="Times New Roman" w:hAnsi="Times New Roman" w:cs="Times New Roman"/>
                <w:b/>
                <w:color w:val="000000"/>
                <w:sz w:val="24"/>
                <w:szCs w:val="24"/>
              </w:rPr>
              <w:t>Сельское поселение</w:t>
            </w:r>
          </w:p>
        </w:tc>
        <w:tc>
          <w:tcPr>
            <w:tcW w:w="1028" w:type="pct"/>
            <w:gridSpan w:val="2"/>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4"/>
              </w:rPr>
            </w:pPr>
            <w:r w:rsidRPr="00E444CA">
              <w:rPr>
                <w:rFonts w:ascii="Times New Roman" w:eastAsia="Times New Roman" w:hAnsi="Times New Roman" w:cs="Times New Roman"/>
                <w:b/>
                <w:color w:val="000000"/>
                <w:sz w:val="24"/>
                <w:szCs w:val="24"/>
              </w:rPr>
              <w:t>Площадь</w:t>
            </w:r>
            <w:r w:rsidRPr="00E444CA">
              <w:rPr>
                <w:rStyle w:val="aff2"/>
                <w:rFonts w:ascii="Times New Roman" w:eastAsia="Times New Roman" w:hAnsi="Times New Roman" w:cs="Times New Roman"/>
                <w:b/>
                <w:color w:val="000000"/>
                <w:sz w:val="24"/>
                <w:szCs w:val="24"/>
              </w:rPr>
              <w:footnoteReference w:id="2"/>
            </w:r>
          </w:p>
        </w:tc>
        <w:tc>
          <w:tcPr>
            <w:tcW w:w="1221" w:type="pct"/>
            <w:gridSpan w:val="2"/>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4"/>
              </w:rPr>
            </w:pPr>
            <w:r w:rsidRPr="00E444CA">
              <w:rPr>
                <w:rFonts w:ascii="Times New Roman" w:eastAsia="Times New Roman" w:hAnsi="Times New Roman" w:cs="Times New Roman"/>
                <w:b/>
                <w:color w:val="000000"/>
                <w:sz w:val="24"/>
                <w:szCs w:val="24"/>
              </w:rPr>
              <w:t>Население на 01.01.2017г.</w:t>
            </w:r>
            <w:r w:rsidRPr="00E444CA">
              <w:rPr>
                <w:rStyle w:val="aff2"/>
                <w:rFonts w:ascii="Times New Roman" w:eastAsia="Times New Roman" w:hAnsi="Times New Roman" w:cs="Times New Roman"/>
                <w:b/>
                <w:color w:val="000000"/>
                <w:sz w:val="24"/>
                <w:szCs w:val="24"/>
              </w:rPr>
              <w:footnoteReference w:id="3"/>
            </w:r>
          </w:p>
        </w:tc>
        <w:tc>
          <w:tcPr>
            <w:tcW w:w="7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4"/>
              </w:rPr>
            </w:pPr>
            <w:r w:rsidRPr="00E444CA">
              <w:rPr>
                <w:rFonts w:ascii="Times New Roman" w:eastAsia="Times New Roman" w:hAnsi="Times New Roman" w:cs="Times New Roman"/>
                <w:b/>
                <w:color w:val="000000"/>
                <w:sz w:val="24"/>
                <w:szCs w:val="24"/>
              </w:rPr>
              <w:t>Плотность населения, чел./кв.км.</w:t>
            </w:r>
          </w:p>
        </w:tc>
      </w:tr>
      <w:tr w:rsidR="00153E07" w:rsidRPr="00153E07" w:rsidTr="00153E07">
        <w:trPr>
          <w:trHeight w:val="600"/>
        </w:trPr>
        <w:tc>
          <w:tcPr>
            <w:tcW w:w="2045" w:type="pct"/>
            <w:vMerge/>
            <w:tcBorders>
              <w:top w:val="single" w:sz="4" w:space="0" w:color="auto"/>
              <w:left w:val="single" w:sz="4" w:space="0" w:color="auto"/>
              <w:bottom w:val="single" w:sz="4" w:space="0" w:color="000000"/>
              <w:right w:val="single" w:sz="4" w:space="0" w:color="auto"/>
            </w:tcBorders>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p>
        </w:tc>
        <w:tc>
          <w:tcPr>
            <w:tcW w:w="353"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4"/>
              </w:rPr>
            </w:pPr>
            <w:r w:rsidRPr="00E444CA">
              <w:rPr>
                <w:rFonts w:ascii="Times New Roman" w:eastAsia="Times New Roman" w:hAnsi="Times New Roman" w:cs="Times New Roman"/>
                <w:b/>
                <w:color w:val="000000"/>
                <w:sz w:val="24"/>
                <w:szCs w:val="24"/>
              </w:rPr>
              <w:t>кв.км.</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4"/>
              </w:rPr>
            </w:pPr>
            <w:r w:rsidRPr="00E444CA">
              <w:rPr>
                <w:rFonts w:ascii="Times New Roman" w:eastAsia="Times New Roman" w:hAnsi="Times New Roman" w:cs="Times New Roman"/>
                <w:b/>
                <w:color w:val="000000"/>
                <w:sz w:val="24"/>
                <w:szCs w:val="24"/>
              </w:rPr>
              <w:t>Удельный вес, %</w:t>
            </w:r>
          </w:p>
        </w:tc>
        <w:tc>
          <w:tcPr>
            <w:tcW w:w="54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4"/>
              </w:rPr>
            </w:pPr>
            <w:r w:rsidRPr="00E444CA">
              <w:rPr>
                <w:rFonts w:ascii="Times New Roman" w:eastAsia="Times New Roman" w:hAnsi="Times New Roman" w:cs="Times New Roman"/>
                <w:b/>
                <w:color w:val="000000"/>
                <w:sz w:val="24"/>
                <w:szCs w:val="24"/>
              </w:rPr>
              <w:t>человек</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4"/>
              </w:rPr>
            </w:pPr>
            <w:r w:rsidRPr="00E444CA">
              <w:rPr>
                <w:rFonts w:ascii="Times New Roman" w:eastAsia="Times New Roman" w:hAnsi="Times New Roman" w:cs="Times New Roman"/>
                <w:b/>
                <w:color w:val="000000"/>
                <w:sz w:val="24"/>
                <w:szCs w:val="24"/>
              </w:rPr>
              <w:t>Удельный вес, %</w:t>
            </w:r>
          </w:p>
        </w:tc>
        <w:tc>
          <w:tcPr>
            <w:tcW w:w="705" w:type="pct"/>
            <w:vMerge/>
            <w:tcBorders>
              <w:top w:val="single" w:sz="4" w:space="0" w:color="auto"/>
              <w:left w:val="single" w:sz="4" w:space="0" w:color="auto"/>
              <w:bottom w:val="single" w:sz="4" w:space="0" w:color="auto"/>
              <w:right w:val="single" w:sz="4" w:space="0" w:color="auto"/>
            </w:tcBorders>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Бардымское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232,7</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9,7%</w:t>
            </w:r>
          </w:p>
        </w:tc>
        <w:tc>
          <w:tcPr>
            <w:tcW w:w="54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9827</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38,9%</w:t>
            </w:r>
          </w:p>
        </w:tc>
        <w:tc>
          <w:tcPr>
            <w:tcW w:w="70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42</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Красноярское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103,5</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4,3%</w:t>
            </w:r>
          </w:p>
        </w:tc>
        <w:tc>
          <w:tcPr>
            <w:tcW w:w="54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2249</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8,9%</w:t>
            </w:r>
          </w:p>
        </w:tc>
        <w:tc>
          <w:tcPr>
            <w:tcW w:w="70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22</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Елпачихинское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141,6</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5,9%</w:t>
            </w:r>
          </w:p>
        </w:tc>
        <w:tc>
          <w:tcPr>
            <w:tcW w:w="54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1916</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7,6%</w:t>
            </w:r>
          </w:p>
        </w:tc>
        <w:tc>
          <w:tcPr>
            <w:tcW w:w="70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14</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Сарашевское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242,4</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10,1%</w:t>
            </w:r>
          </w:p>
        </w:tc>
        <w:tc>
          <w:tcPr>
            <w:tcW w:w="54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2487</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9,8%</w:t>
            </w:r>
          </w:p>
        </w:tc>
        <w:tc>
          <w:tcPr>
            <w:tcW w:w="70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10</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Березниковское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157,6</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6,6%</w:t>
            </w:r>
          </w:p>
        </w:tc>
        <w:tc>
          <w:tcPr>
            <w:tcW w:w="54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1364</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5,4%</w:t>
            </w:r>
          </w:p>
        </w:tc>
        <w:tc>
          <w:tcPr>
            <w:tcW w:w="70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9</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Бичуринское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204,3</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8,5%</w:t>
            </w:r>
          </w:p>
        </w:tc>
        <w:tc>
          <w:tcPr>
            <w:tcW w:w="54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1652</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6,5%</w:t>
            </w:r>
          </w:p>
        </w:tc>
        <w:tc>
          <w:tcPr>
            <w:tcW w:w="70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8</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Брюзлинское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115,8</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4,8%</w:t>
            </w:r>
          </w:p>
        </w:tc>
        <w:tc>
          <w:tcPr>
            <w:tcW w:w="54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792</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3,1%</w:t>
            </w:r>
          </w:p>
        </w:tc>
        <w:tc>
          <w:tcPr>
            <w:tcW w:w="70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7</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Тюндюковское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206,0</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8,6%</w:t>
            </w:r>
          </w:p>
        </w:tc>
        <w:tc>
          <w:tcPr>
            <w:tcW w:w="54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1312</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5,2%</w:t>
            </w:r>
          </w:p>
        </w:tc>
        <w:tc>
          <w:tcPr>
            <w:tcW w:w="70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6</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Печменское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285,2</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11,9%</w:t>
            </w:r>
          </w:p>
        </w:tc>
        <w:tc>
          <w:tcPr>
            <w:tcW w:w="54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1607</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6,4%</w:t>
            </w:r>
          </w:p>
        </w:tc>
        <w:tc>
          <w:tcPr>
            <w:tcW w:w="70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6</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Федорковское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211,7</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8,8%</w:t>
            </w:r>
          </w:p>
        </w:tc>
        <w:tc>
          <w:tcPr>
            <w:tcW w:w="54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1184</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4,7%</w:t>
            </w:r>
          </w:p>
        </w:tc>
        <w:tc>
          <w:tcPr>
            <w:tcW w:w="70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6</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Новоашапское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164,8</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6,9%</w:t>
            </w:r>
          </w:p>
        </w:tc>
        <w:tc>
          <w:tcPr>
            <w:tcW w:w="54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422</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1,7%</w:t>
            </w:r>
          </w:p>
        </w:tc>
        <w:tc>
          <w:tcPr>
            <w:tcW w:w="70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3</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Шермейское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337,5</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14,0%</w:t>
            </w:r>
          </w:p>
        </w:tc>
        <w:tc>
          <w:tcPr>
            <w:tcW w:w="54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479</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1,9%</w:t>
            </w:r>
          </w:p>
        </w:tc>
        <w:tc>
          <w:tcPr>
            <w:tcW w:w="70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noWrap/>
            <w:vAlign w:val="bottom"/>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Итого</w:t>
            </w:r>
          </w:p>
        </w:tc>
        <w:tc>
          <w:tcPr>
            <w:tcW w:w="353"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2403,0</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100%</w:t>
            </w:r>
          </w:p>
        </w:tc>
        <w:tc>
          <w:tcPr>
            <w:tcW w:w="54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25291,0</w:t>
            </w:r>
          </w:p>
        </w:tc>
        <w:tc>
          <w:tcPr>
            <w:tcW w:w="67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100%</w:t>
            </w:r>
          </w:p>
        </w:tc>
        <w:tc>
          <w:tcPr>
            <w:tcW w:w="70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11</w:t>
            </w:r>
          </w:p>
        </w:tc>
      </w:tr>
    </w:tbl>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 xml:space="preserve">Данные в таблице 1 проранжированы по плотности населения в порядке убывания. </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 плотности населения в Бардымском муниципальном районе лидируют Бардымское сельское поселение (42 чел./кв.км.), Красноярское сельское поселение (22 чел./кв.км.), Елпачихинское сельское поселение (14 чел./кв.км.), Сарашевское сельское поселение – 10 чел./кв.км, Березниковское сельское поселение – 9 чел./кв.км.</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Наименьшая плотность населения наблюдается в Новоашапском (3 чел./кв. км.) и Шермейском (1 чел./кв.км.) сельских поселениях. </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Наглядно структура численности населения в Бардымском муниципальном районе представлена на рисунке 1.1.</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29300" cy="3438525"/>
            <wp:effectExtent l="19050" t="0" r="0" b="0"/>
            <wp:docPr id="212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53E07" w:rsidRPr="00333885" w:rsidRDefault="00153E07" w:rsidP="00DD3EEB">
      <w:pPr>
        <w:spacing w:after="0" w:line="240" w:lineRule="auto"/>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1.1. Структура численности населения в Бардымском муниципальном районе</w:t>
      </w:r>
    </w:p>
    <w:p w:rsidR="00B51625" w:rsidRPr="00333885" w:rsidRDefault="00B51625" w:rsidP="00DD3EEB">
      <w:pPr>
        <w:spacing w:after="0" w:line="240" w:lineRule="auto"/>
        <w:jc w:val="both"/>
        <w:rPr>
          <w:rFonts w:ascii="Times New Roman" w:eastAsia="Times New Roman" w:hAnsi="Times New Roman" w:cs="Times New Roman"/>
          <w:b/>
          <w:sz w:val="28"/>
          <w:szCs w:val="28"/>
        </w:rPr>
      </w:pPr>
    </w:p>
    <w:p w:rsidR="00153E07" w:rsidRPr="00153E07" w:rsidRDefault="00153E07" w:rsidP="00DD3EEB">
      <w:pPr>
        <w:pStyle w:val="1"/>
        <w:spacing w:line="240" w:lineRule="auto"/>
      </w:pPr>
      <w:r w:rsidRPr="00153E07">
        <w:t>1.1.2 Географическое расположение Бардымского муниципального района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Бардымский муниципальный район расположен на юге Пермского края. По территории Бардымского муниципального района протекают реки Тулва и Барда.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Бардымский муниципальный район граничит с Осинским муниципальным районом на севере, с Кунгурским муниципальным районом - на северо-востоке, с Уинским муниципальным районом - на востоке, с Чернушинским муниципальным районом – на юго-востоке, на юге и юго-западе район граничит с Куединским муниципальным районом, с Еловским муниципальным районом – на западе. </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ab/>
      </w:r>
      <w:r w:rsidRPr="00153E07">
        <w:rPr>
          <w:rFonts w:ascii="Times New Roman" w:eastAsia="Times New Roman" w:hAnsi="Times New Roman" w:cs="Times New Roman"/>
          <w:sz w:val="28"/>
          <w:szCs w:val="28"/>
        </w:rPr>
        <w:tab/>
      </w:r>
    </w:p>
    <w:p w:rsidR="00153E07" w:rsidRPr="00153E07" w:rsidRDefault="00153E07" w:rsidP="00DD3EEB">
      <w:pPr>
        <w:pStyle w:val="1"/>
        <w:spacing w:line="240" w:lineRule="auto"/>
      </w:pPr>
      <w:r w:rsidRPr="00153E07">
        <w:t>1.1.3 Природные условия Бардымского муниципального района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Почвы в Бардымском муниципальном районе преимущественно суглинистые и дерново-средне- и слабоподзолистые глинистые. Рельеф </w:t>
      </w:r>
      <w:r w:rsidRPr="00153E07">
        <w:rPr>
          <w:rFonts w:ascii="Times New Roman" w:eastAsia="Times New Roman" w:hAnsi="Times New Roman" w:cs="Times New Roman"/>
          <w:sz w:val="28"/>
          <w:szCs w:val="28"/>
        </w:rPr>
        <w:lastRenderedPageBreak/>
        <w:t>территории Бардымского муниципального района преимущественно увалистый. Земли сельскохозяйственного использования занимают почти 40% всей терр</w:t>
      </w:r>
      <w:r w:rsidR="00926062">
        <w:rPr>
          <w:rFonts w:ascii="Times New Roman" w:eastAsia="Times New Roman" w:hAnsi="Times New Roman" w:cs="Times New Roman"/>
          <w:sz w:val="28"/>
          <w:szCs w:val="28"/>
        </w:rPr>
        <w:t xml:space="preserve">итории Бардымского района. На 56,6 </w:t>
      </w:r>
      <w:r w:rsidRPr="00153E07">
        <w:rPr>
          <w:rFonts w:ascii="Times New Roman" w:eastAsia="Times New Roman" w:hAnsi="Times New Roman" w:cs="Times New Roman"/>
          <w:sz w:val="28"/>
          <w:szCs w:val="28"/>
        </w:rPr>
        <w:t xml:space="preserve">% территории Бардымского района расположены лесные массивы. </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Массивы лесов в Бардымском муниципальном районе, как правило, некрупные, преимущественно темнохвойные и березовые. На южных склонах реки Тулва расположено большое количество вишенников.</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территории Бардымского муниципального района в Бардымском, Красноярском, Брюзлинском, Елпачихинском, Шермейском сельском поселении располагается Тулвинский биологический охотничий заказник, целью которого является сохранение и поддержание численности охотничьих животных.</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Животный мир Тулвинского заказника представлен более чем 30 видами млекопитающих: заяц, барсук, выдра, медведь, норка, енотовидная собака, куница. Более редкими видами представлены равнозубая бурозубка, еж, белка-летяга, рысь, красная полевка, бобр; более чем 110 видами гнездящихся и перелетных птиц; 15 видами рыб: ерш, налим, пескарь, окунь, голавль, елец, плотва.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Также на территории Бардымского района имеются ботанические памятники природы: Сарашевские дубравы (в ред. Постановления Правительства Пермского края от 20.11.2012 №1320-п) и Куземьяровский орешник (введен Постановлением Правительства Пермского края от 21.07.2009</w:t>
      </w:r>
      <w:r w:rsidR="007555CD">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 № 457-п).</w:t>
      </w: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DD3EEB">
      <w:pPr>
        <w:pStyle w:val="1"/>
        <w:spacing w:line="240" w:lineRule="auto"/>
      </w:pPr>
      <w:r w:rsidRPr="00153E07">
        <w:t>1.1.4 Основные показатели социально-экономического развития Бардымского муниципального района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Динамика показателей социально-экономического развития Бардымского муниципального района в 2011- 2016 гг. представлена в таблице 1.2.</w:t>
      </w:r>
    </w:p>
    <w:p w:rsidR="00153E07" w:rsidRPr="00153E07" w:rsidRDefault="00153E07" w:rsidP="00597C74">
      <w:pPr>
        <w:spacing w:after="0"/>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1.2</w:t>
      </w:r>
    </w:p>
    <w:p w:rsidR="00153E07" w:rsidRDefault="00153E07" w:rsidP="00597C74">
      <w:pPr>
        <w:spacing w:after="0"/>
        <w:jc w:val="center"/>
        <w:rPr>
          <w:rFonts w:ascii="Times New Roman" w:eastAsia="Times New Roman" w:hAnsi="Times New Roman" w:cs="Times New Roman"/>
          <w:b/>
          <w:sz w:val="28"/>
          <w:szCs w:val="28"/>
        </w:rPr>
      </w:pPr>
      <w:r w:rsidRPr="00597C74">
        <w:rPr>
          <w:rFonts w:ascii="Times New Roman" w:eastAsia="Times New Roman" w:hAnsi="Times New Roman" w:cs="Times New Roman"/>
          <w:b/>
          <w:sz w:val="28"/>
          <w:szCs w:val="28"/>
        </w:rPr>
        <w:t>Динамика показателей социально-экономического развития Бардымского муниципального района в 2011- 2016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3"/>
        <w:gridCol w:w="855"/>
        <w:gridCol w:w="1222"/>
        <w:gridCol w:w="1223"/>
        <w:gridCol w:w="1223"/>
        <w:gridCol w:w="1223"/>
        <w:gridCol w:w="1223"/>
        <w:gridCol w:w="1225"/>
      </w:tblGrid>
      <w:tr w:rsidR="00D50C6A" w:rsidRPr="00F405EC" w:rsidTr="00D50C6A">
        <w:trPr>
          <w:trHeight w:val="600"/>
        </w:trPr>
        <w:tc>
          <w:tcPr>
            <w:tcW w:w="959" w:type="pct"/>
            <w:shd w:val="clear" w:color="auto" w:fill="auto"/>
            <w:noWrap/>
            <w:hideMark/>
          </w:tcPr>
          <w:p w:rsidR="00D50C6A" w:rsidRPr="00F405EC" w:rsidRDefault="00D50C6A" w:rsidP="00D50C6A">
            <w:pPr>
              <w:spacing w:after="0" w:line="240" w:lineRule="auto"/>
              <w:jc w:val="center"/>
              <w:rPr>
                <w:rFonts w:ascii="Times New Roman" w:eastAsia="Times New Roman" w:hAnsi="Times New Roman" w:cs="Times New Roman"/>
                <w:b/>
                <w:sz w:val="20"/>
                <w:szCs w:val="20"/>
              </w:rPr>
            </w:pPr>
            <w:r w:rsidRPr="00F405EC">
              <w:rPr>
                <w:rFonts w:ascii="Times New Roman" w:eastAsia="Times New Roman" w:hAnsi="Times New Roman" w:cs="Times New Roman"/>
                <w:b/>
                <w:sz w:val="20"/>
                <w:szCs w:val="20"/>
              </w:rPr>
              <w:t>Показатели</w:t>
            </w:r>
          </w:p>
        </w:tc>
        <w:tc>
          <w:tcPr>
            <w:tcW w:w="422" w:type="pct"/>
            <w:shd w:val="clear" w:color="auto" w:fill="auto"/>
            <w:vAlign w:val="center"/>
            <w:hideMark/>
          </w:tcPr>
          <w:p w:rsidR="00D50C6A" w:rsidRPr="00F405EC" w:rsidRDefault="00D50C6A" w:rsidP="00D50C6A">
            <w:pPr>
              <w:spacing w:after="0" w:line="240" w:lineRule="auto"/>
              <w:jc w:val="center"/>
              <w:rPr>
                <w:rFonts w:ascii="Times New Roman" w:eastAsia="Times New Roman" w:hAnsi="Times New Roman" w:cs="Times New Roman"/>
                <w:b/>
                <w:sz w:val="20"/>
                <w:szCs w:val="20"/>
              </w:rPr>
            </w:pPr>
            <w:r w:rsidRPr="00F405EC">
              <w:rPr>
                <w:rFonts w:ascii="Times New Roman" w:eastAsia="Times New Roman" w:hAnsi="Times New Roman" w:cs="Times New Roman"/>
                <w:b/>
                <w:sz w:val="20"/>
                <w:szCs w:val="20"/>
              </w:rPr>
              <w:t>Единица измерения</w:t>
            </w:r>
          </w:p>
        </w:tc>
        <w:tc>
          <w:tcPr>
            <w:tcW w:w="603" w:type="pct"/>
            <w:shd w:val="clear" w:color="auto" w:fill="auto"/>
            <w:noWrap/>
            <w:vAlign w:val="center"/>
            <w:hideMark/>
          </w:tcPr>
          <w:p w:rsidR="00D50C6A" w:rsidRPr="00F405EC" w:rsidRDefault="00D50C6A" w:rsidP="00D50C6A">
            <w:pPr>
              <w:spacing w:after="0" w:line="240" w:lineRule="auto"/>
              <w:jc w:val="center"/>
              <w:rPr>
                <w:rFonts w:ascii="Times New Roman" w:eastAsia="Times New Roman" w:hAnsi="Times New Roman" w:cs="Times New Roman"/>
                <w:b/>
                <w:sz w:val="20"/>
                <w:szCs w:val="20"/>
              </w:rPr>
            </w:pPr>
            <w:r w:rsidRPr="00F405EC">
              <w:rPr>
                <w:rFonts w:ascii="Times New Roman" w:eastAsia="Times New Roman" w:hAnsi="Times New Roman" w:cs="Times New Roman"/>
                <w:b/>
                <w:sz w:val="20"/>
                <w:szCs w:val="20"/>
              </w:rPr>
              <w:t>2011 г.</w:t>
            </w:r>
          </w:p>
        </w:tc>
        <w:tc>
          <w:tcPr>
            <w:tcW w:w="603" w:type="pct"/>
            <w:shd w:val="clear" w:color="auto" w:fill="auto"/>
            <w:noWrap/>
            <w:vAlign w:val="center"/>
            <w:hideMark/>
          </w:tcPr>
          <w:p w:rsidR="00D50C6A" w:rsidRPr="00F405EC" w:rsidRDefault="00D50C6A" w:rsidP="00D50C6A">
            <w:pPr>
              <w:spacing w:after="0" w:line="240" w:lineRule="auto"/>
              <w:jc w:val="center"/>
              <w:rPr>
                <w:rFonts w:ascii="Times New Roman" w:eastAsia="Times New Roman" w:hAnsi="Times New Roman" w:cs="Times New Roman"/>
                <w:b/>
                <w:sz w:val="20"/>
                <w:szCs w:val="20"/>
              </w:rPr>
            </w:pPr>
            <w:r w:rsidRPr="00F405EC">
              <w:rPr>
                <w:rFonts w:ascii="Times New Roman" w:eastAsia="Times New Roman" w:hAnsi="Times New Roman" w:cs="Times New Roman"/>
                <w:b/>
                <w:sz w:val="20"/>
                <w:szCs w:val="20"/>
              </w:rPr>
              <w:t>2012 г.</w:t>
            </w:r>
          </w:p>
        </w:tc>
        <w:tc>
          <w:tcPr>
            <w:tcW w:w="603" w:type="pct"/>
            <w:shd w:val="clear" w:color="auto" w:fill="auto"/>
            <w:noWrap/>
            <w:vAlign w:val="center"/>
            <w:hideMark/>
          </w:tcPr>
          <w:p w:rsidR="00D50C6A" w:rsidRPr="00F405EC" w:rsidRDefault="00D50C6A" w:rsidP="00D50C6A">
            <w:pPr>
              <w:spacing w:after="0" w:line="240" w:lineRule="auto"/>
              <w:jc w:val="center"/>
              <w:rPr>
                <w:rFonts w:ascii="Times New Roman" w:eastAsia="Times New Roman" w:hAnsi="Times New Roman" w:cs="Times New Roman"/>
                <w:b/>
                <w:sz w:val="20"/>
                <w:szCs w:val="20"/>
              </w:rPr>
            </w:pPr>
            <w:r w:rsidRPr="00F405EC">
              <w:rPr>
                <w:rFonts w:ascii="Times New Roman" w:eastAsia="Times New Roman" w:hAnsi="Times New Roman" w:cs="Times New Roman"/>
                <w:b/>
                <w:sz w:val="20"/>
                <w:szCs w:val="20"/>
              </w:rPr>
              <w:t>2013 г.</w:t>
            </w:r>
          </w:p>
        </w:tc>
        <w:tc>
          <w:tcPr>
            <w:tcW w:w="603" w:type="pct"/>
            <w:shd w:val="clear" w:color="auto" w:fill="auto"/>
            <w:noWrap/>
            <w:vAlign w:val="center"/>
            <w:hideMark/>
          </w:tcPr>
          <w:p w:rsidR="00D50C6A" w:rsidRPr="00F405EC" w:rsidRDefault="00D50C6A" w:rsidP="00D50C6A">
            <w:pPr>
              <w:spacing w:after="0" w:line="240" w:lineRule="auto"/>
              <w:jc w:val="center"/>
              <w:rPr>
                <w:rFonts w:ascii="Times New Roman" w:eastAsia="Times New Roman" w:hAnsi="Times New Roman" w:cs="Times New Roman"/>
                <w:b/>
                <w:sz w:val="20"/>
                <w:szCs w:val="20"/>
              </w:rPr>
            </w:pPr>
            <w:r w:rsidRPr="00F405EC">
              <w:rPr>
                <w:rFonts w:ascii="Times New Roman" w:eastAsia="Times New Roman" w:hAnsi="Times New Roman" w:cs="Times New Roman"/>
                <w:b/>
                <w:sz w:val="20"/>
                <w:szCs w:val="20"/>
              </w:rPr>
              <w:t>2014 г.</w:t>
            </w:r>
          </w:p>
        </w:tc>
        <w:tc>
          <w:tcPr>
            <w:tcW w:w="603" w:type="pct"/>
            <w:shd w:val="clear" w:color="auto" w:fill="auto"/>
            <w:noWrap/>
            <w:vAlign w:val="center"/>
            <w:hideMark/>
          </w:tcPr>
          <w:p w:rsidR="00D50C6A" w:rsidRPr="00F405EC" w:rsidRDefault="00D50C6A" w:rsidP="00D50C6A">
            <w:pPr>
              <w:spacing w:after="0" w:line="240" w:lineRule="auto"/>
              <w:jc w:val="center"/>
              <w:rPr>
                <w:rFonts w:ascii="Times New Roman" w:eastAsia="Times New Roman" w:hAnsi="Times New Roman" w:cs="Times New Roman"/>
                <w:b/>
                <w:sz w:val="20"/>
                <w:szCs w:val="20"/>
              </w:rPr>
            </w:pPr>
            <w:r w:rsidRPr="00F405EC">
              <w:rPr>
                <w:rFonts w:ascii="Times New Roman" w:eastAsia="Times New Roman" w:hAnsi="Times New Roman" w:cs="Times New Roman"/>
                <w:b/>
                <w:sz w:val="20"/>
                <w:szCs w:val="20"/>
              </w:rPr>
              <w:t>2015 г.</w:t>
            </w:r>
          </w:p>
        </w:tc>
        <w:tc>
          <w:tcPr>
            <w:tcW w:w="603" w:type="pct"/>
            <w:shd w:val="clear" w:color="auto" w:fill="auto"/>
            <w:noWrap/>
            <w:vAlign w:val="center"/>
            <w:hideMark/>
          </w:tcPr>
          <w:p w:rsidR="00D50C6A" w:rsidRPr="00F405EC" w:rsidRDefault="00D50C6A" w:rsidP="00D50C6A">
            <w:pPr>
              <w:spacing w:after="0" w:line="240" w:lineRule="auto"/>
              <w:jc w:val="center"/>
              <w:rPr>
                <w:rFonts w:ascii="Times New Roman" w:eastAsia="Times New Roman" w:hAnsi="Times New Roman" w:cs="Times New Roman"/>
                <w:b/>
                <w:sz w:val="20"/>
                <w:szCs w:val="20"/>
              </w:rPr>
            </w:pPr>
            <w:r w:rsidRPr="00F405EC">
              <w:rPr>
                <w:rFonts w:ascii="Times New Roman" w:eastAsia="Times New Roman" w:hAnsi="Times New Roman" w:cs="Times New Roman"/>
                <w:b/>
                <w:sz w:val="20"/>
                <w:szCs w:val="20"/>
              </w:rPr>
              <w:t>2016 г.</w:t>
            </w:r>
          </w:p>
        </w:tc>
      </w:tr>
      <w:tr w:rsidR="00D50C6A" w:rsidRPr="00D50C6A" w:rsidTr="00D50C6A">
        <w:trPr>
          <w:trHeight w:val="315"/>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Численность постоянного населения на конец года</w:t>
            </w:r>
          </w:p>
        </w:tc>
      </w:tr>
      <w:tr w:rsidR="00D50C6A" w:rsidRPr="00D50C6A" w:rsidTr="00D50C6A">
        <w:trPr>
          <w:trHeight w:val="315"/>
        </w:trPr>
        <w:tc>
          <w:tcPr>
            <w:tcW w:w="959" w:type="pct"/>
            <w:shd w:val="clear" w:color="auto" w:fill="auto"/>
            <w:hideMark/>
          </w:tcPr>
          <w:p w:rsidR="00D50C6A" w:rsidRPr="00D50C6A" w:rsidRDefault="00D50C6A" w:rsidP="00D50C6A">
            <w:pPr>
              <w:spacing w:after="0" w:line="240" w:lineRule="auto"/>
              <w:jc w:val="both"/>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143 056 383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143 347 059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143 666 931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146 267 288</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146 544 710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146 804 372</w:t>
            </w:r>
          </w:p>
        </w:tc>
      </w:tr>
      <w:tr w:rsidR="00D50C6A" w:rsidRPr="00D50C6A" w:rsidTr="00D50C6A">
        <w:trPr>
          <w:trHeight w:val="315"/>
        </w:trPr>
        <w:tc>
          <w:tcPr>
            <w:tcW w:w="959" w:type="pct"/>
            <w:shd w:val="clear" w:color="auto" w:fill="auto"/>
            <w:hideMark/>
          </w:tcPr>
          <w:p w:rsidR="00D50C6A" w:rsidRPr="00D50C6A" w:rsidRDefault="00D50C6A" w:rsidP="00D50C6A">
            <w:pPr>
              <w:spacing w:after="0" w:line="240" w:lineRule="auto"/>
              <w:jc w:val="both"/>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2 631 073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2 634 461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2 636 154</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2 637 032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2 634 409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2 632 097</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jc w:val="both"/>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25431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25249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25555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25172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25251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25291</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Численность населения в трудоспособном возрасте</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87055000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86137000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85162000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85415000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84199000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83224418</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1577789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1557819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1535306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1512495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1484607</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1461976</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14124</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14237</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13840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13530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13011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13114</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Уровень безработицы</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lastRenderedPageBreak/>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6,5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5,5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5,5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5,2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5,6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5,5</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7,5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6,3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6,5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5,8</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6,3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5,8</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5,9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3,8</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3,4</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Оборот промышленного производства</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35052633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38220824</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40545079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44064239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49107237,3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53228781</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35052645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1063800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1089100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1158200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1217600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1218100</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4,47</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7,57</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8,31</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0,18</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8,44</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10,29</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Оборот розничной торговли</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19104336,5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21394526,2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23685913,5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26356237,3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27526793,2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28317321,7</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365875,8</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401727,1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453294,5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487372,8</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478047,5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482929,6</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375,3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375,3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375,3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375,4</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375,5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375,5</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Объем платных услуг населению</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5540654</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6036839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6927482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7467521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8050808</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8636277</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102887</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112432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124279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130984</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133268</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140123</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Инвестиции в основной капитал (по крупным и средним предприятиям)</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11035652</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12586090,39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13450238,18</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13902645,25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13897187,72</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14639835</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144781,5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162241,0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219493,9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207597,1</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226213,6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237014,1</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141,6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103,6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115,9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176,2</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53,6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60,6</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Ввод жилья</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Тыс. кв.м.</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62300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65700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70500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84200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85300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80200</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Тыс. кв.м.</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748,8</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825,8</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1000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1100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1200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1100</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Тыс. кв.м.</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9,66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13,24</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17,60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14,00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15,36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14,27</w:t>
            </w:r>
          </w:p>
        </w:tc>
      </w:tr>
      <w:tr w:rsidR="00D50C6A" w:rsidRPr="00DD3EEB"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Средняя заработная плата (по крупным и средним предприятиям)</w:t>
            </w:r>
          </w:p>
        </w:tc>
      </w:tr>
      <w:tr w:rsidR="00D50C6A" w:rsidRPr="00D50C6A" w:rsidTr="00D50C6A">
        <w:trPr>
          <w:trHeight w:val="315"/>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23369,20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26628,90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33556,2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36798,5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38404,6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41608,4</w:t>
            </w:r>
          </w:p>
        </w:tc>
      </w:tr>
      <w:tr w:rsidR="00D50C6A" w:rsidRPr="00D50C6A" w:rsidTr="00D50C6A">
        <w:trPr>
          <w:trHeight w:val="315"/>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18773,3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21820,9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28086,3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30849,3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31956,7</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34153,5</w:t>
            </w:r>
          </w:p>
        </w:tc>
      </w:tr>
      <w:tr w:rsidR="00D50C6A" w:rsidRPr="00D50C6A" w:rsidTr="00D50C6A">
        <w:trPr>
          <w:trHeight w:val="33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17956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18400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19038,9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21290,3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23006,1</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25060,2</w:t>
            </w:r>
          </w:p>
        </w:tc>
      </w:tr>
      <w:tr w:rsidR="00D50C6A" w:rsidRPr="00D50C6A" w:rsidTr="00D50C6A">
        <w:trPr>
          <w:cantSplit/>
          <w:trHeight w:val="315"/>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Прожиточный минимум в среднем за период</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6368,5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6510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7305,5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8050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9701</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9828</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6690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6693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7199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8096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9510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9591</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lastRenderedPageBreak/>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Руб.</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6690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6693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7199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8096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9510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9591</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Покупательная способность заработной платы по отношению к прожиточному минимуму</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366,9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409,0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459,3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457,1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360,2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380,5</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280,6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326,0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390,2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381,1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299,4</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326,9</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261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302,9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320,1</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314,3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280,6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319,6</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Рождаемость</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1 796 629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1 902 084</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1 895 822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1 942 683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1 940 579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1 888 729</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37 015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38 931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38 637</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38 837</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38 761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37 258</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477</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459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495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441</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411</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350</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Смертность</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1 925 720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1 906 335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1 871 809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1 912 347</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1 908 541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1 891 015</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38 685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37 453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36 966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36 901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37 370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36 369</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465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470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477</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477</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432</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440</w:t>
            </w:r>
          </w:p>
        </w:tc>
      </w:tr>
      <w:tr w:rsidR="00D50C6A" w:rsidRPr="00DD3EEB"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Объем выбросов вредных веществ в атмосферу от стационарных источников</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Тыс. тонн</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19162,3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19630,3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18446,5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17451,9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17295,7</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17349,3</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Тыс. тонн</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375,16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343,66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367,99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312,49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298,6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308,91</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Тыс. тонн</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13,99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8,117</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18,48</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6,366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13,446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13,4</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Число зарегистрированных преступлений на десять тысяч жителей</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Ед.</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168,1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160,6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153,6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149,8</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163,0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147,1</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Ед.</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221,9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243,9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214,9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196,9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221,0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190,3</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Ед</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163,9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190,1</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180,6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169,6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195,5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179,8</w:t>
            </w:r>
          </w:p>
        </w:tc>
      </w:tr>
    </w:tbl>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показал, что численность постоянного населения Бардымского муниципального района не имеет выраженной динамики, колебания не превышают 1,5% в год. В целом за исследуемый период времени наблюдается спад численности постоянного населения на 0,5%, это стало следствием общих демографических процессов – уменьшение показателей рождаемости, превышение уровня смертности над рождаемостью, общими миграционными процессами.</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Численность трудоспособного населения Бардымского муниципального района имеет ярко выраженную тенденцию сокращения. Так, за анализируемый период времени произошло изменение данного показателя с 14124 чел. в 2011г. до 13114 чел. в 2016г., или 7,2%. Уровень безработицы в последние годы сократился, что имеет двойственную следственную взаимосвязь – сокращение численности населения в трудоспособном возрасте с одной стороны, общее улучшение экономики района, с другой. При этом стоит отметить, что уровень безработицы в </w:t>
      </w:r>
      <w:r w:rsidRPr="00153E07">
        <w:rPr>
          <w:rFonts w:ascii="Times New Roman" w:eastAsia="Times New Roman" w:hAnsi="Times New Roman" w:cs="Times New Roman"/>
          <w:sz w:val="28"/>
          <w:szCs w:val="28"/>
        </w:rPr>
        <w:lastRenderedPageBreak/>
        <w:t>Бардымском муниципальном районе в течение анализируемого периода времени не превышал среднероссийских показателей, за исключением 2012 года, когда уровень безработицы в среднем по России был на 0,4% ниже, чем в Бардымском муниципальном районе.</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Показатели рождаемости и смертности населения имеют динамику сокращения, однако показатели смертности выше показателей рождаемости, что оказывает негативное влияние как на демографическую ситуацию в районе, так и на общее экономическое развитие района в целом.</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Оборот розничной торговли в Бардымском муниципальном районе в течение анализируемого периода времени практически не изменялся и на конец 2016 года составил 375,5 млн.руб.</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Инвестиции в основной капитал в течение анализируемого периода времени имеют резкую динамику сокращения более, чем в 2 раза по сравнению с 2011 годом.</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 таким показателям как ввод жилья и размер средней заработной платы, наблюдается положительная динамика, со значительным приростом за последние 5 лет. Зафиксирован прирост более чем в 1,5 раза ввода нового жилья для населения района; на 39% увеличился уровень средней заработной платы и составил 25060,2 рублей на конец 2016 года.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Покупательная способность номинальной заработной платы по отношению к прожиточному минимуму не имеет единой динамики в связи с неравномерностью темпов роста номинальной заработной платы и прожиточного минимума в соответствующие периоды. В целом динамика данного показателя стремится вверх, что является положительным фактором для развития района.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Объем выбросов вредных веществ в атмосферу от стационарных источников имеет также скачкообразную динамику, что связано с деятельностью Бардымского ЛПУМГ филиала ООО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Газпром Трансгаз Чайковский</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АО НК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Лукойл-Пермь</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которые в соответствующие годы наращивали производство, перекачку газа, благодаря чему увеличивался объем выбросов в атмосферу от стационарных источников. Основным вредным веществом, выбрасываемым данными производствами является метан, имеющий четвертый класс опасности, обладающий наркотическими свойствами и оказывающий влияние на центральную нервную систему.</w:t>
      </w:r>
    </w:p>
    <w:p w:rsid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Число зарегистрированных преступлений на десять тысяч жителей также не имеет единой динамики. Основные пики роста преступности приходятся на 2012, 2013 и 2015 годы. Возможной причиной роста преступности в указанные годы является рост уровня безработицы в 2012 году. В течение анализируемого периода времени в Пермском крае индекс стоимости жизни снизился с 1,05 до 1,01, однако негативным фактором является значение индекса превышающее единицу. При этом в 2012-2013 годах данный индекс составлял 1,06 – 1,04. </w:t>
      </w:r>
    </w:p>
    <w:p w:rsidR="00980ED1" w:rsidRPr="00153E07" w:rsidRDefault="00980ED1" w:rsidP="00DD3EEB">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DD3EEB">
      <w:pPr>
        <w:pStyle w:val="1"/>
        <w:numPr>
          <w:ilvl w:val="1"/>
          <w:numId w:val="17"/>
        </w:numPr>
        <w:spacing w:line="240" w:lineRule="auto"/>
      </w:pPr>
      <w:r w:rsidRPr="00153E07">
        <w:lastRenderedPageBreak/>
        <w:t>Социально-экономическое развитие Бардымского муниципального района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социально-экономического развития Бардымского муниципального района проводится на основании статистических данных за 2011 – 2016 годы.</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443EEA">
      <w:pPr>
        <w:pStyle w:val="1"/>
        <w:spacing w:line="240" w:lineRule="auto"/>
      </w:pPr>
      <w:r w:rsidRPr="00153E07">
        <w:t>1.2.1 Демография</w:t>
      </w:r>
    </w:p>
    <w:p w:rsidR="00153E07" w:rsidRPr="00153E07" w:rsidRDefault="00153E07" w:rsidP="00443EEA">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Согласно данным Федерального органа государственной статистики численность населения Бардымского муниципального района за последние годы изменяется не значительно. Так, на 01.01.2017г. число лиц, проживающих на территории района составило 25 291 человек. Изменение за год - не более 1,5%, что характеризует район как территорию социальной устойчивости.</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29300" cy="2105025"/>
            <wp:effectExtent l="0" t="0" r="0" b="0"/>
            <wp:docPr id="2126"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53E07" w:rsidRPr="005E128E" w:rsidRDefault="00153E07" w:rsidP="00443EEA">
      <w:pPr>
        <w:spacing w:after="0" w:line="240" w:lineRule="auto"/>
        <w:ind w:firstLine="709"/>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1.2. Численность населения Бардымского района по данным Федерального органа государственной статистики, чел.</w:t>
      </w:r>
    </w:p>
    <w:p w:rsidR="00DD3EEB" w:rsidRDefault="00DD3EEB" w:rsidP="00443EEA">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443EEA">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 данным похозяйственного учета численность населения района</w:t>
      </w:r>
      <w:r w:rsidR="00A13D85">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xml:space="preserve">на </w:t>
      </w:r>
      <w:r w:rsidR="00A13D85">
        <w:rPr>
          <w:rFonts w:ascii="Times New Roman" w:eastAsia="Times New Roman" w:hAnsi="Times New Roman" w:cs="Times New Roman"/>
          <w:sz w:val="28"/>
          <w:szCs w:val="28"/>
        </w:rPr>
        <w:t>0</w:t>
      </w:r>
      <w:r w:rsidRPr="00153E07">
        <w:rPr>
          <w:rFonts w:ascii="Times New Roman" w:eastAsia="Times New Roman" w:hAnsi="Times New Roman" w:cs="Times New Roman"/>
          <w:sz w:val="28"/>
          <w:szCs w:val="28"/>
        </w:rPr>
        <w:t xml:space="preserve">1.01.2015 года составляла 26 731 человек, что на 1919 человек меньше, чем в предыдущем году. С этого периода наметилась тенденция сокращения населения Бардымского муниципального района. На </w:t>
      </w:r>
      <w:r w:rsidR="00A13D85">
        <w:rPr>
          <w:rFonts w:ascii="Times New Roman" w:eastAsia="Times New Roman" w:hAnsi="Times New Roman" w:cs="Times New Roman"/>
          <w:sz w:val="28"/>
          <w:szCs w:val="28"/>
        </w:rPr>
        <w:t>0</w:t>
      </w:r>
      <w:r w:rsidRPr="00153E07">
        <w:rPr>
          <w:rFonts w:ascii="Times New Roman" w:eastAsia="Times New Roman" w:hAnsi="Times New Roman" w:cs="Times New Roman"/>
          <w:sz w:val="28"/>
          <w:szCs w:val="28"/>
        </w:rPr>
        <w:t>1.01.2017 год население района составило 26466 человек.</w:t>
      </w:r>
    </w:p>
    <w:p w:rsidR="00153E07" w:rsidRPr="00153E07" w:rsidRDefault="00153E07" w:rsidP="00153E07">
      <w:pPr>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267450" cy="2743200"/>
            <wp:effectExtent l="0" t="0" r="0" b="0"/>
            <wp:docPr id="212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53E07" w:rsidRPr="005E128E" w:rsidRDefault="00153E07" w:rsidP="00DD3EEB">
      <w:pPr>
        <w:spacing w:line="240" w:lineRule="auto"/>
        <w:jc w:val="both"/>
        <w:rPr>
          <w:rFonts w:ascii="Times New Roman" w:hAnsi="Times New Roman" w:cs="Times New Roman"/>
          <w:b/>
          <w:noProof/>
          <w:sz w:val="28"/>
          <w:szCs w:val="28"/>
        </w:rPr>
      </w:pPr>
      <w:r w:rsidRPr="005E128E">
        <w:rPr>
          <w:rFonts w:ascii="Times New Roman" w:hAnsi="Times New Roman" w:cs="Times New Roman"/>
          <w:b/>
          <w:noProof/>
          <w:sz w:val="28"/>
          <w:szCs w:val="28"/>
        </w:rPr>
        <w:lastRenderedPageBreak/>
        <w:t>Рисунок 1.3. Численность населения по данным похозяйственного учета,  человек.</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Данные расхождения связаны с тем, что часть населения Бардымского муниципального района работает и учится за пределами района и в момент переписи населения отсутствовала по месту постоянного проживания. Таким образом, разницу в численности населения между данными Федерального органа государственной статистики по Пермскому краю и данными похозяйственного учета можно отнести к маятниковой миграции (рисунок 1.4).</w:t>
      </w:r>
    </w:p>
    <w:p w:rsidR="00153E07" w:rsidRPr="005E128E" w:rsidRDefault="00153E07" w:rsidP="00DD3EEB">
      <w:pPr>
        <w:spacing w:after="0" w:line="240" w:lineRule="auto"/>
        <w:ind w:firstLine="709"/>
        <w:jc w:val="both"/>
        <w:rPr>
          <w:rFonts w:ascii="Times New Roman" w:hAnsi="Times New Roman" w:cs="Times New Roman"/>
          <w:b/>
          <w:sz w:val="28"/>
          <w:szCs w:val="28"/>
        </w:rPr>
      </w:pPr>
      <w:r w:rsidRPr="00153E07">
        <w:rPr>
          <w:rFonts w:ascii="Times New Roman" w:eastAsia="Times New Roman" w:hAnsi="Times New Roman" w:cs="Times New Roman"/>
          <w:sz w:val="28"/>
          <w:szCs w:val="28"/>
        </w:rPr>
        <w:object w:dxaOrig="9593" w:dyaOrig="5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258.6pt" o:ole="">
            <v:imagedata r:id="rId12" o:title=""/>
          </v:shape>
          <o:OLEObject Type="Embed" ProgID="Excel.Sheet.12" ShapeID="_x0000_i1025" DrawAspect="Content" ObjectID="_1589347245" r:id="rId13"/>
        </w:object>
      </w:r>
      <w:r w:rsidRPr="005E128E">
        <w:rPr>
          <w:rFonts w:ascii="Times New Roman" w:hAnsi="Times New Roman" w:cs="Times New Roman"/>
          <w:b/>
          <w:sz w:val="28"/>
          <w:szCs w:val="28"/>
        </w:rPr>
        <w:t>Рисунок 1.4. Маятниковая миграция в Бардымском муниципальном районе (01.01.2011-01.01.2017</w:t>
      </w:r>
      <w:r w:rsidR="005E128E">
        <w:rPr>
          <w:rFonts w:ascii="Times New Roman" w:hAnsi="Times New Roman" w:cs="Times New Roman"/>
          <w:b/>
          <w:sz w:val="28"/>
          <w:szCs w:val="28"/>
        </w:rPr>
        <w:t xml:space="preserve"> </w:t>
      </w:r>
      <w:r w:rsidRPr="005E128E">
        <w:rPr>
          <w:rFonts w:ascii="Times New Roman" w:hAnsi="Times New Roman" w:cs="Times New Roman"/>
          <w:b/>
          <w:sz w:val="28"/>
          <w:szCs w:val="28"/>
        </w:rPr>
        <w:t>гг.), чел.</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 половозрастному составу население Бардымского района имеет следующую структуру: 52% женщины, 48% мужчины; трудоспособное население -  52% (13114 человек),моложе трудоспособного возраста –  23% (5704 чел.),старше трудоспособного возраста –  26 % (6473 чел.).</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Существенных изменений за последние года в возрастной структуре населения и структуре по полу не произошло. </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последние годы доля пенсионеров, жителей трудоспособного возраста, а также детей в структуре населения практически не изменилась. Наметилась тенденция сокращения трудоспособного населения (на 4,2 % за 6 лет). Причиной данных тенденций выступает миграция населения трудоспособного возраста за пределы района, а также выход трудоспособного населения на пенсию. При сохранении данной динамики в будущем потенциал развития человеческого капитала сократится.</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lastRenderedPageBreak/>
        <w:drawing>
          <wp:inline distT="0" distB="0" distL="0" distR="0">
            <wp:extent cx="5859475" cy="2289657"/>
            <wp:effectExtent l="0" t="0" r="0" b="0"/>
            <wp:docPr id="2128"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53E07" w:rsidRPr="005E128E" w:rsidRDefault="00153E07" w:rsidP="00DD3EEB">
      <w:pPr>
        <w:spacing w:after="0" w:line="240" w:lineRule="auto"/>
        <w:ind w:firstLine="709"/>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1.5. Численность населения Бардымского района по возрастному составу, чел.</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показателей рождаемости и смертности показал, что в 2016 году произошел резкий спад рождаемости на 14,8%, количество родившихся детей составило 350 человек. Самое большое значение коэффициента рождаемости было зафиксировано 01.01.2014 года, количество родившихся детей составляло 495 человек. Уровень смертности не имеет четкой динамики, отклонения от среднего значения за последние несколько лет не превышает 3%.</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698541" cy="1675181"/>
            <wp:effectExtent l="0" t="0" r="0" b="0"/>
            <wp:docPr id="2129"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53E07" w:rsidRPr="005E128E" w:rsidRDefault="00153E07" w:rsidP="00DD3EEB">
      <w:pPr>
        <w:spacing w:after="0" w:line="240" w:lineRule="auto"/>
        <w:ind w:firstLine="709"/>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1.6. Коэффициент естественного прироста населения, промилле</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Наименьшее число было зафиксировано 01.01.2017 года – 350 человек.</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Наименьшее количество умерших было зарегистрировано 01.01.2016 года и составило 432 человека, что на 45 человек меньше, чем в предыдущем году.</w:t>
      </w: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762803" cy="1692047"/>
            <wp:effectExtent l="0" t="0" r="0" b="0"/>
            <wp:docPr id="2130"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53E07" w:rsidRPr="005E128E" w:rsidRDefault="00153E07" w:rsidP="00DD3EEB">
      <w:pPr>
        <w:spacing w:after="0" w:line="240" w:lineRule="auto"/>
        <w:ind w:firstLine="709"/>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1.7. Число родившихся/умерших в Бардымском муниципальном районе, человек</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Анализ показал, что коэффициент миграционного прироста незначительный, преимущественно находится в отрицательной зоне. Уровень жизни, отсутствие достаточного и разнообразного предложения на рынке труда способствует формированию прогрессирующего потока убывших, за 2011-2016 гг. в среднем в год убывало от 1 до 12% населения района. Причинами миграционного притока служит формирование образа района как территории спокойной и комфортной жизни в преклонном возрасте, и соответственно привлечение пожилых людей. В 2014 году коэффициент миграционного прироста составлял 61 промилле. </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686425" cy="2486025"/>
            <wp:effectExtent l="0" t="0" r="0" b="0"/>
            <wp:docPr id="2131"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5E128E">
        <w:rPr>
          <w:rFonts w:ascii="Times New Roman" w:eastAsia="Times New Roman" w:hAnsi="Times New Roman" w:cs="Times New Roman"/>
          <w:b/>
          <w:sz w:val="28"/>
          <w:szCs w:val="28"/>
        </w:rPr>
        <w:t>Рисунок</w:t>
      </w:r>
      <w:r w:rsidRPr="00153E07">
        <w:rPr>
          <w:rFonts w:ascii="Times New Roman" w:eastAsia="Times New Roman" w:hAnsi="Times New Roman" w:cs="Times New Roman"/>
          <w:sz w:val="28"/>
          <w:szCs w:val="28"/>
        </w:rPr>
        <w:t xml:space="preserve"> </w:t>
      </w:r>
      <w:r w:rsidRPr="005E128E">
        <w:rPr>
          <w:rFonts w:ascii="Times New Roman" w:eastAsia="Times New Roman" w:hAnsi="Times New Roman" w:cs="Times New Roman"/>
          <w:b/>
          <w:sz w:val="28"/>
          <w:szCs w:val="28"/>
        </w:rPr>
        <w:t>1.8. Коэффициент миграционного прироста населения, промилле</w:t>
      </w: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19775" cy="2743200"/>
            <wp:effectExtent l="0" t="0" r="0" b="0"/>
            <wp:docPr id="2132"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53E07" w:rsidRPr="005E128E" w:rsidRDefault="00153E07" w:rsidP="00DD3EEB">
      <w:pPr>
        <w:spacing w:after="0" w:line="240" w:lineRule="auto"/>
        <w:ind w:firstLine="709"/>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1.9. Миграционные потоки в Бардымском муниципальном районе, человек</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DD3EEB">
      <w:pPr>
        <w:pStyle w:val="1"/>
        <w:spacing w:line="240" w:lineRule="auto"/>
      </w:pPr>
      <w:r w:rsidRPr="00153E07">
        <w:lastRenderedPageBreak/>
        <w:t>1.2.2 Социальная сфера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Бардымском муниципальном районе функционируют 25 образовательных организаций: 17 общеобразовательных школ, 3 учреждения дополнительного образования и 5 муниципальных дошкольных образовательных организаций. Все организации имеют бессрочные лицензии на право ведения образовательной деятельности и свидетельство о государственной аккредитации. Кроме того функционируют 5 негосударственных организаций дошкольного образования, 23 структурных подразделения дошкольного образования в школах.</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Основными направлениями в сфере образования Бардымского муниципального района выступают:</w:t>
      </w:r>
    </w:p>
    <w:p w:rsidR="00153E07" w:rsidRPr="00153E07" w:rsidRDefault="00C75FBD" w:rsidP="00DD3EEB">
      <w:pPr>
        <w:pStyle w:val="af1"/>
        <w:numPr>
          <w:ilvl w:val="0"/>
          <w:numId w:val="3"/>
        </w:numPr>
        <w:spacing w:after="160" w:line="240" w:lineRule="auto"/>
        <w:jc w:val="both"/>
        <w:rPr>
          <w:rFonts w:ascii="Times New Roman" w:hAnsi="Times New Roman" w:cs="Times New Roman"/>
          <w:sz w:val="28"/>
          <w:szCs w:val="28"/>
        </w:rPr>
      </w:pPr>
      <w:r>
        <w:rPr>
          <w:rFonts w:ascii="Times New Roman" w:hAnsi="Times New Roman" w:cs="Times New Roman"/>
          <w:sz w:val="28"/>
          <w:szCs w:val="28"/>
        </w:rPr>
        <w:t>а</w:t>
      </w:r>
      <w:r w:rsidR="00153E07" w:rsidRPr="00153E07">
        <w:rPr>
          <w:rFonts w:ascii="Times New Roman" w:hAnsi="Times New Roman" w:cs="Times New Roman"/>
          <w:sz w:val="28"/>
          <w:szCs w:val="28"/>
        </w:rPr>
        <w:t>ктивная реализация приоритетных проектов и целевых программ краевого и муниципального уровней;</w:t>
      </w:r>
    </w:p>
    <w:p w:rsidR="00153E07" w:rsidRPr="00153E07" w:rsidRDefault="00C75FBD" w:rsidP="00DD3EEB">
      <w:pPr>
        <w:pStyle w:val="af1"/>
        <w:numPr>
          <w:ilvl w:val="0"/>
          <w:numId w:val="3"/>
        </w:numPr>
        <w:spacing w:after="160" w:line="240" w:lineRule="auto"/>
        <w:jc w:val="both"/>
        <w:rPr>
          <w:rFonts w:ascii="Times New Roman" w:hAnsi="Times New Roman" w:cs="Times New Roman"/>
          <w:sz w:val="28"/>
          <w:szCs w:val="28"/>
        </w:rPr>
      </w:pPr>
      <w:r>
        <w:rPr>
          <w:rFonts w:ascii="Times New Roman" w:hAnsi="Times New Roman" w:cs="Times New Roman"/>
          <w:sz w:val="28"/>
          <w:szCs w:val="28"/>
        </w:rPr>
        <w:t>в</w:t>
      </w:r>
      <w:r w:rsidR="00153E07" w:rsidRPr="00153E07">
        <w:rPr>
          <w:rFonts w:ascii="Times New Roman" w:hAnsi="Times New Roman" w:cs="Times New Roman"/>
          <w:sz w:val="28"/>
          <w:szCs w:val="28"/>
        </w:rPr>
        <w:t>недрение федеральных государственных образовательных стандартов;</w:t>
      </w:r>
    </w:p>
    <w:p w:rsidR="00153E07" w:rsidRPr="00153E07" w:rsidRDefault="00C75FBD" w:rsidP="00DD3EEB">
      <w:pPr>
        <w:pStyle w:val="af1"/>
        <w:numPr>
          <w:ilvl w:val="0"/>
          <w:numId w:val="3"/>
        </w:numPr>
        <w:spacing w:after="160" w:line="240" w:lineRule="auto"/>
        <w:jc w:val="both"/>
        <w:rPr>
          <w:rFonts w:ascii="Times New Roman" w:hAnsi="Times New Roman" w:cs="Times New Roman"/>
          <w:sz w:val="28"/>
          <w:szCs w:val="28"/>
        </w:rPr>
      </w:pPr>
      <w:r>
        <w:rPr>
          <w:rFonts w:ascii="Times New Roman" w:hAnsi="Times New Roman" w:cs="Times New Roman"/>
          <w:sz w:val="28"/>
          <w:szCs w:val="28"/>
        </w:rPr>
        <w:t>с</w:t>
      </w:r>
      <w:r w:rsidR="00153E07" w:rsidRPr="00153E07">
        <w:rPr>
          <w:rFonts w:ascii="Times New Roman" w:hAnsi="Times New Roman" w:cs="Times New Roman"/>
          <w:sz w:val="28"/>
          <w:szCs w:val="28"/>
        </w:rPr>
        <w:t>овершенствование системы поддержки одаренных и талантливых детей;</w:t>
      </w:r>
    </w:p>
    <w:p w:rsidR="00153E07" w:rsidRPr="00153E07" w:rsidRDefault="00C75FBD" w:rsidP="00DD3EEB">
      <w:pPr>
        <w:pStyle w:val="af1"/>
        <w:numPr>
          <w:ilvl w:val="0"/>
          <w:numId w:val="3"/>
        </w:numPr>
        <w:spacing w:after="160" w:line="240" w:lineRule="auto"/>
        <w:jc w:val="both"/>
        <w:rPr>
          <w:rFonts w:ascii="Times New Roman" w:hAnsi="Times New Roman" w:cs="Times New Roman"/>
          <w:sz w:val="28"/>
          <w:szCs w:val="28"/>
        </w:rPr>
      </w:pPr>
      <w:r>
        <w:rPr>
          <w:rFonts w:ascii="Times New Roman" w:hAnsi="Times New Roman" w:cs="Times New Roman"/>
          <w:sz w:val="28"/>
          <w:szCs w:val="28"/>
        </w:rPr>
        <w:t>с</w:t>
      </w:r>
      <w:r w:rsidR="00153E07" w:rsidRPr="00153E07">
        <w:rPr>
          <w:rFonts w:ascii="Times New Roman" w:hAnsi="Times New Roman" w:cs="Times New Roman"/>
          <w:sz w:val="28"/>
          <w:szCs w:val="28"/>
        </w:rPr>
        <w:t xml:space="preserve">нижение очередности в дошкольные образовательные учреждения; </w:t>
      </w:r>
    </w:p>
    <w:p w:rsidR="00153E07" w:rsidRPr="00153E07" w:rsidRDefault="00C75FBD" w:rsidP="00DD3EEB">
      <w:pPr>
        <w:pStyle w:val="af1"/>
        <w:numPr>
          <w:ilvl w:val="0"/>
          <w:numId w:val="3"/>
        </w:numPr>
        <w:spacing w:after="160" w:line="240" w:lineRule="auto"/>
        <w:jc w:val="both"/>
        <w:rPr>
          <w:rFonts w:ascii="Times New Roman" w:hAnsi="Times New Roman" w:cs="Times New Roman"/>
          <w:sz w:val="28"/>
          <w:szCs w:val="28"/>
        </w:rPr>
      </w:pPr>
      <w:r>
        <w:rPr>
          <w:rFonts w:ascii="Times New Roman" w:hAnsi="Times New Roman" w:cs="Times New Roman"/>
          <w:sz w:val="28"/>
          <w:szCs w:val="28"/>
        </w:rPr>
        <w:t>с</w:t>
      </w:r>
      <w:r w:rsidR="00153E07" w:rsidRPr="00153E07">
        <w:rPr>
          <w:rFonts w:ascii="Times New Roman" w:hAnsi="Times New Roman" w:cs="Times New Roman"/>
          <w:sz w:val="28"/>
          <w:szCs w:val="28"/>
        </w:rPr>
        <w:t xml:space="preserve">нижение доли несовершеннолетних, совершивших правонарушения и преступления; </w:t>
      </w:r>
    </w:p>
    <w:p w:rsidR="00153E07" w:rsidRPr="00153E07" w:rsidRDefault="00C75FBD" w:rsidP="00DD3EEB">
      <w:pPr>
        <w:pStyle w:val="af1"/>
        <w:numPr>
          <w:ilvl w:val="0"/>
          <w:numId w:val="3"/>
        </w:numPr>
        <w:spacing w:after="160" w:line="240" w:lineRule="auto"/>
        <w:jc w:val="both"/>
        <w:rPr>
          <w:rFonts w:ascii="Times New Roman" w:hAnsi="Times New Roman" w:cs="Times New Roman"/>
          <w:sz w:val="28"/>
          <w:szCs w:val="28"/>
        </w:rPr>
      </w:pPr>
      <w:r>
        <w:rPr>
          <w:rFonts w:ascii="Times New Roman" w:hAnsi="Times New Roman" w:cs="Times New Roman"/>
          <w:sz w:val="28"/>
          <w:szCs w:val="28"/>
        </w:rPr>
        <w:t>р</w:t>
      </w:r>
      <w:r w:rsidR="00153E07" w:rsidRPr="00153E07">
        <w:rPr>
          <w:rFonts w:ascii="Times New Roman" w:hAnsi="Times New Roman" w:cs="Times New Roman"/>
          <w:sz w:val="28"/>
          <w:szCs w:val="28"/>
        </w:rPr>
        <w:t>азвитие учительского потенциала и привлечение молодых кадров;</w:t>
      </w:r>
    </w:p>
    <w:p w:rsidR="00153E07" w:rsidRPr="00153E07" w:rsidRDefault="00C75FBD" w:rsidP="00DD3EEB">
      <w:pPr>
        <w:pStyle w:val="af1"/>
        <w:numPr>
          <w:ilvl w:val="0"/>
          <w:numId w:val="3"/>
        </w:numPr>
        <w:spacing w:after="160" w:line="240" w:lineRule="auto"/>
        <w:jc w:val="both"/>
        <w:rPr>
          <w:rFonts w:ascii="Times New Roman" w:hAnsi="Times New Roman" w:cs="Times New Roman"/>
          <w:sz w:val="28"/>
          <w:szCs w:val="28"/>
        </w:rPr>
      </w:pPr>
      <w:r>
        <w:rPr>
          <w:rFonts w:ascii="Times New Roman" w:hAnsi="Times New Roman" w:cs="Times New Roman"/>
          <w:sz w:val="28"/>
          <w:szCs w:val="28"/>
        </w:rPr>
        <w:t>р</w:t>
      </w:r>
      <w:r w:rsidR="00153E07" w:rsidRPr="00153E07">
        <w:rPr>
          <w:rFonts w:ascii="Times New Roman" w:hAnsi="Times New Roman" w:cs="Times New Roman"/>
          <w:sz w:val="28"/>
          <w:szCs w:val="28"/>
        </w:rPr>
        <w:t>азвитие электронных услуг в системе образования района;</w:t>
      </w:r>
    </w:p>
    <w:p w:rsidR="00153E07" w:rsidRPr="00153E07" w:rsidRDefault="00C75FBD" w:rsidP="00DD3EEB">
      <w:pPr>
        <w:pStyle w:val="af1"/>
        <w:numPr>
          <w:ilvl w:val="0"/>
          <w:numId w:val="3"/>
        </w:numPr>
        <w:spacing w:after="160" w:line="240" w:lineRule="auto"/>
        <w:jc w:val="both"/>
        <w:rPr>
          <w:rFonts w:ascii="Times New Roman" w:hAnsi="Times New Roman" w:cs="Times New Roman"/>
          <w:sz w:val="28"/>
          <w:szCs w:val="28"/>
        </w:rPr>
      </w:pPr>
      <w:r>
        <w:rPr>
          <w:rFonts w:ascii="Times New Roman" w:hAnsi="Times New Roman" w:cs="Times New Roman"/>
          <w:sz w:val="28"/>
          <w:szCs w:val="28"/>
        </w:rPr>
        <w:t>с</w:t>
      </w:r>
      <w:r w:rsidR="00153E07" w:rsidRPr="00153E07">
        <w:rPr>
          <w:rFonts w:ascii="Times New Roman" w:hAnsi="Times New Roman" w:cs="Times New Roman"/>
          <w:sz w:val="28"/>
          <w:szCs w:val="28"/>
        </w:rPr>
        <w:t>охранение и развитие этнокультурного содержания образования;</w:t>
      </w:r>
    </w:p>
    <w:p w:rsidR="00153E07" w:rsidRPr="00153E07" w:rsidRDefault="00C75FBD" w:rsidP="00DD3EEB">
      <w:pPr>
        <w:pStyle w:val="af1"/>
        <w:numPr>
          <w:ilvl w:val="0"/>
          <w:numId w:val="3"/>
        </w:numPr>
        <w:spacing w:after="160" w:line="240" w:lineRule="auto"/>
        <w:jc w:val="both"/>
        <w:rPr>
          <w:rFonts w:ascii="Times New Roman" w:hAnsi="Times New Roman" w:cs="Times New Roman"/>
          <w:sz w:val="28"/>
          <w:szCs w:val="28"/>
        </w:rPr>
      </w:pPr>
      <w:r>
        <w:rPr>
          <w:rFonts w:ascii="Times New Roman" w:hAnsi="Times New Roman" w:cs="Times New Roman"/>
          <w:sz w:val="28"/>
          <w:szCs w:val="28"/>
        </w:rPr>
        <w:t>о</w:t>
      </w:r>
      <w:r w:rsidR="00153E07" w:rsidRPr="00153E07">
        <w:rPr>
          <w:rFonts w:ascii="Times New Roman" w:hAnsi="Times New Roman" w:cs="Times New Roman"/>
          <w:sz w:val="28"/>
          <w:szCs w:val="28"/>
        </w:rPr>
        <w:t>бновление материальной базы образовательных учреждений.</w:t>
      </w:r>
    </w:p>
    <w:p w:rsidR="00153E07" w:rsidRPr="00153E07" w:rsidRDefault="00153E07" w:rsidP="00DD3EEB">
      <w:pPr>
        <w:pStyle w:val="af1"/>
        <w:spacing w:after="160" w:line="240" w:lineRule="auto"/>
        <w:jc w:val="both"/>
        <w:rPr>
          <w:rFonts w:ascii="Times New Roman" w:hAnsi="Times New Roman" w:cs="Times New Roman"/>
          <w:sz w:val="28"/>
          <w:szCs w:val="28"/>
        </w:rPr>
      </w:pPr>
      <w:r w:rsidRPr="00153E07">
        <w:rPr>
          <w:rFonts w:ascii="Times New Roman" w:hAnsi="Times New Roman" w:cs="Times New Roman"/>
          <w:sz w:val="28"/>
          <w:szCs w:val="28"/>
        </w:rPr>
        <w:t>Данные направления нацелены на повышение качества образовательной деятельности в Бардымском муниципальном районе.</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Численность обучающихся в образовательных учреждениях представлена на рисунке 1.10.</w:t>
      </w: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153E07">
      <w:pPr>
        <w:pStyle w:val="af1"/>
        <w:spacing w:after="160" w:line="256" w:lineRule="auto"/>
        <w:ind w:left="0"/>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343650" cy="2838450"/>
            <wp:effectExtent l="0" t="0" r="0" b="0"/>
            <wp:docPr id="2133"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53E07" w:rsidRPr="005E128E" w:rsidRDefault="00153E07" w:rsidP="00DD3EEB">
      <w:pPr>
        <w:pStyle w:val="af1"/>
        <w:spacing w:after="160" w:line="240" w:lineRule="auto"/>
        <w:jc w:val="both"/>
        <w:rPr>
          <w:rFonts w:ascii="Times New Roman" w:hAnsi="Times New Roman" w:cs="Times New Roman"/>
          <w:b/>
          <w:sz w:val="28"/>
          <w:szCs w:val="28"/>
        </w:rPr>
      </w:pPr>
      <w:r w:rsidRPr="005E128E">
        <w:rPr>
          <w:rFonts w:ascii="Times New Roman" w:hAnsi="Times New Roman" w:cs="Times New Roman"/>
          <w:b/>
          <w:sz w:val="28"/>
          <w:szCs w:val="28"/>
        </w:rPr>
        <w:t>Рисунок 1.10. Численность обучающихся в образовательных учреждениях, человек</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lastRenderedPageBreak/>
        <w:t>Численность обучающихся в общеобразовательных учреждениях относительно стабильна. Максимального пика число школьников достигло в 2010-2012 году. Увеличение и снижение числа школьников отражает демографическую ситуацию в Бардымском муниципальном районе: увеличение рождаемости и миграционный отток в соответствующие годы.</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hAnsi="Times New Roman" w:cs="Times New Roman"/>
          <w:sz w:val="28"/>
          <w:szCs w:val="28"/>
        </w:rPr>
        <w:t>Число обучающихся во 2-ю смену составляет больше 10% от числа всех школьников Бардымского района, что говорит о недостаточной обеспеченности школами в районе. Учитывая положительную динамику численности населения района до трудоспособного возраста, в дальнейшем данная проблема обострится.</w:t>
      </w:r>
    </w:p>
    <w:p w:rsidR="00153E07" w:rsidRPr="00153E07" w:rsidRDefault="00153E07" w:rsidP="00153E07">
      <w:pPr>
        <w:pStyle w:val="af1"/>
        <w:spacing w:after="160" w:line="256"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819775" cy="2581275"/>
            <wp:effectExtent l="0" t="0" r="0" b="0"/>
            <wp:docPr id="2134"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3E07" w:rsidRPr="005E128E" w:rsidRDefault="00153E07" w:rsidP="00DD3EEB">
      <w:pPr>
        <w:pStyle w:val="af1"/>
        <w:spacing w:after="160" w:line="240" w:lineRule="auto"/>
        <w:jc w:val="both"/>
        <w:rPr>
          <w:rFonts w:ascii="Times New Roman" w:hAnsi="Times New Roman" w:cs="Times New Roman"/>
          <w:b/>
          <w:sz w:val="28"/>
          <w:szCs w:val="28"/>
        </w:rPr>
      </w:pPr>
      <w:r w:rsidRPr="005E128E">
        <w:rPr>
          <w:rFonts w:ascii="Times New Roman" w:hAnsi="Times New Roman" w:cs="Times New Roman"/>
          <w:b/>
          <w:sz w:val="28"/>
          <w:szCs w:val="28"/>
        </w:rPr>
        <w:t>Рисунок 1.11. Количество обучающихся во 2 смену, человек</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В настоящее время в Бардымском муниципальном районе действует 17 общеобразовательных школ и, в течение анализируемого периода времени, их количество было неизменным. В 15 школах изучается родной (татарский) язык и родная (татарская) литература. Национальная и этнокультурная составляющие интегрированы в основную образовательную программу образовательных учреждений и реализуются через учебную  деятельность и внеурочную работу.</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4D4D31">
        <w:rPr>
          <w:rFonts w:ascii="Times New Roman" w:hAnsi="Times New Roman" w:cs="Times New Roman"/>
          <w:sz w:val="28"/>
          <w:szCs w:val="28"/>
        </w:rPr>
        <w:t>Количество детских дошкольных организаций с каждым годом увеличивается. Так на 01.01.2017 год было зафиксировано 32 детских сада</w:t>
      </w:r>
      <w:r w:rsidR="00BC6F1F" w:rsidRPr="004D4D31">
        <w:rPr>
          <w:rFonts w:ascii="Times New Roman" w:hAnsi="Times New Roman" w:cs="Times New Roman"/>
          <w:sz w:val="28"/>
          <w:szCs w:val="28"/>
        </w:rPr>
        <w:t xml:space="preserve"> (включая муниципальные детские сады, частные детские сады и структурные подразделения школ)</w:t>
      </w:r>
      <w:r w:rsidRPr="004D4D31">
        <w:rPr>
          <w:rFonts w:ascii="Times New Roman" w:hAnsi="Times New Roman" w:cs="Times New Roman"/>
          <w:sz w:val="28"/>
          <w:szCs w:val="28"/>
        </w:rPr>
        <w:t>, что на 7 единиц больше, чем было зафиксировано на 01.01.2012 года.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рисунке 1.12 представлена информация о численности детей и количестве мест в детских дошкольных учреждениях.</w:t>
      </w:r>
    </w:p>
    <w:p w:rsidR="00153E07" w:rsidRPr="00153E07" w:rsidRDefault="00153E07" w:rsidP="00153E07">
      <w:pPr>
        <w:pStyle w:val="af1"/>
        <w:spacing w:after="160" w:line="256" w:lineRule="auto"/>
        <w:jc w:val="both"/>
        <w:rPr>
          <w:rFonts w:ascii="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5705475" cy="2905125"/>
            <wp:effectExtent l="0" t="0" r="0" b="0"/>
            <wp:docPr id="2135"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53E07" w:rsidRPr="005E128E" w:rsidRDefault="00153E07" w:rsidP="00DD3EEB">
      <w:pPr>
        <w:spacing w:after="0" w:line="240" w:lineRule="auto"/>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1.12. Численность детей и количество мест в детских дошкольных учреждениях Бардымского муниципального района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Количество детских мест в дошкольных организациях увеличивается, а значит, в них есть потребность. Как показано, на рисунке происходит увеличение численности детей в дошкольных организациях. При этом детские сады не заполнены на 100%, т.е. в Бардымском муниципальном районе существует резерв, который будет использован в ближайшее время, учитывая текущую динамику численности населения.</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Численность детей, которая приходится на 100 мест в детских образовательных организациях с 2011 по 2016 год составляла менее 100 человек. Лишь 01.01.2011 года было зафиксировано 104 человека. Охват детей дошкольным образованием с 2010-2016 года не превышал 100%.</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DD3EEB">
      <w:pPr>
        <w:pStyle w:val="1"/>
        <w:spacing w:line="240" w:lineRule="auto"/>
      </w:pPr>
      <w:r w:rsidRPr="00153E07">
        <w:t>1.2.3 Здравоохранение</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Система здравоохранения Бардымского муниципального района представлена ГБУЗ ПК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Бардымская ЦРБ им А.П. Курочкиной</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В состав центральной районной больницы входят: поликлиника, круглосуточный стационар, дневной стационар в стационаре, при поликлинике, отделение СМП, 18 фельдшерско-акушерских пунктов, 3 сельских врачебных амбулатории. </w:t>
      </w:r>
    </w:p>
    <w:p w:rsidR="00C75FBD" w:rsidRDefault="00C75FBD" w:rsidP="009D0B85">
      <w:pPr>
        <w:spacing w:after="0"/>
        <w:ind w:firstLine="709"/>
        <w:jc w:val="right"/>
        <w:rPr>
          <w:rFonts w:ascii="Times New Roman" w:eastAsia="Times New Roman" w:hAnsi="Times New Roman" w:cs="Times New Roman"/>
          <w:sz w:val="28"/>
          <w:szCs w:val="28"/>
        </w:rPr>
      </w:pPr>
    </w:p>
    <w:p w:rsidR="00153E07" w:rsidRPr="00153E07" w:rsidRDefault="00153E07" w:rsidP="009D0B85">
      <w:pPr>
        <w:spacing w:after="0"/>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1.3</w:t>
      </w:r>
    </w:p>
    <w:p w:rsidR="00153E07" w:rsidRPr="009D0B85" w:rsidRDefault="00153E07" w:rsidP="009D0B85">
      <w:pPr>
        <w:spacing w:after="0"/>
        <w:jc w:val="center"/>
        <w:rPr>
          <w:rFonts w:ascii="Times New Roman" w:eastAsia="Times New Roman" w:hAnsi="Times New Roman" w:cs="Times New Roman"/>
          <w:b/>
          <w:sz w:val="28"/>
          <w:szCs w:val="28"/>
        </w:rPr>
      </w:pPr>
      <w:r w:rsidRPr="009D0B85">
        <w:rPr>
          <w:rFonts w:ascii="Times New Roman" w:eastAsia="Times New Roman" w:hAnsi="Times New Roman" w:cs="Times New Roman"/>
          <w:b/>
          <w:sz w:val="28"/>
          <w:szCs w:val="28"/>
        </w:rPr>
        <w:t>Данные о заболеваемости населения Бардымского муниципального района в 2011-2016 гг., чел.</w:t>
      </w:r>
    </w:p>
    <w:tbl>
      <w:tblPr>
        <w:tblW w:w="5000" w:type="pct"/>
        <w:tblLook w:val="04A0"/>
      </w:tblPr>
      <w:tblGrid>
        <w:gridCol w:w="3123"/>
        <w:gridCol w:w="1334"/>
        <w:gridCol w:w="1261"/>
        <w:gridCol w:w="1079"/>
        <w:gridCol w:w="1079"/>
        <w:gridCol w:w="1152"/>
        <w:gridCol w:w="1109"/>
      </w:tblGrid>
      <w:tr w:rsidR="00153E07" w:rsidRPr="00153E07" w:rsidTr="00153E07">
        <w:trPr>
          <w:trHeight w:val="300"/>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4"/>
              </w:rPr>
            </w:pPr>
            <w:r w:rsidRPr="00E444CA">
              <w:rPr>
                <w:rFonts w:ascii="Times New Roman" w:eastAsia="Times New Roman" w:hAnsi="Times New Roman" w:cs="Times New Roman"/>
                <w:b/>
                <w:color w:val="000000"/>
                <w:sz w:val="24"/>
                <w:szCs w:val="24"/>
              </w:rPr>
              <w:t>Заболеваемость населения</w:t>
            </w:r>
          </w:p>
        </w:tc>
        <w:tc>
          <w:tcPr>
            <w:tcW w:w="658"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4"/>
              </w:rPr>
            </w:pPr>
            <w:r w:rsidRPr="00E444CA">
              <w:rPr>
                <w:rFonts w:ascii="Times New Roman" w:eastAsia="Times New Roman" w:hAnsi="Times New Roman" w:cs="Times New Roman"/>
                <w:b/>
                <w:color w:val="000000"/>
                <w:sz w:val="24"/>
                <w:szCs w:val="24"/>
              </w:rPr>
              <w:t>2011</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4"/>
              </w:rPr>
            </w:pPr>
            <w:r w:rsidRPr="00E444CA">
              <w:rPr>
                <w:rFonts w:ascii="Times New Roman" w:eastAsia="Times New Roman" w:hAnsi="Times New Roman" w:cs="Times New Roman"/>
                <w:b/>
                <w:color w:val="000000"/>
                <w:sz w:val="24"/>
                <w:szCs w:val="24"/>
              </w:rPr>
              <w:t>2012</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4"/>
              </w:rPr>
            </w:pPr>
            <w:r w:rsidRPr="00E444CA">
              <w:rPr>
                <w:rFonts w:ascii="Times New Roman" w:eastAsia="Times New Roman" w:hAnsi="Times New Roman" w:cs="Times New Roman"/>
                <w:b/>
                <w:color w:val="000000"/>
                <w:sz w:val="24"/>
                <w:szCs w:val="24"/>
              </w:rPr>
              <w:t>2013</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4"/>
              </w:rPr>
            </w:pPr>
            <w:r w:rsidRPr="00E444CA">
              <w:rPr>
                <w:rFonts w:ascii="Times New Roman" w:eastAsia="Times New Roman" w:hAnsi="Times New Roman" w:cs="Times New Roman"/>
                <w:b/>
                <w:color w:val="000000"/>
                <w:sz w:val="24"/>
                <w:szCs w:val="24"/>
              </w:rPr>
              <w:t>2014</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4"/>
              </w:rPr>
            </w:pPr>
            <w:r w:rsidRPr="00E444CA">
              <w:rPr>
                <w:rFonts w:ascii="Times New Roman" w:eastAsia="Times New Roman" w:hAnsi="Times New Roman" w:cs="Times New Roman"/>
                <w:b/>
                <w:color w:val="000000"/>
                <w:sz w:val="24"/>
                <w:szCs w:val="24"/>
              </w:rPr>
              <w:t>2015</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4"/>
              </w:rPr>
            </w:pPr>
            <w:r w:rsidRPr="00E444CA">
              <w:rPr>
                <w:rFonts w:ascii="Times New Roman" w:eastAsia="Times New Roman" w:hAnsi="Times New Roman" w:cs="Times New Roman"/>
                <w:b/>
                <w:color w:val="000000"/>
                <w:sz w:val="24"/>
                <w:szCs w:val="24"/>
              </w:rPr>
              <w:t>2016</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Численность населения</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25431</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25249</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25555</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25172</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25251</w:t>
            </w:r>
          </w:p>
        </w:tc>
        <w:tc>
          <w:tcPr>
            <w:tcW w:w="547"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25291</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Все болезни</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39082</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40308</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40748</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40117</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41009</w:t>
            </w:r>
          </w:p>
        </w:tc>
        <w:tc>
          <w:tcPr>
            <w:tcW w:w="547"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40893</w:t>
            </w:r>
          </w:p>
        </w:tc>
      </w:tr>
      <w:tr w:rsidR="00153E07" w:rsidRPr="00153E07" w:rsidTr="00153E07">
        <w:trPr>
          <w:trHeight w:val="6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некоторые инфекционные и паразитарные</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913</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664</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678</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642</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800</w:t>
            </w:r>
          </w:p>
        </w:tc>
        <w:tc>
          <w:tcPr>
            <w:tcW w:w="547"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815</w:t>
            </w:r>
          </w:p>
        </w:tc>
      </w:tr>
      <w:tr w:rsidR="00153E07" w:rsidRPr="00153E07" w:rsidTr="00153E07">
        <w:trPr>
          <w:trHeight w:val="6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C75FBD">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lastRenderedPageBreak/>
              <w:t xml:space="preserve">заболевания </w:t>
            </w:r>
            <w:r w:rsidR="00C75FBD" w:rsidRPr="00E444CA">
              <w:rPr>
                <w:rFonts w:ascii="Times New Roman" w:eastAsia="Times New Roman" w:hAnsi="Times New Roman" w:cs="Times New Roman"/>
                <w:color w:val="000000"/>
                <w:sz w:val="24"/>
                <w:szCs w:val="24"/>
              </w:rPr>
              <w:t>системы органов кровообращения</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870</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772</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971</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785</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505</w:t>
            </w:r>
          </w:p>
        </w:tc>
        <w:tc>
          <w:tcPr>
            <w:tcW w:w="547"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525</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новообразования</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499</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522</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546</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597</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718</w:t>
            </w:r>
          </w:p>
        </w:tc>
        <w:tc>
          <w:tcPr>
            <w:tcW w:w="547"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671</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органов дыхания</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10118</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10922</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10925</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11146</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10784</w:t>
            </w:r>
          </w:p>
        </w:tc>
        <w:tc>
          <w:tcPr>
            <w:tcW w:w="547"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10840</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мочеполовой системы</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1733</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2074</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1601</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690</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842</w:t>
            </w:r>
          </w:p>
        </w:tc>
        <w:tc>
          <w:tcPr>
            <w:tcW w:w="547"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854</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кожи и подкожной клетчатки</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1480</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1483</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1189</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1494</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1673</w:t>
            </w:r>
          </w:p>
        </w:tc>
        <w:tc>
          <w:tcPr>
            <w:tcW w:w="547"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1598</w:t>
            </w:r>
          </w:p>
        </w:tc>
      </w:tr>
      <w:tr w:rsidR="00153E07" w:rsidRPr="00153E07" w:rsidTr="00153E07">
        <w:trPr>
          <w:trHeight w:val="9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травмы, отравления и некоторые другие последствия внешних причин</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1093</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1063</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1165</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1135</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1365</w:t>
            </w:r>
          </w:p>
        </w:tc>
        <w:tc>
          <w:tcPr>
            <w:tcW w:w="547"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4"/>
              </w:rPr>
            </w:pPr>
            <w:r w:rsidRPr="00E444CA">
              <w:rPr>
                <w:rFonts w:ascii="Times New Roman" w:eastAsia="Times New Roman" w:hAnsi="Times New Roman" w:cs="Times New Roman"/>
                <w:color w:val="000000"/>
                <w:sz w:val="24"/>
                <w:szCs w:val="24"/>
              </w:rPr>
              <w:t>1621</w:t>
            </w:r>
          </w:p>
        </w:tc>
      </w:tr>
    </w:tbl>
    <w:p w:rsidR="00153E07" w:rsidRPr="00153E07" w:rsidRDefault="00153E07" w:rsidP="00153E07">
      <w:pPr>
        <w:spacing w:after="0"/>
        <w:jc w:val="both"/>
        <w:rPr>
          <w:rFonts w:ascii="Times New Roman" w:eastAsia="Times New Roman" w:hAnsi="Times New Roman" w:cs="Times New Roman"/>
          <w:sz w:val="28"/>
          <w:szCs w:val="28"/>
        </w:rPr>
      </w:pP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Заболеваемость населения Бардымского муниципального района в течение 2011-2016</w:t>
      </w:r>
      <w:r w:rsidR="00C75FBD">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гг. имеет динамику роста. В целом общая заболеваемость жителей района увеличилась на 4,6% при сокращении численности постоянного населения за тот же период на 0,6%.</w:t>
      </w:r>
    </w:p>
    <w:p w:rsidR="00153E07" w:rsidRPr="00153E07" w:rsidRDefault="00153E07" w:rsidP="009D0B85">
      <w:pPr>
        <w:spacing w:after="0"/>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1.4</w:t>
      </w:r>
    </w:p>
    <w:p w:rsidR="00153E07" w:rsidRPr="009D0B85" w:rsidRDefault="00153E07" w:rsidP="009D0B85">
      <w:pPr>
        <w:spacing w:after="0"/>
        <w:jc w:val="center"/>
        <w:rPr>
          <w:rFonts w:ascii="Times New Roman" w:eastAsia="Times New Roman" w:hAnsi="Times New Roman" w:cs="Times New Roman"/>
          <w:b/>
          <w:sz w:val="28"/>
          <w:szCs w:val="28"/>
        </w:rPr>
      </w:pPr>
      <w:r w:rsidRPr="009D0B85">
        <w:rPr>
          <w:rFonts w:ascii="Times New Roman" w:eastAsia="Times New Roman" w:hAnsi="Times New Roman" w:cs="Times New Roman"/>
          <w:b/>
          <w:sz w:val="28"/>
          <w:szCs w:val="28"/>
        </w:rPr>
        <w:t>Динамика заболеваемости населения Бардымского муниципального района в 2011-2016гг., %</w:t>
      </w:r>
    </w:p>
    <w:tbl>
      <w:tblPr>
        <w:tblW w:w="5000" w:type="pct"/>
        <w:tblLayout w:type="fixed"/>
        <w:tblLook w:val="04A0"/>
      </w:tblPr>
      <w:tblGrid>
        <w:gridCol w:w="3869"/>
        <w:gridCol w:w="1044"/>
        <w:gridCol w:w="1044"/>
        <w:gridCol w:w="1046"/>
        <w:gridCol w:w="1044"/>
        <w:gridCol w:w="1044"/>
        <w:gridCol w:w="1046"/>
      </w:tblGrid>
      <w:tr w:rsidR="00153E07" w:rsidRPr="00153E07" w:rsidTr="00153E07">
        <w:trPr>
          <w:trHeight w:val="600"/>
        </w:trPr>
        <w:tc>
          <w:tcPr>
            <w:tcW w:w="1908" w:type="pct"/>
            <w:tcBorders>
              <w:top w:val="single" w:sz="4" w:space="0" w:color="auto"/>
              <w:left w:val="single" w:sz="4" w:space="0" w:color="auto"/>
              <w:bottom w:val="nil"/>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8"/>
              </w:rPr>
            </w:pPr>
            <w:r w:rsidRPr="00E444CA">
              <w:rPr>
                <w:rFonts w:ascii="Times New Roman" w:eastAsia="Times New Roman" w:hAnsi="Times New Roman" w:cs="Times New Roman"/>
                <w:b/>
                <w:color w:val="000000"/>
                <w:sz w:val="24"/>
                <w:szCs w:val="28"/>
              </w:rPr>
              <w:t>Заболеваемость населения</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8"/>
              </w:rPr>
            </w:pPr>
            <w:r w:rsidRPr="00E444CA">
              <w:rPr>
                <w:rFonts w:ascii="Times New Roman" w:eastAsia="Times New Roman" w:hAnsi="Times New Roman" w:cs="Times New Roman"/>
                <w:b/>
                <w:color w:val="000000"/>
                <w:sz w:val="24"/>
                <w:szCs w:val="28"/>
              </w:rPr>
              <w:t>2012/ 2011</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8"/>
              </w:rPr>
            </w:pPr>
            <w:r w:rsidRPr="00E444CA">
              <w:rPr>
                <w:rFonts w:ascii="Times New Roman" w:eastAsia="Times New Roman" w:hAnsi="Times New Roman" w:cs="Times New Roman"/>
                <w:b/>
                <w:color w:val="000000"/>
                <w:sz w:val="24"/>
                <w:szCs w:val="28"/>
              </w:rPr>
              <w:t>2013/ 2012</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8"/>
              </w:rPr>
            </w:pPr>
            <w:r w:rsidRPr="00E444CA">
              <w:rPr>
                <w:rFonts w:ascii="Times New Roman" w:eastAsia="Times New Roman" w:hAnsi="Times New Roman" w:cs="Times New Roman"/>
                <w:b/>
                <w:color w:val="000000"/>
                <w:sz w:val="24"/>
                <w:szCs w:val="28"/>
              </w:rPr>
              <w:t>2014/ 2013</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8"/>
              </w:rPr>
            </w:pPr>
            <w:r w:rsidRPr="00E444CA">
              <w:rPr>
                <w:rFonts w:ascii="Times New Roman" w:eastAsia="Times New Roman" w:hAnsi="Times New Roman" w:cs="Times New Roman"/>
                <w:b/>
                <w:color w:val="000000"/>
                <w:sz w:val="24"/>
                <w:szCs w:val="28"/>
              </w:rPr>
              <w:t>2015/ 2014</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8"/>
              </w:rPr>
            </w:pPr>
            <w:r w:rsidRPr="00E444CA">
              <w:rPr>
                <w:rFonts w:ascii="Times New Roman" w:eastAsia="Times New Roman" w:hAnsi="Times New Roman" w:cs="Times New Roman"/>
                <w:b/>
                <w:color w:val="000000"/>
                <w:sz w:val="24"/>
                <w:szCs w:val="28"/>
              </w:rPr>
              <w:t>2016/ 2015</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8"/>
              </w:rPr>
            </w:pPr>
            <w:r w:rsidRPr="00E444CA">
              <w:rPr>
                <w:rFonts w:ascii="Times New Roman" w:eastAsia="Times New Roman" w:hAnsi="Times New Roman" w:cs="Times New Roman"/>
                <w:b/>
                <w:color w:val="000000"/>
                <w:sz w:val="24"/>
                <w:szCs w:val="28"/>
              </w:rPr>
              <w:t>2016/ 2011</w:t>
            </w:r>
          </w:p>
        </w:tc>
      </w:tr>
      <w:tr w:rsidR="00153E07" w:rsidRPr="00153E07" w:rsidTr="00153E07">
        <w:trPr>
          <w:trHeight w:val="315"/>
        </w:trPr>
        <w:tc>
          <w:tcPr>
            <w:tcW w:w="19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Численность населения, чел.</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-0,7</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1,2</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-1,5</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0,3</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0,2</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-0,6</w:t>
            </w:r>
          </w:p>
        </w:tc>
      </w:tr>
      <w:tr w:rsidR="00153E07" w:rsidRPr="00153E07" w:rsidTr="00153E07">
        <w:trPr>
          <w:trHeight w:val="30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Все болезни</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3,1</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1,1</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-1,5</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2,2</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-0,3</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4,6</w:t>
            </w:r>
          </w:p>
        </w:tc>
      </w:tr>
      <w:tr w:rsidR="00153E07" w:rsidRPr="00153E07" w:rsidTr="00153E07">
        <w:trPr>
          <w:trHeight w:val="60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некоторые инфекционные и паразитарные</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-27,3</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2,1</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-5,3</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24,6</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1,9</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-10,7</w:t>
            </w:r>
          </w:p>
        </w:tc>
      </w:tr>
      <w:tr w:rsidR="00153E07" w:rsidRPr="00153E07" w:rsidTr="00153E07">
        <w:trPr>
          <w:trHeight w:val="60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C75FBD"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заболевания системы органов кровообращения</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-11,3</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25,8</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-19,2</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-35,7</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4,0</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-39,7</w:t>
            </w:r>
          </w:p>
        </w:tc>
      </w:tr>
      <w:tr w:rsidR="00153E07" w:rsidRPr="00153E07" w:rsidTr="00153E07">
        <w:trPr>
          <w:trHeight w:val="30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новообразования</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4,6</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4,6</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9,3</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20,3</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-6,5</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34,5</w:t>
            </w:r>
          </w:p>
        </w:tc>
      </w:tr>
      <w:tr w:rsidR="00153E07" w:rsidRPr="00153E07" w:rsidTr="00153E07">
        <w:trPr>
          <w:trHeight w:val="30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органов дыхания</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7,9</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2,0</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-3,2</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0,5</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7,1</w:t>
            </w:r>
          </w:p>
        </w:tc>
      </w:tr>
      <w:tr w:rsidR="00153E07" w:rsidRPr="00153E07" w:rsidTr="00153E07">
        <w:trPr>
          <w:trHeight w:val="30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мочеполовой системы</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19,7</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-22,8</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-56,9</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22,0</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1,4</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-50,7</w:t>
            </w:r>
          </w:p>
        </w:tc>
      </w:tr>
      <w:tr w:rsidR="00153E07" w:rsidRPr="00153E07" w:rsidTr="00153E07">
        <w:trPr>
          <w:trHeight w:val="30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кожи и подкожной клетчатки</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0,2</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-19,8</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25,7</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12,0</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-4,5</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8,0</w:t>
            </w:r>
          </w:p>
        </w:tc>
      </w:tr>
      <w:tr w:rsidR="00153E07" w:rsidRPr="00153E07" w:rsidTr="00153E07">
        <w:trPr>
          <w:trHeight w:val="90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травмы, отравления и некоторые другие последствия внешних причин</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-2,7</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9,6</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-2,6</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20,3</w:t>
            </w:r>
          </w:p>
        </w:tc>
        <w:tc>
          <w:tcPr>
            <w:tcW w:w="51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18,8</w:t>
            </w:r>
          </w:p>
        </w:tc>
        <w:tc>
          <w:tcPr>
            <w:tcW w:w="516"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48,3</w:t>
            </w:r>
          </w:p>
        </w:tc>
      </w:tr>
    </w:tbl>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течение анализируемого периода времени в Бардымском муниципальном районе на 10,7% сократились инфекционные и паразитарные заболевания, на 39,7% - </w:t>
      </w:r>
      <w:r w:rsidR="00C75FBD" w:rsidRPr="00153E07">
        <w:rPr>
          <w:rFonts w:ascii="Times New Roman" w:eastAsia="Times New Roman" w:hAnsi="Times New Roman" w:cs="Times New Roman"/>
          <w:color w:val="000000"/>
          <w:sz w:val="28"/>
          <w:szCs w:val="28"/>
        </w:rPr>
        <w:t xml:space="preserve">заболевания </w:t>
      </w:r>
      <w:r w:rsidR="00C75FBD">
        <w:rPr>
          <w:rFonts w:ascii="Times New Roman" w:eastAsia="Times New Roman" w:hAnsi="Times New Roman" w:cs="Times New Roman"/>
          <w:color w:val="000000"/>
          <w:sz w:val="28"/>
          <w:szCs w:val="28"/>
        </w:rPr>
        <w:t>системы органов кровообращения</w:t>
      </w:r>
      <w:r w:rsidRPr="00153E07">
        <w:rPr>
          <w:rFonts w:ascii="Times New Roman" w:eastAsia="Times New Roman" w:hAnsi="Times New Roman" w:cs="Times New Roman"/>
          <w:sz w:val="28"/>
          <w:szCs w:val="28"/>
        </w:rPr>
        <w:t>. Набольшего сокращения достигли заболевания мочеполовой системы – 50,7%.</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Неутешительную динамику имеют травмы, отравления и последствия от внешних причин. Их темп роста с 2011г. по 2016г. составил 48,3%.</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Также на треть увеличились онкологические заболевания. Их темп роста составил 34,5% в течение анализируемого периода. </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Прирост заболеваний кожи и подкожной клетчатки составил 8%, и заболеваний органов дыхания – 7,1%.</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Для понимания причин заболеваемости населения Бардымского муниципального района были рассчитаны коэффициенты корреляции Пирсона.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Основными заболеваниями, оказывающими влияние на численность постоянного населения Бардымского района, являются заболевания </w:t>
      </w:r>
      <w:r w:rsidR="00C75FBD">
        <w:rPr>
          <w:rFonts w:ascii="Times New Roman" w:eastAsia="Times New Roman" w:hAnsi="Times New Roman" w:cs="Times New Roman"/>
          <w:color w:val="000000"/>
          <w:sz w:val="28"/>
          <w:szCs w:val="28"/>
        </w:rPr>
        <w:t>системы органов кровообращения</w:t>
      </w:r>
      <w:r w:rsidRPr="00153E07">
        <w:rPr>
          <w:rFonts w:ascii="Times New Roman" w:eastAsia="Times New Roman" w:hAnsi="Times New Roman" w:cs="Times New Roman"/>
          <w:sz w:val="28"/>
          <w:szCs w:val="28"/>
        </w:rPr>
        <w:t>, новообразования, заболевания органов дыхания, кожи и подкожной клетчатки.</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Заболевания органов дыхания имеют наибольшую связь с инфекционными и паразитарными заболеваниями, в частности это туберкулез и пневмония, борьба с  которыми имеет высокую актуальность в Пермском крае. Высокий уровень корреляции данных показателей обеспечивается также влиянием заболеваний ВИЧ на некоторые разновидности туберкулеза.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Онкологические заболевания высоко коррелируют с заболеваниями </w:t>
      </w:r>
      <w:r w:rsidR="00C75FBD">
        <w:rPr>
          <w:rFonts w:ascii="Times New Roman" w:eastAsia="Times New Roman" w:hAnsi="Times New Roman" w:cs="Times New Roman"/>
          <w:color w:val="000000"/>
          <w:sz w:val="28"/>
          <w:szCs w:val="28"/>
        </w:rPr>
        <w:t>системы органов кровообращения</w:t>
      </w:r>
      <w:r w:rsidRPr="00153E07">
        <w:rPr>
          <w:rFonts w:ascii="Times New Roman" w:eastAsia="Times New Roman" w:hAnsi="Times New Roman" w:cs="Times New Roman"/>
          <w:sz w:val="28"/>
          <w:szCs w:val="28"/>
        </w:rPr>
        <w:t>.</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Высокую взаимосвязь общая заболеваемость имеет с численностью трудоспособного населения. Наибольшее влияние на сокращение числа трудоспособного населения оказывает рост онкологических заболеваний, а также травмы, отравления и другие последствия от внешних причин. </w:t>
      </w:r>
    </w:p>
    <w:p w:rsidR="00153E07" w:rsidRPr="00153E07" w:rsidRDefault="00153E07" w:rsidP="009D0B85">
      <w:pPr>
        <w:spacing w:after="0"/>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1.5</w:t>
      </w:r>
    </w:p>
    <w:p w:rsidR="00153E07" w:rsidRPr="009D0B85" w:rsidRDefault="00153E07" w:rsidP="009D0B85">
      <w:pPr>
        <w:spacing w:after="0"/>
        <w:jc w:val="center"/>
        <w:rPr>
          <w:rFonts w:ascii="Times New Roman" w:eastAsia="Times New Roman" w:hAnsi="Times New Roman" w:cs="Times New Roman"/>
          <w:b/>
          <w:sz w:val="28"/>
          <w:szCs w:val="28"/>
        </w:rPr>
      </w:pPr>
      <w:r w:rsidRPr="009D0B85">
        <w:rPr>
          <w:rFonts w:ascii="Times New Roman" w:eastAsia="Times New Roman" w:hAnsi="Times New Roman" w:cs="Times New Roman"/>
          <w:b/>
          <w:sz w:val="28"/>
          <w:szCs w:val="28"/>
        </w:rPr>
        <w:t>Число заболеваний в расчете на одного жителя Бардымского муниципального района в 2011-2016 гг., ед.</w:t>
      </w:r>
    </w:p>
    <w:tbl>
      <w:tblPr>
        <w:tblW w:w="5000" w:type="pct"/>
        <w:tblLook w:val="04A0"/>
      </w:tblPr>
      <w:tblGrid>
        <w:gridCol w:w="3123"/>
        <w:gridCol w:w="1334"/>
        <w:gridCol w:w="1261"/>
        <w:gridCol w:w="1079"/>
        <w:gridCol w:w="1079"/>
        <w:gridCol w:w="1152"/>
        <w:gridCol w:w="1109"/>
      </w:tblGrid>
      <w:tr w:rsidR="00153E07" w:rsidRPr="00153E07" w:rsidTr="00153E07">
        <w:trPr>
          <w:trHeight w:val="300"/>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8"/>
              </w:rPr>
            </w:pPr>
            <w:r w:rsidRPr="00E444CA">
              <w:rPr>
                <w:rFonts w:ascii="Times New Roman" w:eastAsia="Times New Roman" w:hAnsi="Times New Roman" w:cs="Times New Roman"/>
                <w:b/>
                <w:color w:val="000000"/>
                <w:sz w:val="24"/>
                <w:szCs w:val="28"/>
              </w:rPr>
              <w:t>Заболевания населения</w:t>
            </w:r>
          </w:p>
        </w:tc>
        <w:tc>
          <w:tcPr>
            <w:tcW w:w="658"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8"/>
              </w:rPr>
            </w:pPr>
            <w:r w:rsidRPr="00E444CA">
              <w:rPr>
                <w:rFonts w:ascii="Times New Roman" w:eastAsia="Times New Roman" w:hAnsi="Times New Roman" w:cs="Times New Roman"/>
                <w:b/>
                <w:color w:val="000000"/>
                <w:sz w:val="24"/>
                <w:szCs w:val="28"/>
              </w:rPr>
              <w:t>2011</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8"/>
              </w:rPr>
            </w:pPr>
            <w:r w:rsidRPr="00E444CA">
              <w:rPr>
                <w:rFonts w:ascii="Times New Roman" w:eastAsia="Times New Roman" w:hAnsi="Times New Roman" w:cs="Times New Roman"/>
                <w:b/>
                <w:color w:val="000000"/>
                <w:sz w:val="24"/>
                <w:szCs w:val="28"/>
              </w:rPr>
              <w:t>2012</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8"/>
              </w:rPr>
            </w:pPr>
            <w:r w:rsidRPr="00E444CA">
              <w:rPr>
                <w:rFonts w:ascii="Times New Roman" w:eastAsia="Times New Roman" w:hAnsi="Times New Roman" w:cs="Times New Roman"/>
                <w:b/>
                <w:color w:val="000000"/>
                <w:sz w:val="24"/>
                <w:szCs w:val="28"/>
              </w:rPr>
              <w:t>2013</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8"/>
              </w:rPr>
            </w:pPr>
            <w:r w:rsidRPr="00E444CA">
              <w:rPr>
                <w:rFonts w:ascii="Times New Roman" w:eastAsia="Times New Roman" w:hAnsi="Times New Roman" w:cs="Times New Roman"/>
                <w:b/>
                <w:color w:val="000000"/>
                <w:sz w:val="24"/>
                <w:szCs w:val="28"/>
              </w:rPr>
              <w:t>2014</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8"/>
              </w:rPr>
            </w:pPr>
            <w:r w:rsidRPr="00E444CA">
              <w:rPr>
                <w:rFonts w:ascii="Times New Roman" w:eastAsia="Times New Roman" w:hAnsi="Times New Roman" w:cs="Times New Roman"/>
                <w:b/>
                <w:color w:val="000000"/>
                <w:sz w:val="24"/>
                <w:szCs w:val="28"/>
              </w:rPr>
              <w:t>2015</w:t>
            </w:r>
          </w:p>
        </w:tc>
        <w:tc>
          <w:tcPr>
            <w:tcW w:w="550"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b/>
                <w:color w:val="000000"/>
                <w:sz w:val="24"/>
                <w:szCs w:val="28"/>
              </w:rPr>
            </w:pPr>
            <w:r w:rsidRPr="00E444CA">
              <w:rPr>
                <w:rFonts w:ascii="Times New Roman" w:eastAsia="Times New Roman" w:hAnsi="Times New Roman" w:cs="Times New Roman"/>
                <w:b/>
                <w:color w:val="000000"/>
                <w:sz w:val="24"/>
                <w:szCs w:val="28"/>
              </w:rPr>
              <w:t>2016</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Все болезни</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1,54</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1,6</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1,6</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1,6</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1,6</w:t>
            </w:r>
          </w:p>
        </w:tc>
        <w:tc>
          <w:tcPr>
            <w:tcW w:w="550"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1,6</w:t>
            </w:r>
          </w:p>
        </w:tc>
      </w:tr>
      <w:tr w:rsidR="00153E07" w:rsidRPr="00153E07" w:rsidTr="00153E07">
        <w:trPr>
          <w:trHeight w:val="6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некоторые инфекционные и паразитарные</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0,04</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0,03</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0,03</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0,03</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0,03</w:t>
            </w:r>
          </w:p>
        </w:tc>
        <w:tc>
          <w:tcPr>
            <w:tcW w:w="550"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0,03</w:t>
            </w:r>
          </w:p>
        </w:tc>
      </w:tr>
      <w:tr w:rsidR="00153E07" w:rsidRPr="00153E07" w:rsidTr="00153E07">
        <w:trPr>
          <w:trHeight w:val="6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C75FBD"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заболевания системы органов кровообращения</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0,03</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0,03</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0,04</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0,03</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0,02</w:t>
            </w:r>
          </w:p>
        </w:tc>
        <w:tc>
          <w:tcPr>
            <w:tcW w:w="550"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0,02</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новообразования</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0,02</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0,02</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0,02</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0,02</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0,03</w:t>
            </w:r>
          </w:p>
        </w:tc>
        <w:tc>
          <w:tcPr>
            <w:tcW w:w="550"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0,03</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органов дыхания</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0,40</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0,43</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0,43</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0,44</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0,43</w:t>
            </w:r>
          </w:p>
        </w:tc>
        <w:tc>
          <w:tcPr>
            <w:tcW w:w="550"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0,43</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мочеполовой системы</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0,07</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0,08</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0,06</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0,03</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0,03</w:t>
            </w:r>
          </w:p>
        </w:tc>
        <w:tc>
          <w:tcPr>
            <w:tcW w:w="550"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0,03</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кожи и подкожной клетчатки</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0,06</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0,06</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0,05</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0,06</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0,07</w:t>
            </w:r>
          </w:p>
        </w:tc>
        <w:tc>
          <w:tcPr>
            <w:tcW w:w="550"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0,06</w:t>
            </w:r>
          </w:p>
        </w:tc>
      </w:tr>
      <w:tr w:rsidR="00153E07" w:rsidRPr="00153E07" w:rsidTr="00153E07">
        <w:trPr>
          <w:trHeight w:val="9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травмы, отравления и некоторые другие последствия внешних причин</w:t>
            </w:r>
          </w:p>
        </w:tc>
        <w:tc>
          <w:tcPr>
            <w:tcW w:w="65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0,04</w:t>
            </w:r>
          </w:p>
        </w:tc>
        <w:tc>
          <w:tcPr>
            <w:tcW w:w="62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0,04</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0,05</w:t>
            </w:r>
          </w:p>
        </w:tc>
        <w:tc>
          <w:tcPr>
            <w:tcW w:w="532"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0,05</w:t>
            </w:r>
          </w:p>
        </w:tc>
        <w:tc>
          <w:tcPr>
            <w:tcW w:w="568"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0,05</w:t>
            </w:r>
          </w:p>
        </w:tc>
        <w:tc>
          <w:tcPr>
            <w:tcW w:w="550"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153E07">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0,06</w:t>
            </w:r>
          </w:p>
        </w:tc>
      </w:tr>
    </w:tbl>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 данным таблицы 1.5 видно, что наибольшая заболеваемость относится к органам дыхания. На рисунке 13 представлена структура заболеваний населения Бардымского муниципального района в 2011-2016 гг.</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lastRenderedPageBreak/>
        <w:drawing>
          <wp:inline distT="0" distB="0" distL="0" distR="0">
            <wp:extent cx="5738012" cy="4111472"/>
            <wp:effectExtent l="19050" t="0" r="15088" b="3328"/>
            <wp:docPr id="213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53E07" w:rsidRPr="005E128E" w:rsidRDefault="00153E07" w:rsidP="00DD3EEB">
      <w:pPr>
        <w:spacing w:after="0" w:line="240" w:lineRule="auto"/>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1.13. Структура заболеваний населения Бардымского муниципального района в 2011-2016 гг., чел.</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социально-значимых заболеваний показал, что в Бардымском муниципальном районе зафиксированы случаи регистрации ВИЧ-инфекций, туберкулеза и алкоголизма.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За период с 20</w:t>
      </w:r>
      <w:r w:rsidR="00C500AF">
        <w:rPr>
          <w:rFonts w:ascii="Times New Roman" w:eastAsia="Times New Roman" w:hAnsi="Times New Roman" w:cs="Times New Roman"/>
          <w:sz w:val="28"/>
          <w:szCs w:val="28"/>
        </w:rPr>
        <w:t>07</w:t>
      </w:r>
      <w:r w:rsidRPr="00153E07">
        <w:rPr>
          <w:rFonts w:ascii="Times New Roman" w:eastAsia="Times New Roman" w:hAnsi="Times New Roman" w:cs="Times New Roman"/>
          <w:sz w:val="28"/>
          <w:szCs w:val="28"/>
        </w:rPr>
        <w:t xml:space="preserve"> по 2015</w:t>
      </w:r>
      <w:r w:rsidR="00C500AF">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гг. выявлено 78 случаев ВИЧ-инфекций, смертность по данным случаям составила 15 человек, или 19,2% от общего числа выявленных. Количественный анализ показал, что до 2007г. отмечались единичные случаи заболевания (до 5 случаев в год), с 2007 года наметился рост заболеваемости. Пик заболеваемости ВИЧ-инфекцией пришелся на 2016 г. – 16 случаев.</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Территориальный анализ дислокации болезни показал, что 35,9% случаев зафиксированы в с. Барда, 8,9%- в с. Куземьярово, 7,7% - в с. Краснояр 1.</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Анализ причин распространения ВИЧ-инфекции показал, что лидирующим является половой путь распространения заболевания (60%), второе место – употребление наркотиков - 30 %, и путь заражения не установлен – 10 % заразившихся лиц. </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Фактором риска среди населения являются безработные люди – 74%, второе место заняли не квалифицированные рабочие - 16 %, среди них 10 % это водители, 11 % - это осужденные лица.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Чаще всего распространение ВИЧ-инфекции связано с сопутствующими болезнями у пациентов: вирусные гепатиты, преимущественно гепатит С, туберкулез, </w:t>
      </w:r>
      <w:r w:rsidR="00C500AF">
        <w:rPr>
          <w:rFonts w:ascii="Times New Roman" w:eastAsia="Times New Roman" w:hAnsi="Times New Roman" w:cs="Times New Roman"/>
          <w:sz w:val="28"/>
          <w:szCs w:val="28"/>
        </w:rPr>
        <w:t>З</w:t>
      </w:r>
      <w:r w:rsidRPr="00153E07">
        <w:rPr>
          <w:rFonts w:ascii="Times New Roman" w:eastAsia="Times New Roman" w:hAnsi="Times New Roman" w:cs="Times New Roman"/>
          <w:sz w:val="28"/>
          <w:szCs w:val="28"/>
        </w:rPr>
        <w:t>ППП, остальные кожные заболевания, анемии, эндокардит прооперированный, менингоэнцефалит, пневмонии.</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153E07">
        <w:rPr>
          <w:rFonts w:ascii="Times New Roman" w:eastAsia="Times New Roman" w:hAnsi="Times New Roman" w:cs="Times New Roman"/>
          <w:sz w:val="28"/>
          <w:szCs w:val="28"/>
        </w:rPr>
        <w:lastRenderedPageBreak/>
        <w:t xml:space="preserve">Анализ выявления и распространения туберкулеза показал, что ежегодно в Бардымском муниципальном районе выявляется от 11 до 13 случаев заболеваемости данной инфекцией, при этом </w:t>
      </w:r>
      <w:r w:rsidRPr="00153E07">
        <w:rPr>
          <w:rFonts w:ascii="Times New Roman" w:hAnsi="Times New Roman" w:cs="Times New Roman"/>
          <w:sz w:val="28"/>
          <w:szCs w:val="28"/>
        </w:rPr>
        <w:t xml:space="preserve">показатель заболеваемости не превышает 60,0 на 100 тыс. населения. </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 xml:space="preserve">По территориальной дислокации случаев выявления инфекции можно выделить следующие деревни: Сюзянь, Танып, Елпачиха, </w:t>
      </w:r>
      <w:r w:rsidRPr="00153E07">
        <w:rPr>
          <w:rFonts w:ascii="Times New Roman" w:hAnsi="Times New Roman" w:cs="Times New Roman"/>
          <w:sz w:val="28"/>
          <w:szCs w:val="28"/>
          <w:lang w:val="en-US"/>
        </w:rPr>
        <w:t>I</w:t>
      </w:r>
      <w:r w:rsidRPr="00153E07">
        <w:rPr>
          <w:rFonts w:ascii="Times New Roman" w:hAnsi="Times New Roman" w:cs="Times New Roman"/>
          <w:sz w:val="28"/>
          <w:szCs w:val="28"/>
        </w:rPr>
        <w:t xml:space="preserve"> и </w:t>
      </w:r>
      <w:r w:rsidRPr="00153E07">
        <w:rPr>
          <w:rFonts w:ascii="Times New Roman" w:hAnsi="Times New Roman" w:cs="Times New Roman"/>
          <w:sz w:val="28"/>
          <w:szCs w:val="28"/>
          <w:lang w:val="en-US"/>
        </w:rPr>
        <w:t>II</w:t>
      </w:r>
      <w:r w:rsidRPr="00153E07">
        <w:rPr>
          <w:rFonts w:ascii="Times New Roman" w:hAnsi="Times New Roman" w:cs="Times New Roman"/>
          <w:sz w:val="28"/>
          <w:szCs w:val="28"/>
        </w:rPr>
        <w:t xml:space="preserve"> Краснояр, УстьТунтор, Тюндюк и районный центр с. Барда.</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Анализ структуры впервые выявленного туберкулеза показал, что чаще всего развивается инфильтративная форма (60%), диссеминированная (15,2 %), очаговая (13,8%).</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Социальный состав пациентов показал, что 61% являются неработающими гражданами.</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Социально-значимое заболевание алкоголизм, является одной из основных причин смертности от внешних причин.  Из 35 случаев смерти по внешним причинам, 7 случаев смерти вызваны убийством, 16 – самоубийством, 1 –ДТП, каждое из которых связано с употреблением алкоголя. Также зафиксировано 34 случая смерти по причини цирроза печени.</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В Бардымском муниципальном районе запланированы и проводятся мероприятия, направленные на сокращение заболеваемости среди населения района, к ним относятся:</w:t>
      </w:r>
    </w:p>
    <w:p w:rsidR="00153E07" w:rsidRPr="00153E07" w:rsidRDefault="00153E07" w:rsidP="00DD3E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1. Формирование здорового образа жизни населения района путем пропаганды занятий физической культурой и спортом, повышения доступности спортивной инфраструктуры, формирования навыков здорового питания.</w:t>
      </w:r>
    </w:p>
    <w:p w:rsidR="00153E07" w:rsidRPr="00153E07" w:rsidRDefault="00153E07" w:rsidP="00DD3E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 xml:space="preserve">2. Профилактика заболеваемости и первичной инвалидности населения путем пропаганды, приездов центров здоровья в район, проведение дополнительной диспансеризации работающего населения, охват диспансерным наблюдением больных и мониторинг эффективности профилактических мероприятий, в первую очередь среди больных сердечно-сосудистого и онкологического профиля. </w:t>
      </w:r>
    </w:p>
    <w:p w:rsidR="00153E07" w:rsidRPr="00153E07" w:rsidRDefault="00153E07" w:rsidP="00DD3E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3. Снижение младенческой и детской смертности путем оказания медицинской помощи женщинам и детям, выполнения стандарта наблюдения детей первого года жизни, решением кадровых вопросов с педиатрами, акушер –гинекологами.</w:t>
      </w:r>
    </w:p>
    <w:p w:rsidR="00153E07" w:rsidRPr="00153E07" w:rsidRDefault="00153E07" w:rsidP="00DD3E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 xml:space="preserve">4. Снижение смертности в трудоспособном возрасте путем реализации краевой программы </w:t>
      </w:r>
      <w:r w:rsidR="00DE2D0E">
        <w:rPr>
          <w:rFonts w:ascii="Times New Roman" w:hAnsi="Times New Roman" w:cs="Times New Roman"/>
          <w:sz w:val="28"/>
          <w:szCs w:val="28"/>
        </w:rPr>
        <w:t>«</w:t>
      </w:r>
      <w:r w:rsidRPr="00153E07">
        <w:rPr>
          <w:rFonts w:ascii="Times New Roman" w:hAnsi="Times New Roman" w:cs="Times New Roman"/>
          <w:sz w:val="28"/>
          <w:szCs w:val="28"/>
        </w:rPr>
        <w:t>Совершенствование интенсивной терапии при неотложных состояниях на 2014-2016 годы</w:t>
      </w:r>
      <w:r w:rsidR="00DE2D0E">
        <w:rPr>
          <w:rFonts w:ascii="Times New Roman" w:hAnsi="Times New Roman" w:cs="Times New Roman"/>
          <w:sz w:val="28"/>
          <w:szCs w:val="28"/>
        </w:rPr>
        <w:t>»</w:t>
      </w:r>
      <w:r w:rsidRPr="00153E07">
        <w:rPr>
          <w:rFonts w:ascii="Times New Roman" w:hAnsi="Times New Roman" w:cs="Times New Roman"/>
          <w:sz w:val="28"/>
          <w:szCs w:val="28"/>
        </w:rPr>
        <w:t>.</w:t>
      </w:r>
    </w:p>
    <w:p w:rsidR="00153E07" w:rsidRPr="00153E07" w:rsidRDefault="00153E07" w:rsidP="00DD3EE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53E07">
        <w:rPr>
          <w:rFonts w:ascii="Times New Roman" w:hAnsi="Times New Roman" w:cs="Times New Roman"/>
          <w:sz w:val="28"/>
          <w:szCs w:val="28"/>
        </w:rPr>
        <w:t>5. Повышение доступности и качества медицинской помощи путем мероприятий по рациональному размещению, строительству фельдшерско-акушерских пунктов на территории района, использование передвижного фельдшерско-акушерского пункта.</w:t>
      </w:r>
    </w:p>
    <w:p w:rsidR="00153E07" w:rsidRPr="00153E07" w:rsidRDefault="004878A9" w:rsidP="00DD3EE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Число больничных коек </w:t>
      </w:r>
      <w:r w:rsidR="00153E07" w:rsidRPr="00153E07">
        <w:rPr>
          <w:rFonts w:ascii="Times New Roman" w:eastAsia="Times New Roman" w:hAnsi="Times New Roman" w:cs="Times New Roman"/>
          <w:sz w:val="28"/>
          <w:szCs w:val="28"/>
        </w:rPr>
        <w:t xml:space="preserve">с 2010 по 2016 года постепенно сокращается. Так, на 01.01.2017 года было зафиксировано 69 мест, что на 54 меньше, чем 01.01.2011 (123 мест). Число коек, необходимых в районе, зависит от многих факторов, </w:t>
      </w:r>
      <w:r w:rsidR="00153E07" w:rsidRPr="00153E07">
        <w:rPr>
          <w:rFonts w:ascii="Times New Roman" w:eastAsia="Times New Roman" w:hAnsi="Times New Roman" w:cs="Times New Roman"/>
          <w:sz w:val="28"/>
          <w:szCs w:val="28"/>
        </w:rPr>
        <w:lastRenderedPageBreak/>
        <w:t>включая структуру заболеваемости и наличия альтернативных мест оказания медицинской помощи.</w:t>
      </w:r>
    </w:p>
    <w:p w:rsidR="00153E07" w:rsidRPr="00153E07" w:rsidRDefault="00153E07" w:rsidP="00153E07">
      <w:pPr>
        <w:spacing w:after="0"/>
        <w:jc w:val="both"/>
        <w:rPr>
          <w:rFonts w:ascii="Times New Roman" w:hAnsi="Times New Roman" w:cs="Times New Roman"/>
          <w:b/>
          <w:color w:val="000000"/>
          <w:sz w:val="28"/>
          <w:szCs w:val="28"/>
        </w:rPr>
      </w:pPr>
      <w:r w:rsidRPr="00153E07">
        <w:rPr>
          <w:rFonts w:ascii="Times New Roman" w:hAnsi="Times New Roman" w:cs="Times New Roman"/>
          <w:b/>
          <w:noProof/>
          <w:color w:val="000000"/>
          <w:sz w:val="28"/>
          <w:szCs w:val="28"/>
        </w:rPr>
        <w:drawing>
          <wp:inline distT="0" distB="0" distL="0" distR="0">
            <wp:extent cx="6248400" cy="2124075"/>
            <wp:effectExtent l="0" t="0" r="0" b="0"/>
            <wp:docPr id="213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53E07" w:rsidRPr="005E128E" w:rsidRDefault="00153E07" w:rsidP="00822D2E">
      <w:pPr>
        <w:spacing w:after="0" w:line="240" w:lineRule="auto"/>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1.14. Число больничных коек, единиц</w:t>
      </w:r>
    </w:p>
    <w:p w:rsidR="00153E07" w:rsidRPr="00153E07" w:rsidRDefault="00153E07" w:rsidP="00822D2E">
      <w:pPr>
        <w:spacing w:after="0" w:line="240" w:lineRule="auto"/>
        <w:ind w:firstLine="709"/>
        <w:jc w:val="both"/>
        <w:rPr>
          <w:rFonts w:ascii="Times New Roman" w:hAnsi="Times New Roman" w:cs="Times New Roman"/>
          <w:b/>
          <w:color w:val="000000"/>
          <w:sz w:val="28"/>
          <w:szCs w:val="28"/>
        </w:rPr>
      </w:pPr>
      <w:r w:rsidRPr="00153E07">
        <w:rPr>
          <w:rFonts w:ascii="Times New Roman" w:eastAsia="Times New Roman" w:hAnsi="Times New Roman" w:cs="Times New Roman"/>
          <w:sz w:val="28"/>
          <w:szCs w:val="28"/>
        </w:rPr>
        <w:t xml:space="preserve">Однако, как показано на рисунке 15 количество врачей постепенно увеличивается (01.01.2017 – 60 человек), а численность медперсонала в период с 01.01.2015-01.01.2017 сократилась на 18 человек (01.01.2017 г. – 158 человек). </w:t>
      </w:r>
    </w:p>
    <w:p w:rsidR="00153E07" w:rsidRPr="00153E07" w:rsidRDefault="00153E07" w:rsidP="00153E07">
      <w:pPr>
        <w:spacing w:after="0"/>
        <w:jc w:val="both"/>
        <w:rPr>
          <w:rFonts w:ascii="Times New Roman" w:hAnsi="Times New Roman" w:cs="Times New Roman"/>
          <w:b/>
          <w:color w:val="000000"/>
          <w:sz w:val="28"/>
          <w:szCs w:val="28"/>
        </w:rPr>
      </w:pPr>
      <w:r w:rsidRPr="00153E07">
        <w:rPr>
          <w:rFonts w:ascii="Times New Roman" w:hAnsi="Times New Roman" w:cs="Times New Roman"/>
          <w:b/>
          <w:noProof/>
          <w:color w:val="000000"/>
          <w:sz w:val="28"/>
          <w:szCs w:val="28"/>
        </w:rPr>
        <w:drawing>
          <wp:inline distT="0" distB="0" distL="0" distR="0">
            <wp:extent cx="6315075" cy="2657475"/>
            <wp:effectExtent l="0" t="0" r="0" b="0"/>
            <wp:docPr id="213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53E07" w:rsidRPr="005E128E" w:rsidRDefault="00153E07" w:rsidP="00822D2E">
      <w:pPr>
        <w:spacing w:after="0" w:line="240" w:lineRule="auto"/>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1.15. Численность врачей и среднего медперсонала, единиц</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Общая заболеваемость на 1000 человек на 01.01.2017 год составляет 1622 человека. Изменения произошли в 2013 году, общая заболеваемость за год сократилась с 1578 человек до 1528 человек.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рисунке 1.16 представлена информация о первичной заболеваемости населения Бардымского муниципального района.</w:t>
      </w:r>
    </w:p>
    <w:p w:rsidR="00153E07" w:rsidRPr="00153E07" w:rsidRDefault="00153E07" w:rsidP="00153E07">
      <w:pPr>
        <w:pStyle w:val="af1"/>
        <w:spacing w:after="160" w:line="256" w:lineRule="auto"/>
        <w:jc w:val="both"/>
        <w:rPr>
          <w:rFonts w:ascii="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5857875" cy="2828925"/>
            <wp:effectExtent l="0" t="0" r="0" b="0"/>
            <wp:docPr id="2139"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53E07" w:rsidRPr="005E128E" w:rsidRDefault="00153E07" w:rsidP="00443EEA">
      <w:pPr>
        <w:spacing w:after="160" w:line="240" w:lineRule="auto"/>
        <w:jc w:val="both"/>
        <w:rPr>
          <w:rFonts w:ascii="Times New Roman" w:hAnsi="Times New Roman" w:cs="Times New Roman"/>
          <w:b/>
          <w:sz w:val="28"/>
          <w:szCs w:val="28"/>
        </w:rPr>
      </w:pPr>
      <w:r w:rsidRPr="005E128E">
        <w:rPr>
          <w:rFonts w:ascii="Times New Roman" w:hAnsi="Times New Roman" w:cs="Times New Roman"/>
          <w:b/>
          <w:sz w:val="28"/>
          <w:szCs w:val="28"/>
        </w:rPr>
        <w:t>Рисунок 1.16. Первичная заболеваемость населения, случаев на 1000 человек населения</w:t>
      </w:r>
    </w:p>
    <w:p w:rsidR="00153E07" w:rsidRPr="00153E07" w:rsidRDefault="00153E07" w:rsidP="00443EEA">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Дети в возрасте до 14 лет и подростки (15-17 лет) болеют чаще, чем взрослые люди.</w:t>
      </w:r>
    </w:p>
    <w:p w:rsidR="00153E07" w:rsidRPr="00153E07" w:rsidRDefault="00153E07" w:rsidP="00443EEA">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Число заболеваний, впервые выявленных за год, больше всего зафиксировано у детей в возрасте от 0-4 лет, меньше всего зафиксировано у населения старше 17 лет. </w:t>
      </w:r>
    </w:p>
    <w:p w:rsidR="00153E07" w:rsidRPr="00153E07" w:rsidRDefault="00153E07" w:rsidP="00443EEA">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младенческой смертности показал, неоднозначную динамику. На протяжении 2012, 2014, 2016гг. наблюдались значительные скачки роста младенческой смертности. Так, за 2016 год младенческая смертность возросла в 4 раза, по сравнению с предыдущим годом и составила 22,7 промилле (рисунок 1.17).</w:t>
      </w:r>
    </w:p>
    <w:p w:rsidR="00153E07" w:rsidRPr="00153E07" w:rsidRDefault="00153E07" w:rsidP="00153E07">
      <w:pPr>
        <w:spacing w:after="160" w:line="256"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315075" cy="2276475"/>
            <wp:effectExtent l="0" t="0" r="0" b="0"/>
            <wp:docPr id="2140"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53E07" w:rsidRPr="005E128E" w:rsidRDefault="00153E07" w:rsidP="00822D2E">
      <w:pPr>
        <w:spacing w:after="160" w:line="240" w:lineRule="auto"/>
        <w:jc w:val="both"/>
        <w:rPr>
          <w:rFonts w:ascii="Times New Roman" w:hAnsi="Times New Roman" w:cs="Times New Roman"/>
          <w:b/>
          <w:sz w:val="28"/>
          <w:szCs w:val="28"/>
        </w:rPr>
      </w:pPr>
      <w:r w:rsidRPr="005E128E">
        <w:rPr>
          <w:rFonts w:ascii="Times New Roman" w:hAnsi="Times New Roman" w:cs="Times New Roman"/>
          <w:b/>
          <w:sz w:val="28"/>
          <w:szCs w:val="28"/>
        </w:rPr>
        <w:t xml:space="preserve">Рисунок 1.17. </w:t>
      </w:r>
      <w:r w:rsidRPr="005E128E">
        <w:rPr>
          <w:rFonts w:ascii="Times New Roman" w:hAnsi="Times New Roman" w:cs="Times New Roman"/>
          <w:b/>
          <w:bCs/>
          <w:sz w:val="28"/>
          <w:szCs w:val="28"/>
        </w:rPr>
        <w:t>Младенческая смертность, промилле</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hAnsi="Times New Roman" w:cs="Times New Roman"/>
          <w:bCs/>
          <w:sz w:val="28"/>
          <w:szCs w:val="28"/>
        </w:rPr>
        <w:t>Обеспеченность медицинским персоналом и больничными койками в Бардымском муниципальном районе представлена на рисунке 1.18.</w:t>
      </w:r>
    </w:p>
    <w:p w:rsidR="00153E07" w:rsidRPr="00153E07" w:rsidRDefault="00153E07" w:rsidP="00153E07">
      <w:pPr>
        <w:spacing w:after="160" w:line="256" w:lineRule="auto"/>
        <w:jc w:val="both"/>
        <w:rPr>
          <w:rFonts w:ascii="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6315075" cy="3362325"/>
            <wp:effectExtent l="0" t="0" r="0" b="0"/>
            <wp:docPr id="2141"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53E07" w:rsidRPr="005E128E" w:rsidRDefault="00153E07" w:rsidP="00822D2E">
      <w:pPr>
        <w:spacing w:after="160" w:line="240" w:lineRule="auto"/>
        <w:jc w:val="both"/>
        <w:rPr>
          <w:rFonts w:ascii="Times New Roman" w:hAnsi="Times New Roman" w:cs="Times New Roman"/>
          <w:b/>
          <w:sz w:val="28"/>
          <w:szCs w:val="28"/>
        </w:rPr>
      </w:pPr>
      <w:r w:rsidRPr="005E128E">
        <w:rPr>
          <w:rFonts w:ascii="Times New Roman" w:hAnsi="Times New Roman" w:cs="Times New Roman"/>
          <w:b/>
          <w:sz w:val="28"/>
          <w:szCs w:val="28"/>
        </w:rPr>
        <w:t xml:space="preserve">Рисунок 1.18. </w:t>
      </w:r>
      <w:r w:rsidRPr="005E128E">
        <w:rPr>
          <w:rFonts w:ascii="Times New Roman" w:hAnsi="Times New Roman" w:cs="Times New Roman"/>
          <w:b/>
          <w:bCs/>
          <w:sz w:val="28"/>
          <w:szCs w:val="28"/>
        </w:rPr>
        <w:t>Обеспеченность медицинским персоналом и больничными койками в Бардымском муниципальном районе</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Количество больничных коек совпадает с обеспеченностью врачами на 10 000 человек. Немного сокращается обеспеченность, средним медицинским персоналом начиная с 2013 года. Так, за 2016 год обеспеченность средним медицинским персоналом на 10000 человек населения составляла 65,3 единицы.</w:t>
      </w:r>
    </w:p>
    <w:p w:rsidR="00DC026A" w:rsidRDefault="00DC026A" w:rsidP="00822D2E">
      <w:pPr>
        <w:pStyle w:val="1"/>
        <w:spacing w:line="240" w:lineRule="auto"/>
      </w:pPr>
    </w:p>
    <w:p w:rsidR="00153E07" w:rsidRDefault="00153E07" w:rsidP="00822D2E">
      <w:pPr>
        <w:pStyle w:val="1"/>
        <w:spacing w:line="240" w:lineRule="auto"/>
      </w:pPr>
      <w:r w:rsidRPr="00153E07">
        <w:t>1.2.4 Культура. Досуг. Физкультура и туризм</w:t>
      </w:r>
    </w:p>
    <w:p w:rsidR="00354B46" w:rsidRPr="00D06ABC" w:rsidRDefault="00354B46" w:rsidP="00354B46">
      <w:pPr>
        <w:spacing w:after="0" w:line="240" w:lineRule="auto"/>
        <w:ind w:firstLine="708"/>
        <w:jc w:val="both"/>
        <w:rPr>
          <w:rFonts w:ascii="Times New Roman" w:hAnsi="Times New Roman"/>
          <w:sz w:val="28"/>
          <w:szCs w:val="28"/>
        </w:rPr>
      </w:pPr>
      <w:r w:rsidRPr="00D34FD6">
        <w:rPr>
          <w:rFonts w:ascii="Times New Roman" w:hAnsi="Times New Roman"/>
          <w:sz w:val="28"/>
          <w:szCs w:val="28"/>
        </w:rPr>
        <w:t>Отрасль «культура»</w:t>
      </w:r>
      <w:r w:rsidRPr="00D06ABC">
        <w:rPr>
          <w:rFonts w:ascii="Times New Roman" w:hAnsi="Times New Roman"/>
          <w:sz w:val="28"/>
          <w:szCs w:val="28"/>
        </w:rPr>
        <w:t xml:space="preserve"> Бардымского муниципального района представлена сетью организаций. В 12 сельских поселени</w:t>
      </w:r>
      <w:r>
        <w:rPr>
          <w:rFonts w:ascii="Times New Roman" w:hAnsi="Times New Roman"/>
          <w:sz w:val="28"/>
          <w:szCs w:val="28"/>
        </w:rPr>
        <w:t>й района функционируе</w:t>
      </w:r>
      <w:r w:rsidRPr="00D06ABC">
        <w:rPr>
          <w:rFonts w:ascii="Times New Roman" w:hAnsi="Times New Roman"/>
          <w:sz w:val="28"/>
          <w:szCs w:val="28"/>
        </w:rPr>
        <w:t xml:space="preserve">т 33 учреждения культуры, в том числе 2 публичные библиотеки, действуют районный краеведческий музей, детская школа искусств. </w:t>
      </w:r>
    </w:p>
    <w:p w:rsidR="00354B46" w:rsidRDefault="00354B46" w:rsidP="00354B46">
      <w:pPr>
        <w:spacing w:after="0" w:line="240" w:lineRule="auto"/>
        <w:ind w:firstLine="708"/>
        <w:jc w:val="both"/>
        <w:rPr>
          <w:rFonts w:ascii="Times New Roman" w:hAnsi="Times New Roman"/>
          <w:sz w:val="28"/>
          <w:szCs w:val="28"/>
        </w:rPr>
      </w:pPr>
      <w:r w:rsidRPr="00D06ABC">
        <w:rPr>
          <w:rFonts w:ascii="Times New Roman" w:hAnsi="Times New Roman"/>
          <w:sz w:val="28"/>
          <w:szCs w:val="28"/>
        </w:rPr>
        <w:t xml:space="preserve">Всего в учреждениях культуры района (ДШИ, ЦБС, КДУ, районный музей) работают 278 человек, из них специалистов 140 человек. </w:t>
      </w:r>
    </w:p>
    <w:p w:rsidR="00354B46" w:rsidRPr="00596C94" w:rsidRDefault="00354B46" w:rsidP="00354B46">
      <w:pPr>
        <w:spacing w:after="0" w:line="240" w:lineRule="auto"/>
        <w:ind w:firstLine="708"/>
        <w:jc w:val="both"/>
        <w:rPr>
          <w:rFonts w:ascii="Times New Roman" w:hAnsi="Times New Roman"/>
          <w:sz w:val="28"/>
          <w:szCs w:val="28"/>
        </w:rPr>
      </w:pPr>
      <w:r w:rsidRPr="00596C94">
        <w:rPr>
          <w:rFonts w:ascii="Times New Roman" w:hAnsi="Times New Roman"/>
          <w:sz w:val="28"/>
          <w:szCs w:val="28"/>
        </w:rPr>
        <w:t>По итогам 2017 года в районе всего проведено 5322 мероприятий</w:t>
      </w:r>
      <w:r>
        <w:rPr>
          <w:rFonts w:ascii="Times New Roman" w:hAnsi="Times New Roman"/>
          <w:sz w:val="28"/>
          <w:szCs w:val="28"/>
        </w:rPr>
        <w:t xml:space="preserve">. </w:t>
      </w:r>
      <w:r w:rsidRPr="00596C94">
        <w:rPr>
          <w:rFonts w:ascii="Times New Roman" w:hAnsi="Times New Roman"/>
          <w:sz w:val="28"/>
          <w:szCs w:val="28"/>
        </w:rPr>
        <w:t>Общая посещаемость составила 306001 человек, мероприятия на платной основе посетило 22256 человек.</w:t>
      </w:r>
    </w:p>
    <w:p w:rsidR="00354B46" w:rsidRPr="00D06ABC" w:rsidRDefault="00354B46" w:rsidP="00354B46">
      <w:pPr>
        <w:spacing w:after="0" w:line="240" w:lineRule="auto"/>
        <w:jc w:val="both"/>
        <w:rPr>
          <w:rFonts w:ascii="Times New Roman" w:hAnsi="Times New Roman"/>
          <w:sz w:val="28"/>
          <w:szCs w:val="28"/>
        </w:rPr>
      </w:pPr>
      <w:r w:rsidRPr="00D06ABC">
        <w:rPr>
          <w:rFonts w:ascii="Times New Roman" w:eastAsia="SimSun" w:hAnsi="Times New Roman"/>
          <w:sz w:val="28"/>
          <w:szCs w:val="28"/>
          <w:lang w:eastAsia="ar-SA"/>
        </w:rPr>
        <w:t xml:space="preserve"> </w:t>
      </w:r>
      <w:r w:rsidRPr="00D06ABC">
        <w:rPr>
          <w:rFonts w:ascii="Times New Roman" w:eastAsia="SimSun" w:hAnsi="Times New Roman"/>
          <w:sz w:val="28"/>
          <w:szCs w:val="28"/>
          <w:lang w:eastAsia="ar-SA"/>
        </w:rPr>
        <w:tab/>
      </w:r>
      <w:r w:rsidRPr="00D06ABC">
        <w:rPr>
          <w:rFonts w:ascii="Times New Roman" w:hAnsi="Times New Roman"/>
          <w:sz w:val="28"/>
          <w:szCs w:val="28"/>
        </w:rPr>
        <w:t xml:space="preserve"> Количество любительских объединений и кружков художественной самодеятельности составляет 203 чел., число участников в них</w:t>
      </w:r>
      <w:r>
        <w:rPr>
          <w:rFonts w:ascii="Times New Roman" w:hAnsi="Times New Roman"/>
          <w:sz w:val="28"/>
          <w:szCs w:val="28"/>
        </w:rPr>
        <w:t xml:space="preserve"> </w:t>
      </w:r>
      <w:r w:rsidRPr="00D06ABC">
        <w:rPr>
          <w:rFonts w:ascii="Times New Roman" w:hAnsi="Times New Roman"/>
          <w:sz w:val="28"/>
          <w:szCs w:val="28"/>
        </w:rPr>
        <w:t>2554</w:t>
      </w:r>
      <w:r>
        <w:rPr>
          <w:rFonts w:ascii="Times New Roman" w:hAnsi="Times New Roman"/>
          <w:sz w:val="28"/>
          <w:szCs w:val="28"/>
        </w:rPr>
        <w:t xml:space="preserve"> </w:t>
      </w:r>
      <w:r w:rsidRPr="00D06ABC">
        <w:rPr>
          <w:rFonts w:ascii="Times New Roman" w:hAnsi="Times New Roman"/>
          <w:sz w:val="28"/>
          <w:szCs w:val="28"/>
        </w:rPr>
        <w:t xml:space="preserve">чел.).  </w:t>
      </w:r>
    </w:p>
    <w:p w:rsidR="00354B46" w:rsidRDefault="00354B46" w:rsidP="00354B46">
      <w:pPr>
        <w:spacing w:after="0" w:line="240" w:lineRule="auto"/>
        <w:ind w:firstLine="708"/>
        <w:jc w:val="both"/>
        <w:rPr>
          <w:rFonts w:ascii="Times New Roman" w:hAnsi="Times New Roman"/>
          <w:sz w:val="28"/>
          <w:szCs w:val="28"/>
        </w:rPr>
      </w:pPr>
      <w:r w:rsidRPr="00D06ABC">
        <w:rPr>
          <w:rFonts w:ascii="Times New Roman" w:hAnsi="Times New Roman"/>
          <w:sz w:val="28"/>
          <w:szCs w:val="28"/>
        </w:rPr>
        <w:t>Ежегодно творческие коллективы и отдельные участники достойно представляют наш район в краевых, межрегиональных, всероссийских мероприятиях, конкурсах и фестивалях и занимают призовые места.</w:t>
      </w:r>
    </w:p>
    <w:p w:rsidR="00354B46" w:rsidRPr="00A54438" w:rsidRDefault="00354B46" w:rsidP="00354B46">
      <w:pPr>
        <w:pStyle w:val="Default"/>
        <w:ind w:firstLine="708"/>
        <w:jc w:val="both"/>
        <w:rPr>
          <w:i/>
          <w:sz w:val="28"/>
          <w:szCs w:val="28"/>
        </w:rPr>
      </w:pPr>
      <w:r w:rsidRPr="00A54438">
        <w:rPr>
          <w:sz w:val="28"/>
          <w:szCs w:val="28"/>
        </w:rPr>
        <w:t>В течении 2017 года количество людей с ОВЗ, получающих услуги в учреждениях культуры составляет 30302 человек.</w:t>
      </w:r>
    </w:p>
    <w:p w:rsidR="00354B46" w:rsidRPr="005072A8" w:rsidRDefault="00354B46" w:rsidP="00354B46">
      <w:pPr>
        <w:spacing w:after="0" w:line="240" w:lineRule="auto"/>
        <w:jc w:val="both"/>
        <w:rPr>
          <w:rFonts w:ascii="Times New Roman" w:hAnsi="Times New Roman"/>
          <w:sz w:val="28"/>
          <w:szCs w:val="28"/>
          <w:shd w:val="clear" w:color="auto" w:fill="FFFFFF"/>
        </w:rPr>
      </w:pPr>
      <w:r w:rsidRPr="00A54438">
        <w:rPr>
          <w:rFonts w:ascii="Times New Roman" w:hAnsi="Times New Roman"/>
          <w:sz w:val="28"/>
          <w:szCs w:val="28"/>
        </w:rPr>
        <w:t xml:space="preserve"> </w:t>
      </w:r>
      <w:r>
        <w:rPr>
          <w:rFonts w:ascii="Times New Roman" w:hAnsi="Times New Roman"/>
          <w:sz w:val="28"/>
          <w:szCs w:val="28"/>
        </w:rPr>
        <w:t xml:space="preserve"> </w:t>
      </w:r>
      <w:r>
        <w:rPr>
          <w:b/>
          <w:i/>
          <w:shd w:val="clear" w:color="auto" w:fill="FFFFFF"/>
        </w:rPr>
        <w:t xml:space="preserve"> </w:t>
      </w:r>
      <w:r>
        <w:rPr>
          <w:b/>
          <w:i/>
          <w:shd w:val="clear" w:color="auto" w:fill="FFFFFF"/>
        </w:rPr>
        <w:tab/>
      </w:r>
      <w:r w:rsidRPr="005072A8">
        <w:rPr>
          <w:rFonts w:ascii="Times New Roman" w:hAnsi="Times New Roman"/>
          <w:sz w:val="28"/>
          <w:szCs w:val="28"/>
          <w:shd w:val="clear" w:color="auto" w:fill="FFFFFF"/>
        </w:rPr>
        <w:t>Вход в здания культурно-досуговых</w:t>
      </w:r>
      <w:r>
        <w:rPr>
          <w:rFonts w:ascii="Times New Roman" w:hAnsi="Times New Roman"/>
          <w:sz w:val="28"/>
          <w:szCs w:val="28"/>
          <w:shd w:val="clear" w:color="auto" w:fill="FFFFFF"/>
        </w:rPr>
        <w:t xml:space="preserve"> учреждений</w:t>
      </w:r>
      <w:r w:rsidRPr="005072A8">
        <w:rPr>
          <w:rFonts w:ascii="Times New Roman" w:hAnsi="Times New Roman"/>
          <w:sz w:val="28"/>
          <w:szCs w:val="28"/>
          <w:shd w:val="clear" w:color="auto" w:fill="FFFFFF"/>
        </w:rPr>
        <w:t xml:space="preserve"> для маломобильных</w:t>
      </w:r>
      <w:r>
        <w:rPr>
          <w:rFonts w:ascii="Times New Roman" w:hAnsi="Times New Roman"/>
          <w:sz w:val="28"/>
          <w:szCs w:val="28"/>
          <w:shd w:val="clear" w:color="auto" w:fill="FFFFFF"/>
        </w:rPr>
        <w:t xml:space="preserve"> групп населения </w:t>
      </w:r>
      <w:r w:rsidRPr="005072A8">
        <w:rPr>
          <w:rFonts w:ascii="Times New Roman" w:hAnsi="Times New Roman"/>
          <w:sz w:val="28"/>
          <w:szCs w:val="28"/>
          <w:shd w:val="clear" w:color="auto" w:fill="FFFFFF"/>
        </w:rPr>
        <w:t>доступен, но для инвалидов по слуху, зрению, опорно-двигательному аппарату – специального оборудова</w:t>
      </w:r>
      <w:r>
        <w:rPr>
          <w:rFonts w:ascii="Times New Roman" w:hAnsi="Times New Roman"/>
          <w:sz w:val="28"/>
          <w:szCs w:val="28"/>
          <w:shd w:val="clear" w:color="auto" w:fill="FFFFFF"/>
        </w:rPr>
        <w:t>ния в большинстве КДУ отсутствуе</w:t>
      </w:r>
      <w:r w:rsidRPr="005072A8">
        <w:rPr>
          <w:rFonts w:ascii="Times New Roman" w:hAnsi="Times New Roman"/>
          <w:sz w:val="28"/>
          <w:szCs w:val="28"/>
          <w:shd w:val="clear" w:color="auto" w:fill="FFFFFF"/>
        </w:rPr>
        <w:t>т.</w:t>
      </w:r>
    </w:p>
    <w:p w:rsidR="00354B46" w:rsidRPr="005072A8" w:rsidRDefault="00354B46" w:rsidP="00354B46">
      <w:pPr>
        <w:spacing w:after="0" w:line="240" w:lineRule="auto"/>
        <w:jc w:val="both"/>
        <w:rPr>
          <w:rFonts w:ascii="Times New Roman" w:hAnsi="Times New Roman"/>
          <w:sz w:val="28"/>
          <w:szCs w:val="28"/>
          <w:shd w:val="clear" w:color="auto" w:fill="FFFFFF"/>
        </w:rPr>
      </w:pPr>
      <w:r w:rsidRPr="005072A8">
        <w:rPr>
          <w:rFonts w:ascii="Times New Roman" w:hAnsi="Times New Roman"/>
          <w:sz w:val="28"/>
          <w:szCs w:val="28"/>
          <w:shd w:val="clear" w:color="auto" w:fill="FFFFFF"/>
        </w:rPr>
        <w:lastRenderedPageBreak/>
        <w:tab/>
        <w:t xml:space="preserve">На сегодняшний день имеется «бегущая строка» в комплекте в Печменском КДК, установлен </w:t>
      </w:r>
      <w:r>
        <w:rPr>
          <w:rFonts w:ascii="Times New Roman" w:hAnsi="Times New Roman"/>
          <w:sz w:val="28"/>
          <w:szCs w:val="28"/>
          <w:shd w:val="clear" w:color="auto" w:fill="FFFFFF"/>
        </w:rPr>
        <w:t>пандус в Красноярском КДК</w:t>
      </w:r>
      <w:r w:rsidRPr="005072A8">
        <w:rPr>
          <w:rFonts w:ascii="Times New Roman" w:hAnsi="Times New Roman"/>
          <w:sz w:val="28"/>
          <w:szCs w:val="28"/>
          <w:shd w:val="clear" w:color="auto" w:fill="FFFFFF"/>
        </w:rPr>
        <w:t xml:space="preserve">, Бардымском ЦКД. </w:t>
      </w:r>
    </w:p>
    <w:p w:rsidR="00354B46" w:rsidRPr="005072A8" w:rsidRDefault="00354B46" w:rsidP="00354B46">
      <w:pPr>
        <w:spacing w:after="0" w:line="240" w:lineRule="auto"/>
        <w:jc w:val="both"/>
        <w:rPr>
          <w:rFonts w:ascii="Times New Roman" w:hAnsi="Times New Roman"/>
          <w:sz w:val="28"/>
          <w:szCs w:val="28"/>
          <w:shd w:val="clear" w:color="auto" w:fill="FFFFFF"/>
        </w:rPr>
      </w:pPr>
      <w:r w:rsidRPr="005072A8">
        <w:rPr>
          <w:rFonts w:ascii="Times New Roman" w:hAnsi="Times New Roman"/>
          <w:sz w:val="28"/>
          <w:szCs w:val="28"/>
          <w:shd w:val="clear" w:color="auto" w:fill="FFFFFF"/>
        </w:rPr>
        <w:tab/>
        <w:t>Доля доступных для мало</w:t>
      </w:r>
      <w:r>
        <w:rPr>
          <w:rFonts w:ascii="Times New Roman" w:hAnsi="Times New Roman"/>
          <w:sz w:val="28"/>
          <w:szCs w:val="28"/>
          <w:shd w:val="clear" w:color="auto" w:fill="FFFFFF"/>
        </w:rPr>
        <w:t>моби</w:t>
      </w:r>
      <w:r w:rsidRPr="005072A8">
        <w:rPr>
          <w:rFonts w:ascii="Times New Roman" w:hAnsi="Times New Roman"/>
          <w:sz w:val="28"/>
          <w:szCs w:val="28"/>
          <w:shd w:val="clear" w:color="auto" w:fill="FFFFFF"/>
        </w:rPr>
        <w:t>льных групп населения объектов культуры от общего объектов культуры на территории Бардымского муниципального района составляет 52,08</w:t>
      </w:r>
      <w:r>
        <w:rPr>
          <w:rFonts w:ascii="Times New Roman" w:hAnsi="Times New Roman"/>
          <w:sz w:val="28"/>
          <w:szCs w:val="28"/>
          <w:shd w:val="clear" w:color="auto" w:fill="FFFFFF"/>
        </w:rPr>
        <w:t xml:space="preserve"> </w:t>
      </w:r>
      <w:r w:rsidRPr="005072A8">
        <w:rPr>
          <w:rFonts w:ascii="Times New Roman" w:hAnsi="Times New Roman"/>
          <w:sz w:val="28"/>
          <w:szCs w:val="28"/>
          <w:shd w:val="clear" w:color="auto" w:fill="FFFFFF"/>
        </w:rPr>
        <w:t>%.</w:t>
      </w:r>
    </w:p>
    <w:p w:rsidR="00354B46" w:rsidRDefault="00354B46" w:rsidP="00354B46">
      <w:pPr>
        <w:spacing w:after="0" w:line="240" w:lineRule="auto"/>
        <w:ind w:firstLine="708"/>
        <w:jc w:val="both"/>
        <w:rPr>
          <w:rFonts w:ascii="Times New Roman" w:hAnsi="Times New Roman"/>
          <w:sz w:val="28"/>
          <w:szCs w:val="28"/>
        </w:rPr>
      </w:pPr>
      <w:r w:rsidRPr="005072A8">
        <w:rPr>
          <w:rFonts w:ascii="Times New Roman" w:hAnsi="Times New Roman"/>
          <w:sz w:val="28"/>
          <w:szCs w:val="28"/>
        </w:rPr>
        <w:t>В большинстве клубных учреждений для установки, переоборудования пандусов, противоскользящего покрытия, приобретения аудиовизуальных, информационно-справочных систем нет финансовых средств.</w:t>
      </w:r>
    </w:p>
    <w:p w:rsidR="00354B46" w:rsidRPr="00D34FD6" w:rsidRDefault="00354B46" w:rsidP="00354B46">
      <w:pPr>
        <w:spacing w:after="0" w:line="240" w:lineRule="auto"/>
        <w:jc w:val="both"/>
        <w:rPr>
          <w:rFonts w:ascii="Times New Roman" w:hAnsi="Times New Roman"/>
          <w:sz w:val="28"/>
          <w:szCs w:val="28"/>
        </w:rPr>
      </w:pPr>
      <w:r>
        <w:rPr>
          <w:rFonts w:ascii="Times New Roman" w:hAnsi="Times New Roman"/>
          <w:sz w:val="28"/>
          <w:szCs w:val="28"/>
        </w:rPr>
        <w:tab/>
        <w:t>На сегодняшний день м</w:t>
      </w:r>
      <w:r w:rsidRPr="00D34FD6">
        <w:rPr>
          <w:rFonts w:ascii="Times New Roman" w:hAnsi="Times New Roman"/>
          <w:sz w:val="28"/>
          <w:szCs w:val="28"/>
        </w:rPr>
        <w:t>униципальное бюджетное учреждение культуры «Бардымская ЦБС» объединяет центральную и детскую библиотеки. 19 библиотек являются структурными подразделениями культурно - досуговых учреждений и не имеют правового статуса.</w:t>
      </w:r>
    </w:p>
    <w:p w:rsidR="00354B46" w:rsidRDefault="00354B46" w:rsidP="00354B46">
      <w:pPr>
        <w:spacing w:after="0" w:line="240" w:lineRule="auto"/>
        <w:ind w:firstLine="708"/>
        <w:jc w:val="both"/>
        <w:rPr>
          <w:rFonts w:ascii="Times New Roman" w:eastAsia="Times New Roman" w:hAnsi="Times New Roman"/>
          <w:sz w:val="28"/>
          <w:szCs w:val="28"/>
        </w:rPr>
      </w:pPr>
      <w:r w:rsidRPr="00D06ABC">
        <w:rPr>
          <w:rFonts w:ascii="Times New Roman" w:eastAsia="Times New Roman" w:hAnsi="Times New Roman"/>
          <w:sz w:val="28"/>
          <w:szCs w:val="28"/>
        </w:rPr>
        <w:t xml:space="preserve">Штатная численность учреждения составляет 16 человек. </w:t>
      </w:r>
    </w:p>
    <w:p w:rsidR="00354B46" w:rsidRPr="00B91400" w:rsidRDefault="00354B46" w:rsidP="00354B46">
      <w:pPr>
        <w:spacing w:after="0" w:line="240" w:lineRule="auto"/>
        <w:jc w:val="both"/>
        <w:rPr>
          <w:rFonts w:ascii="Times New Roman" w:hAnsi="Times New Roman"/>
          <w:sz w:val="28"/>
          <w:szCs w:val="28"/>
        </w:rPr>
      </w:pPr>
      <w:r>
        <w:rPr>
          <w:rFonts w:ascii="Times New Roman" w:eastAsia="Times New Roman" w:hAnsi="Times New Roman"/>
          <w:sz w:val="28"/>
          <w:szCs w:val="28"/>
        </w:rPr>
        <w:t xml:space="preserve"> </w:t>
      </w:r>
      <w:r>
        <w:rPr>
          <w:sz w:val="28"/>
          <w:szCs w:val="28"/>
        </w:rPr>
        <w:t xml:space="preserve"> </w:t>
      </w:r>
      <w:r>
        <w:rPr>
          <w:sz w:val="28"/>
          <w:szCs w:val="28"/>
        </w:rPr>
        <w:tab/>
      </w:r>
      <w:r w:rsidRPr="00B91400">
        <w:rPr>
          <w:rFonts w:ascii="Times New Roman" w:hAnsi="Times New Roman"/>
          <w:sz w:val="28"/>
          <w:szCs w:val="28"/>
        </w:rPr>
        <w:t>На основании Свода годовых сведений об общедоступных (публичных) библиотеках системы Минкультуры России за 2017 год</w:t>
      </w:r>
      <w:r>
        <w:rPr>
          <w:rFonts w:ascii="Times New Roman" w:hAnsi="Times New Roman"/>
          <w:sz w:val="28"/>
          <w:szCs w:val="28"/>
        </w:rPr>
        <w:t>,</w:t>
      </w:r>
      <w:r w:rsidRPr="00B91400">
        <w:rPr>
          <w:rFonts w:ascii="Times New Roman" w:hAnsi="Times New Roman"/>
          <w:sz w:val="28"/>
          <w:szCs w:val="28"/>
        </w:rPr>
        <w:t xml:space="preserve"> доля населения, охваченная услугами библиотечного обслуживания, составляет 55</w:t>
      </w:r>
      <w:r>
        <w:rPr>
          <w:rFonts w:ascii="Times New Roman" w:hAnsi="Times New Roman"/>
          <w:sz w:val="28"/>
          <w:szCs w:val="28"/>
        </w:rPr>
        <w:t xml:space="preserve"> </w:t>
      </w:r>
      <w:r w:rsidRPr="00B91400">
        <w:rPr>
          <w:rFonts w:ascii="Times New Roman" w:hAnsi="Times New Roman"/>
          <w:sz w:val="28"/>
          <w:szCs w:val="28"/>
        </w:rPr>
        <w:t xml:space="preserve">%. </w:t>
      </w:r>
    </w:p>
    <w:p w:rsidR="00354B46" w:rsidRPr="00D06ABC" w:rsidRDefault="00354B46" w:rsidP="00354B46">
      <w:pPr>
        <w:pStyle w:val="aff5"/>
        <w:ind w:firstLine="708"/>
        <w:jc w:val="both"/>
        <w:rPr>
          <w:szCs w:val="28"/>
        </w:rPr>
      </w:pPr>
      <w:r>
        <w:rPr>
          <w:szCs w:val="28"/>
        </w:rPr>
        <w:t xml:space="preserve"> </w:t>
      </w:r>
      <w:r w:rsidRPr="00D06ABC">
        <w:rPr>
          <w:szCs w:val="28"/>
        </w:rPr>
        <w:t xml:space="preserve">Доля компьютеризированных и имеющих доступ в сеть </w:t>
      </w:r>
      <w:r w:rsidRPr="00D06ABC">
        <w:rPr>
          <w:szCs w:val="28"/>
          <w:lang w:val="en-US"/>
        </w:rPr>
        <w:t>Internet</w:t>
      </w:r>
      <w:r w:rsidRPr="00D06ABC">
        <w:rPr>
          <w:szCs w:val="28"/>
        </w:rPr>
        <w:t xml:space="preserve"> библиотек, </w:t>
      </w:r>
      <w:r w:rsidRPr="00D06ABC">
        <w:rPr>
          <w:bCs/>
          <w:szCs w:val="28"/>
        </w:rPr>
        <w:t>составляет 50</w:t>
      </w:r>
      <w:r>
        <w:rPr>
          <w:bCs/>
          <w:szCs w:val="28"/>
        </w:rPr>
        <w:t xml:space="preserve"> </w:t>
      </w:r>
      <w:r w:rsidRPr="00D06ABC">
        <w:rPr>
          <w:bCs/>
          <w:szCs w:val="28"/>
        </w:rPr>
        <w:t xml:space="preserve">% </w:t>
      </w:r>
      <w:r w:rsidRPr="00D06ABC">
        <w:rPr>
          <w:szCs w:val="28"/>
        </w:rPr>
        <w:t>от общего числа библиотек в районе.</w:t>
      </w:r>
    </w:p>
    <w:p w:rsidR="00354B46" w:rsidRPr="00D06ABC" w:rsidRDefault="00354B46" w:rsidP="00354B46">
      <w:pPr>
        <w:pStyle w:val="msonormalbullet2gifbullet1gif"/>
        <w:spacing w:before="0" w:beforeAutospacing="0" w:after="0" w:afterAutospacing="0"/>
        <w:ind w:firstLine="709"/>
        <w:contextualSpacing/>
        <w:jc w:val="both"/>
        <w:rPr>
          <w:sz w:val="28"/>
          <w:szCs w:val="28"/>
        </w:rPr>
      </w:pPr>
      <w:r>
        <w:rPr>
          <w:bCs/>
          <w:sz w:val="28"/>
          <w:szCs w:val="28"/>
        </w:rPr>
        <w:t xml:space="preserve"> </w:t>
      </w:r>
      <w:r w:rsidRPr="00D06ABC">
        <w:rPr>
          <w:sz w:val="28"/>
          <w:szCs w:val="28"/>
        </w:rPr>
        <w:t xml:space="preserve">Наблюдается ежегодное перевыполнение плановых показателей </w:t>
      </w:r>
      <w:r>
        <w:rPr>
          <w:sz w:val="28"/>
          <w:szCs w:val="28"/>
        </w:rPr>
        <w:t xml:space="preserve">по книговыдаче </w:t>
      </w:r>
      <w:r w:rsidRPr="00D06ABC">
        <w:rPr>
          <w:sz w:val="28"/>
          <w:szCs w:val="28"/>
        </w:rPr>
        <w:t>в среднем на 3 % и составляет 120311экземпляров.</w:t>
      </w:r>
    </w:p>
    <w:p w:rsidR="00354B46" w:rsidRPr="00D06ABC" w:rsidRDefault="00354B46" w:rsidP="00354B46">
      <w:pPr>
        <w:spacing w:after="0" w:line="240" w:lineRule="auto"/>
        <w:ind w:firstLine="709"/>
        <w:jc w:val="both"/>
        <w:rPr>
          <w:rFonts w:ascii="Times New Roman" w:eastAsia="Times New Roman" w:hAnsi="Times New Roman"/>
          <w:bCs/>
          <w:sz w:val="28"/>
          <w:szCs w:val="28"/>
        </w:rPr>
      </w:pPr>
      <w:r w:rsidRPr="00D06ABC">
        <w:rPr>
          <w:rFonts w:ascii="Times New Roman" w:eastAsia="Times New Roman" w:hAnsi="Times New Roman"/>
          <w:bCs/>
          <w:sz w:val="28"/>
          <w:szCs w:val="28"/>
        </w:rPr>
        <w:t>Обновление книжных фондов библиотек района остается низкой и  составляет 3485</w:t>
      </w:r>
      <w:r>
        <w:rPr>
          <w:rFonts w:ascii="Times New Roman" w:eastAsia="Times New Roman" w:hAnsi="Times New Roman"/>
          <w:bCs/>
          <w:sz w:val="28"/>
          <w:szCs w:val="28"/>
        </w:rPr>
        <w:t xml:space="preserve"> </w:t>
      </w:r>
      <w:r w:rsidRPr="00D06ABC">
        <w:rPr>
          <w:rFonts w:ascii="Times New Roman" w:eastAsia="Times New Roman" w:hAnsi="Times New Roman"/>
          <w:bCs/>
          <w:sz w:val="28"/>
          <w:szCs w:val="28"/>
        </w:rPr>
        <w:t>экз. в год, при нормативе 4000 экз.</w:t>
      </w:r>
    </w:p>
    <w:p w:rsidR="00354B46" w:rsidRPr="00424D82" w:rsidRDefault="00354B46" w:rsidP="00354B46">
      <w:pPr>
        <w:spacing w:after="0" w:line="240" w:lineRule="auto"/>
        <w:ind w:firstLine="709"/>
        <w:jc w:val="both"/>
        <w:rPr>
          <w:rFonts w:ascii="Times New Roman" w:hAnsi="Times New Roman"/>
          <w:sz w:val="28"/>
          <w:szCs w:val="28"/>
          <w:lang w:eastAsia="ar-SA"/>
        </w:rPr>
      </w:pPr>
      <w:r>
        <w:rPr>
          <w:rFonts w:ascii="Times New Roman" w:hAnsi="Times New Roman"/>
          <w:sz w:val="28"/>
          <w:szCs w:val="28"/>
        </w:rPr>
        <w:t xml:space="preserve"> </w:t>
      </w:r>
      <w:r w:rsidRPr="00424D82">
        <w:rPr>
          <w:rFonts w:ascii="Times New Roman" w:hAnsi="Times New Roman"/>
          <w:sz w:val="28"/>
          <w:szCs w:val="28"/>
          <w:lang w:eastAsia="ar-SA"/>
        </w:rPr>
        <w:t>На текущий период основным направлением развития библиотечного дела остаются информатизация библиотечных учреждений, развитие сводного библиотечно-информационного ресурса, совершенствование библиотечных услуг.</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Количество экземпляров книг в библиотечном фонде за 2011 год сократилось почти в 1,5 раза. Так на 01.01.2011 года было зафиксировано 436160 экземпляров на 1000 человек, а 01.01.2012 года уже 261750 экземпляров. На 01.01.2017 года библиотечный фонд составил 239 188 экземпляров. Данные анализа свидетельствуют об отсутствии интереса со стороны жителей района к услугам библиотек, устаревании библиотечного фонда, низкой скорости его обновления (рисунок 1.19).</w:t>
      </w:r>
    </w:p>
    <w:p w:rsidR="00153E07" w:rsidRPr="00153E07" w:rsidRDefault="00153E07" w:rsidP="00153E07">
      <w:pPr>
        <w:spacing w:after="160" w:line="256"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174028" cy="1499616"/>
            <wp:effectExtent l="0" t="0" r="0" b="0"/>
            <wp:docPr id="2142"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53E07" w:rsidRPr="005E128E" w:rsidRDefault="00153E07" w:rsidP="00822D2E">
      <w:pPr>
        <w:spacing w:after="160" w:line="240" w:lineRule="auto"/>
        <w:jc w:val="both"/>
        <w:rPr>
          <w:rFonts w:ascii="Times New Roman" w:hAnsi="Times New Roman" w:cs="Times New Roman"/>
          <w:b/>
          <w:bCs/>
          <w:sz w:val="28"/>
          <w:szCs w:val="28"/>
        </w:rPr>
      </w:pPr>
      <w:r w:rsidRPr="005E128E">
        <w:rPr>
          <w:rFonts w:ascii="Times New Roman" w:hAnsi="Times New Roman" w:cs="Times New Roman"/>
          <w:b/>
          <w:sz w:val="28"/>
          <w:szCs w:val="28"/>
        </w:rPr>
        <w:t xml:space="preserve">Рисунок 1.19. </w:t>
      </w:r>
      <w:r w:rsidRPr="005E128E">
        <w:rPr>
          <w:rFonts w:ascii="Times New Roman" w:hAnsi="Times New Roman" w:cs="Times New Roman"/>
          <w:b/>
          <w:bCs/>
          <w:sz w:val="28"/>
          <w:szCs w:val="28"/>
        </w:rPr>
        <w:t>Библиотечный фонд, количество экземпляров на 1000 человек</w:t>
      </w:r>
    </w:p>
    <w:p w:rsidR="00354B46" w:rsidRDefault="00354B46" w:rsidP="00354B46">
      <w:pPr>
        <w:pStyle w:val="a8"/>
        <w:shd w:val="clear" w:color="auto" w:fill="FFFFFF"/>
        <w:spacing w:before="0" w:beforeAutospacing="0" w:after="0" w:afterAutospacing="0"/>
        <w:jc w:val="both"/>
        <w:textAlignment w:val="baseline"/>
        <w:rPr>
          <w:sz w:val="28"/>
          <w:szCs w:val="28"/>
        </w:rPr>
      </w:pPr>
      <w:r>
        <w:rPr>
          <w:sz w:val="28"/>
          <w:szCs w:val="28"/>
        </w:rPr>
        <w:tab/>
      </w:r>
      <w:r w:rsidRPr="00D06ABC">
        <w:rPr>
          <w:sz w:val="28"/>
          <w:szCs w:val="28"/>
        </w:rPr>
        <w:t>В Бардымском районе существует 1 музей со статусом юридического лица - муниципальное бюджетное учреждение культуры «Бардымский районный краеведческий музей». В учреждении работают 3 специалиста.</w:t>
      </w:r>
    </w:p>
    <w:p w:rsidR="00354B46" w:rsidRPr="00354B46" w:rsidRDefault="00354B46" w:rsidP="00354B46">
      <w:pPr>
        <w:pStyle w:val="111"/>
        <w:tabs>
          <w:tab w:val="left" w:pos="398"/>
          <w:tab w:val="left" w:pos="425"/>
        </w:tabs>
        <w:spacing w:line="240" w:lineRule="auto"/>
        <w:ind w:firstLine="397"/>
        <w:rPr>
          <w:rFonts w:ascii="Times New Roman" w:hAnsi="Times New Roman"/>
        </w:rPr>
      </w:pPr>
      <w:r w:rsidRPr="00D06ABC">
        <w:rPr>
          <w:rFonts w:ascii="Times New Roman" w:hAnsi="Times New Roman" w:cs="Times New Roman"/>
        </w:rPr>
        <w:lastRenderedPageBreak/>
        <w:tab/>
      </w:r>
      <w:r w:rsidRPr="00D06ABC">
        <w:rPr>
          <w:rFonts w:ascii="Times New Roman" w:hAnsi="Times New Roman" w:cs="Times New Roman"/>
        </w:rPr>
        <w:tab/>
      </w:r>
      <w:r w:rsidRPr="00D06ABC">
        <w:rPr>
          <w:rFonts w:ascii="Times New Roman" w:hAnsi="Times New Roman" w:cs="Times New Roman"/>
        </w:rPr>
        <w:tab/>
      </w:r>
      <w:r>
        <w:rPr>
          <w:rFonts w:ascii="Times New Roman" w:hAnsi="Times New Roman" w:cs="Times New Roman"/>
        </w:rPr>
        <w:t xml:space="preserve"> </w:t>
      </w:r>
      <w:r w:rsidRPr="00354B46">
        <w:rPr>
          <w:rFonts w:ascii="Times New Roman" w:eastAsia="SimSun" w:hAnsi="Times New Roman"/>
          <w:lang w:eastAsia="ar-SA"/>
        </w:rPr>
        <w:t>За отчетный период районный музей посетили более 9367 человек. За 12 месяцев 2017 года музеем проведено 46 выставок, 229 экскурсий, 18 массовых мероприятий.</w:t>
      </w:r>
    </w:p>
    <w:p w:rsidR="00354B46" w:rsidRPr="00D06ABC" w:rsidRDefault="00354B46" w:rsidP="00354B46">
      <w:pPr>
        <w:spacing w:after="0" w:line="240" w:lineRule="auto"/>
        <w:jc w:val="both"/>
        <w:rPr>
          <w:rFonts w:ascii="Times New Roman" w:eastAsia="Times New Roman" w:hAnsi="Times New Roman"/>
          <w:sz w:val="28"/>
          <w:szCs w:val="28"/>
        </w:rPr>
      </w:pPr>
      <w:r w:rsidRPr="00D06ABC">
        <w:rPr>
          <w:rFonts w:ascii="Times New Roman" w:hAnsi="Times New Roman"/>
          <w:sz w:val="28"/>
          <w:szCs w:val="28"/>
        </w:rPr>
        <w:tab/>
      </w:r>
      <w:r w:rsidRPr="00D06ABC">
        <w:rPr>
          <w:rFonts w:ascii="Times New Roman" w:eastAsia="Times New Roman" w:hAnsi="Times New Roman"/>
          <w:sz w:val="28"/>
          <w:szCs w:val="28"/>
        </w:rPr>
        <w:t>На 01.01.2018</w:t>
      </w:r>
      <w:r>
        <w:rPr>
          <w:rFonts w:ascii="Times New Roman" w:eastAsia="Times New Roman" w:hAnsi="Times New Roman"/>
          <w:sz w:val="28"/>
          <w:szCs w:val="28"/>
        </w:rPr>
        <w:t xml:space="preserve"> </w:t>
      </w:r>
      <w:r w:rsidRPr="00D06ABC">
        <w:rPr>
          <w:rFonts w:ascii="Times New Roman" w:eastAsia="Times New Roman" w:hAnsi="Times New Roman"/>
          <w:sz w:val="28"/>
          <w:szCs w:val="28"/>
        </w:rPr>
        <w:t xml:space="preserve">г. общий фонд составляет 7698 ед. хр., в т.ч. основной фонд – 5557 ед. хр., </w:t>
      </w:r>
      <w:r w:rsidRPr="00D06ABC">
        <w:rPr>
          <w:rFonts w:ascii="Times New Roman" w:hAnsi="Times New Roman"/>
          <w:sz w:val="28"/>
          <w:szCs w:val="28"/>
        </w:rPr>
        <w:t>научно-вспомогательный</w:t>
      </w:r>
      <w:r w:rsidRPr="00D06ABC">
        <w:rPr>
          <w:rFonts w:ascii="Times New Roman" w:eastAsia="Times New Roman" w:hAnsi="Times New Roman"/>
          <w:sz w:val="28"/>
          <w:szCs w:val="28"/>
        </w:rPr>
        <w:t xml:space="preserve"> фонд – 2141 ед. хр. С 2009 года в музее внедряется комплексная автоматизированная музейная информационная система «КАМИС». За это время в электронный каталог занесен весь музейный фонд.</w:t>
      </w:r>
    </w:p>
    <w:p w:rsidR="00354B46" w:rsidRPr="00D06ABC" w:rsidRDefault="00354B46" w:rsidP="00354B46">
      <w:pPr>
        <w:spacing w:after="0" w:line="240" w:lineRule="auto"/>
        <w:ind w:firstLine="397"/>
        <w:jc w:val="both"/>
        <w:rPr>
          <w:rFonts w:ascii="Times New Roman" w:hAnsi="Times New Roman"/>
          <w:sz w:val="28"/>
          <w:szCs w:val="28"/>
        </w:rPr>
      </w:pPr>
      <w:r w:rsidRPr="00D06ABC">
        <w:rPr>
          <w:rFonts w:ascii="Times New Roman" w:eastAsia="Times New Roman" w:hAnsi="Times New Roman"/>
          <w:sz w:val="28"/>
          <w:szCs w:val="28"/>
        </w:rPr>
        <w:tab/>
      </w:r>
      <w:r>
        <w:rPr>
          <w:rFonts w:ascii="Times New Roman" w:eastAsia="Times New Roman" w:hAnsi="Times New Roman"/>
          <w:sz w:val="28"/>
          <w:szCs w:val="28"/>
        </w:rPr>
        <w:t xml:space="preserve"> </w:t>
      </w:r>
      <w:r w:rsidRPr="00D06ABC">
        <w:rPr>
          <w:rFonts w:ascii="Times New Roman" w:hAnsi="Times New Roman"/>
          <w:sz w:val="28"/>
          <w:szCs w:val="28"/>
        </w:rPr>
        <w:t xml:space="preserve"> Районный краеведческий музей включен</w:t>
      </w:r>
      <w:r>
        <w:rPr>
          <w:rFonts w:ascii="Times New Roman" w:hAnsi="Times New Roman"/>
          <w:sz w:val="28"/>
          <w:szCs w:val="28"/>
        </w:rPr>
        <w:t xml:space="preserve"> </w:t>
      </w:r>
      <w:r w:rsidRPr="00D06ABC">
        <w:rPr>
          <w:rFonts w:ascii="Times New Roman" w:hAnsi="Times New Roman"/>
          <w:sz w:val="28"/>
          <w:szCs w:val="28"/>
        </w:rPr>
        <w:t>в туристически</w:t>
      </w:r>
      <w:r>
        <w:rPr>
          <w:rFonts w:ascii="Times New Roman" w:hAnsi="Times New Roman"/>
          <w:sz w:val="28"/>
          <w:szCs w:val="28"/>
        </w:rPr>
        <w:t xml:space="preserve">й </w:t>
      </w:r>
      <w:r w:rsidRPr="00D06ABC">
        <w:rPr>
          <w:rFonts w:ascii="Times New Roman" w:hAnsi="Times New Roman"/>
          <w:sz w:val="28"/>
          <w:szCs w:val="28"/>
        </w:rPr>
        <w:t>маршрут</w:t>
      </w:r>
      <w:r>
        <w:rPr>
          <w:rFonts w:ascii="Times New Roman" w:hAnsi="Times New Roman"/>
          <w:sz w:val="28"/>
          <w:szCs w:val="28"/>
        </w:rPr>
        <w:t xml:space="preserve"> </w:t>
      </w:r>
      <w:r w:rsidRPr="00D06ABC">
        <w:rPr>
          <w:rFonts w:ascii="Times New Roman" w:hAnsi="Times New Roman"/>
          <w:sz w:val="28"/>
          <w:szCs w:val="28"/>
        </w:rPr>
        <w:t xml:space="preserve"> региональных туристических фирм. </w:t>
      </w:r>
    </w:p>
    <w:p w:rsidR="00354B46" w:rsidRPr="009D4368" w:rsidRDefault="00354B46" w:rsidP="00354B46">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 xml:space="preserve"> </w:t>
      </w:r>
      <w:r w:rsidRPr="009D4368">
        <w:rPr>
          <w:rFonts w:ascii="Times New Roman" w:eastAsia="SimSun" w:hAnsi="Times New Roman"/>
          <w:sz w:val="28"/>
          <w:szCs w:val="28"/>
          <w:lang w:eastAsia="ar-SA"/>
        </w:rPr>
        <w:t xml:space="preserve">Важнейшим условием успешной музейной деятельности является </w:t>
      </w:r>
      <w:r w:rsidRPr="009D4368">
        <w:rPr>
          <w:rFonts w:ascii="Times New Roman" w:hAnsi="Times New Roman"/>
          <w:sz w:val="28"/>
          <w:szCs w:val="28"/>
        </w:rPr>
        <w:t>сохранение и пополнение музейного фонда, повышение доступности и качества музейных услуг.</w:t>
      </w:r>
    </w:p>
    <w:p w:rsidR="00926062" w:rsidRPr="00926062" w:rsidRDefault="00926062" w:rsidP="00926062">
      <w:pPr>
        <w:tabs>
          <w:tab w:val="left" w:pos="8364"/>
        </w:tabs>
        <w:suppressAutoHyphens/>
        <w:autoSpaceDE w:val="0"/>
        <w:spacing w:after="0" w:line="240" w:lineRule="auto"/>
        <w:ind w:firstLine="709"/>
        <w:jc w:val="both"/>
        <w:rPr>
          <w:rFonts w:ascii="Times New Roman" w:hAnsi="Times New Roman"/>
          <w:sz w:val="28"/>
          <w:szCs w:val="28"/>
          <w:lang w:eastAsia="ar-SA"/>
        </w:rPr>
      </w:pPr>
      <w:r w:rsidRPr="00926062">
        <w:rPr>
          <w:rFonts w:ascii="Times New Roman" w:hAnsi="Times New Roman"/>
          <w:b/>
          <w:kern w:val="1"/>
          <w:sz w:val="28"/>
          <w:szCs w:val="28"/>
        </w:rPr>
        <w:t>Физическая культура и спорт.</w:t>
      </w:r>
      <w:r w:rsidRPr="00926062">
        <w:rPr>
          <w:rFonts w:ascii="Times New Roman" w:hAnsi="Times New Roman"/>
          <w:sz w:val="28"/>
          <w:szCs w:val="28"/>
          <w:lang w:eastAsia="ar-SA"/>
        </w:rPr>
        <w:t xml:space="preserve"> Физкультурно-оздоровительные и спортивные услуги на территории Бардымского муниципального района оказывают управление культуры Администрации Бардымского муниципального района и МОУ ДОД «Детско-юношеская спортивная школа». </w:t>
      </w:r>
    </w:p>
    <w:p w:rsidR="00926062" w:rsidRPr="00926062" w:rsidRDefault="00926062" w:rsidP="00926062">
      <w:pPr>
        <w:tabs>
          <w:tab w:val="left" w:pos="8364"/>
        </w:tabs>
        <w:suppressAutoHyphens/>
        <w:autoSpaceDE w:val="0"/>
        <w:spacing w:after="0" w:line="240" w:lineRule="auto"/>
        <w:ind w:firstLine="709"/>
        <w:jc w:val="both"/>
        <w:rPr>
          <w:rFonts w:ascii="Times New Roman" w:hAnsi="Times New Roman"/>
          <w:sz w:val="28"/>
          <w:szCs w:val="28"/>
          <w:lang w:eastAsia="ar-SA"/>
        </w:rPr>
      </w:pPr>
      <w:r w:rsidRPr="00926062">
        <w:rPr>
          <w:rFonts w:ascii="Times New Roman" w:hAnsi="Times New Roman"/>
          <w:sz w:val="28"/>
          <w:szCs w:val="28"/>
          <w:lang w:eastAsia="ar-SA"/>
        </w:rPr>
        <w:t>Физическое воспитание в дошкольных организациях проводится в режиме учебного дня. Основной формой занятий с детьми является утренняя гимнастика, физкультурные занятия, подвижные игры, оздоровительные прогулки на свежем воздухе</w:t>
      </w:r>
      <w:r>
        <w:rPr>
          <w:rFonts w:ascii="Times New Roman" w:hAnsi="Times New Roman"/>
          <w:sz w:val="28"/>
          <w:szCs w:val="28"/>
          <w:lang w:eastAsia="ar-SA"/>
        </w:rPr>
        <w:t>.</w:t>
      </w:r>
    </w:p>
    <w:p w:rsidR="00926062" w:rsidRPr="00926062" w:rsidRDefault="00926062" w:rsidP="00926062">
      <w:pPr>
        <w:tabs>
          <w:tab w:val="left" w:pos="8364"/>
        </w:tabs>
        <w:suppressAutoHyphens/>
        <w:autoSpaceDE w:val="0"/>
        <w:spacing w:after="0" w:line="240" w:lineRule="auto"/>
        <w:ind w:firstLine="709"/>
        <w:jc w:val="both"/>
        <w:rPr>
          <w:rFonts w:ascii="Times New Roman" w:hAnsi="Times New Roman"/>
          <w:sz w:val="28"/>
          <w:szCs w:val="28"/>
          <w:lang w:eastAsia="ar-SA"/>
        </w:rPr>
      </w:pPr>
      <w:r w:rsidRPr="00926062">
        <w:rPr>
          <w:rFonts w:ascii="Times New Roman" w:hAnsi="Times New Roman"/>
          <w:sz w:val="28"/>
          <w:szCs w:val="28"/>
          <w:lang w:eastAsia="ar-SA"/>
        </w:rPr>
        <w:t xml:space="preserve"> С целью развития детско-юношеского спорта в Бардымском муниципальном районе работает МОУ ДОД «Детско-юношеская спортивная школа». Спортивная школа развивает различные вида спорта. </w:t>
      </w:r>
      <w:r>
        <w:rPr>
          <w:rFonts w:ascii="Times New Roman" w:hAnsi="Times New Roman"/>
          <w:sz w:val="28"/>
          <w:szCs w:val="28"/>
          <w:lang w:eastAsia="ar-SA"/>
        </w:rPr>
        <w:t>Р</w:t>
      </w:r>
      <w:r w:rsidRPr="00926062">
        <w:rPr>
          <w:rFonts w:ascii="Times New Roman" w:hAnsi="Times New Roman"/>
          <w:sz w:val="28"/>
          <w:szCs w:val="28"/>
          <w:lang w:eastAsia="ar-SA"/>
        </w:rPr>
        <w:t>аботают 12</w:t>
      </w:r>
      <w:r>
        <w:rPr>
          <w:rFonts w:ascii="Times New Roman" w:hAnsi="Times New Roman"/>
          <w:sz w:val="28"/>
          <w:szCs w:val="28"/>
          <w:lang w:eastAsia="ar-SA"/>
        </w:rPr>
        <w:t xml:space="preserve"> </w:t>
      </w:r>
      <w:r w:rsidRPr="00926062">
        <w:rPr>
          <w:rFonts w:ascii="Times New Roman" w:hAnsi="Times New Roman"/>
          <w:sz w:val="28"/>
          <w:szCs w:val="28"/>
          <w:lang w:eastAsia="ar-SA"/>
        </w:rPr>
        <w:t xml:space="preserve"> штатных  тренеров и 50 совместителей. В 12 сельских поселениях работают 6 инструкторов по спорту, проводят соревнования и готовят команды для участия в районных соревнованиях.</w:t>
      </w:r>
    </w:p>
    <w:p w:rsidR="00926062" w:rsidRDefault="00926062" w:rsidP="00926062">
      <w:pPr>
        <w:tabs>
          <w:tab w:val="left" w:pos="180"/>
          <w:tab w:val="left" w:pos="720"/>
          <w:tab w:val="left" w:pos="8364"/>
        </w:tabs>
        <w:suppressAutoHyphens/>
        <w:autoSpaceDE w:val="0"/>
        <w:snapToGrid w:val="0"/>
        <w:spacing w:after="0" w:line="240" w:lineRule="auto"/>
        <w:ind w:firstLine="709"/>
        <w:jc w:val="both"/>
        <w:rPr>
          <w:rFonts w:ascii="Times New Roman" w:hAnsi="Times New Roman"/>
          <w:sz w:val="28"/>
          <w:szCs w:val="28"/>
          <w:lang w:eastAsia="ar-SA"/>
        </w:rPr>
      </w:pPr>
      <w:r w:rsidRPr="00926062">
        <w:rPr>
          <w:rFonts w:ascii="Times New Roman" w:hAnsi="Times New Roman"/>
          <w:sz w:val="28"/>
          <w:szCs w:val="28"/>
          <w:lang w:eastAsia="ar-SA"/>
        </w:rPr>
        <w:t>В 2017 году состоялось</w:t>
      </w:r>
      <w:r>
        <w:rPr>
          <w:rFonts w:ascii="Times New Roman" w:hAnsi="Times New Roman"/>
          <w:sz w:val="28"/>
          <w:szCs w:val="28"/>
          <w:lang w:eastAsia="ar-SA"/>
        </w:rPr>
        <w:t xml:space="preserve"> открытие физкультурно-оздоровительного комплекса с бассейном «Батыр». Ежедневно оказываются услуги по развитию  плавания, силовых видов спорта, игровых видов спорта. На базе ФОК проводится районные и краевые соревнования по различным видам спорта.</w:t>
      </w:r>
    </w:p>
    <w:p w:rsidR="00926062" w:rsidRPr="00F964E9" w:rsidRDefault="00926062" w:rsidP="00926062">
      <w:pPr>
        <w:tabs>
          <w:tab w:val="left" w:pos="180"/>
          <w:tab w:val="left" w:pos="720"/>
          <w:tab w:val="left" w:pos="8364"/>
        </w:tabs>
        <w:suppressAutoHyphens/>
        <w:autoSpaceDE w:val="0"/>
        <w:snapToGrid w:val="0"/>
        <w:spacing w:after="0" w:line="240" w:lineRule="auto"/>
        <w:ind w:firstLine="709"/>
        <w:jc w:val="both"/>
        <w:rPr>
          <w:rFonts w:ascii="Times New Roman" w:hAnsi="Times New Roman"/>
          <w:b/>
          <w:kern w:val="1"/>
          <w:sz w:val="28"/>
          <w:szCs w:val="28"/>
        </w:rPr>
      </w:pPr>
      <w:r>
        <w:rPr>
          <w:rFonts w:ascii="Times New Roman" w:hAnsi="Times New Roman"/>
          <w:sz w:val="28"/>
          <w:szCs w:val="28"/>
          <w:lang w:eastAsia="ar-SA"/>
        </w:rPr>
        <w:t xml:space="preserve"> Ежегодно в Бардымском муниципальном районе проводится спартакиада района по 10 видам спорта, команда района ежегодно участвует в краевых сельских «Спортивных Играх», являются чемпионами и призерами в соревнованиях по гиревому спорту, настольному теннису, футболу и шахматам.</w:t>
      </w:r>
    </w:p>
    <w:p w:rsidR="00153E07" w:rsidRPr="00153E07" w:rsidRDefault="00153E07" w:rsidP="00822D2E">
      <w:pPr>
        <w:spacing w:line="240" w:lineRule="auto"/>
        <w:ind w:firstLine="709"/>
        <w:jc w:val="both"/>
        <w:rPr>
          <w:rFonts w:ascii="Times New Roman" w:hAnsi="Times New Roman" w:cs="Times New Roman"/>
          <w:bCs/>
          <w:sz w:val="28"/>
          <w:szCs w:val="28"/>
        </w:rPr>
      </w:pPr>
      <w:r w:rsidRPr="00153E07">
        <w:rPr>
          <w:rFonts w:ascii="Times New Roman" w:eastAsia="Times New Roman" w:hAnsi="Times New Roman" w:cs="Times New Roman"/>
          <w:sz w:val="28"/>
          <w:szCs w:val="28"/>
        </w:rPr>
        <w:t>На начало 2017</w:t>
      </w:r>
      <w:r w:rsidR="00926062">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xml:space="preserve">г. в районе функционировало 26 детских оздоровительных учреждений и лагерей. </w:t>
      </w:r>
      <w:r w:rsidRPr="00153E07">
        <w:rPr>
          <w:rFonts w:ascii="Times New Roman" w:hAnsi="Times New Roman" w:cs="Times New Roman"/>
          <w:bCs/>
          <w:sz w:val="28"/>
          <w:szCs w:val="28"/>
        </w:rPr>
        <w:t xml:space="preserve">Численность детей, отдохнувших в лагерях, представлена на рисунке 1.20. </w:t>
      </w:r>
    </w:p>
    <w:p w:rsidR="00153E07" w:rsidRPr="00153E07" w:rsidRDefault="00153E07" w:rsidP="00153E07">
      <w:pPr>
        <w:jc w:val="both"/>
        <w:rPr>
          <w:rFonts w:ascii="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6229350" cy="2743200"/>
            <wp:effectExtent l="0" t="0" r="0" b="0"/>
            <wp:docPr id="214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53E07" w:rsidRDefault="00153E07" w:rsidP="00822D2E">
      <w:pPr>
        <w:spacing w:after="160" w:line="240" w:lineRule="auto"/>
        <w:jc w:val="both"/>
        <w:rPr>
          <w:rFonts w:ascii="Times New Roman" w:hAnsi="Times New Roman" w:cs="Times New Roman"/>
          <w:b/>
          <w:bCs/>
          <w:sz w:val="28"/>
          <w:szCs w:val="28"/>
        </w:rPr>
      </w:pPr>
      <w:r w:rsidRPr="005E128E">
        <w:rPr>
          <w:rFonts w:ascii="Times New Roman" w:hAnsi="Times New Roman" w:cs="Times New Roman"/>
          <w:b/>
          <w:sz w:val="28"/>
          <w:szCs w:val="28"/>
        </w:rPr>
        <w:t xml:space="preserve">Рисунок 1.20. </w:t>
      </w:r>
      <w:r w:rsidRPr="005E128E">
        <w:rPr>
          <w:rFonts w:ascii="Times New Roman" w:hAnsi="Times New Roman" w:cs="Times New Roman"/>
          <w:b/>
          <w:bCs/>
          <w:sz w:val="28"/>
          <w:szCs w:val="28"/>
        </w:rPr>
        <w:t>Численность детей, отдохнувших в лагерях, чел.</w:t>
      </w:r>
    </w:p>
    <w:p w:rsidR="00822D2E" w:rsidRDefault="00822D2E" w:rsidP="00822D2E">
      <w:pPr>
        <w:pStyle w:val="1"/>
        <w:spacing w:line="240" w:lineRule="auto"/>
      </w:pPr>
    </w:p>
    <w:p w:rsidR="00153E07" w:rsidRPr="00153E07" w:rsidRDefault="00153E07" w:rsidP="00822D2E">
      <w:pPr>
        <w:pStyle w:val="1"/>
        <w:spacing w:line="240" w:lineRule="auto"/>
      </w:pPr>
      <w:r w:rsidRPr="00153E07">
        <w:t>1.2.5 Социальная защита населения</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Структурный анализ показал, что доля граждан пожилого возраста в общей численности населения района составляет 25,6%.</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Численность пенсионеров с каждым годом возрастает, динамика представлена на рисунке 22. За 6 лет прирост численности граждан старше пенсионного возраста составил 34,2%.</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153E07">
      <w:pPr>
        <w:spacing w:after="160" w:line="256"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267450" cy="2733675"/>
            <wp:effectExtent l="0" t="0" r="0" b="0"/>
            <wp:docPr id="2144"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53E07" w:rsidRPr="005E128E" w:rsidRDefault="00153E07" w:rsidP="00822D2E">
      <w:pPr>
        <w:spacing w:after="160" w:line="240" w:lineRule="auto"/>
        <w:jc w:val="both"/>
        <w:rPr>
          <w:rFonts w:ascii="Times New Roman" w:hAnsi="Times New Roman" w:cs="Times New Roman"/>
          <w:b/>
          <w:bCs/>
          <w:sz w:val="28"/>
          <w:szCs w:val="28"/>
        </w:rPr>
      </w:pPr>
      <w:r w:rsidRPr="005E128E">
        <w:rPr>
          <w:rFonts w:ascii="Times New Roman" w:hAnsi="Times New Roman" w:cs="Times New Roman"/>
          <w:b/>
          <w:sz w:val="28"/>
          <w:szCs w:val="28"/>
        </w:rPr>
        <w:t xml:space="preserve">Рисунок 1.22. </w:t>
      </w:r>
      <w:r w:rsidRPr="005E128E">
        <w:rPr>
          <w:rFonts w:ascii="Times New Roman" w:hAnsi="Times New Roman" w:cs="Times New Roman"/>
          <w:b/>
          <w:bCs/>
          <w:sz w:val="28"/>
          <w:szCs w:val="28"/>
        </w:rPr>
        <w:t>Численность пенсионеров, человек</w:t>
      </w:r>
    </w:p>
    <w:p w:rsidR="00443EEA" w:rsidRDefault="00443EEA"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Анализ уровня финансового благосостояния граждан пенсионного возраста показал, что на 1 января 2017 года средний размер пенсий составил 10456 рублей 96 копеек, индексация за 6 лет составила 19,9%, что ниже среднегодового уровня инфляции за анализируемый период времени. </w:t>
      </w:r>
    </w:p>
    <w:p w:rsidR="00153E07" w:rsidRPr="00153E07" w:rsidRDefault="00153E07" w:rsidP="00153E07">
      <w:pPr>
        <w:spacing w:after="0"/>
        <w:jc w:val="both"/>
        <w:rPr>
          <w:rFonts w:ascii="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6267450" cy="2686050"/>
            <wp:effectExtent l="0" t="0" r="0" b="0"/>
            <wp:docPr id="2145"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53E07" w:rsidRPr="005E128E" w:rsidRDefault="00153E07" w:rsidP="00822D2E">
      <w:pPr>
        <w:spacing w:after="160" w:line="240" w:lineRule="auto"/>
        <w:jc w:val="both"/>
        <w:rPr>
          <w:rFonts w:ascii="Times New Roman" w:hAnsi="Times New Roman" w:cs="Times New Roman"/>
          <w:b/>
          <w:bCs/>
          <w:sz w:val="28"/>
          <w:szCs w:val="28"/>
        </w:rPr>
      </w:pPr>
      <w:r w:rsidRPr="005E128E">
        <w:rPr>
          <w:rFonts w:ascii="Times New Roman" w:hAnsi="Times New Roman" w:cs="Times New Roman"/>
          <w:b/>
          <w:sz w:val="28"/>
          <w:szCs w:val="28"/>
        </w:rPr>
        <w:t xml:space="preserve">Рисунок 1.23. </w:t>
      </w:r>
      <w:r w:rsidRPr="005E128E">
        <w:rPr>
          <w:rFonts w:ascii="Times New Roman" w:hAnsi="Times New Roman" w:cs="Times New Roman"/>
          <w:b/>
          <w:bCs/>
          <w:sz w:val="28"/>
          <w:szCs w:val="28"/>
        </w:rPr>
        <w:t>Средний размер месячных пенсий на конец года, руб.</w:t>
      </w:r>
    </w:p>
    <w:p w:rsidR="00153E07" w:rsidRPr="00153E07" w:rsidRDefault="00153E07" w:rsidP="00153E07">
      <w:pPr>
        <w:spacing w:after="160" w:line="256" w:lineRule="auto"/>
        <w:jc w:val="both"/>
        <w:rPr>
          <w:rFonts w:ascii="Times New Roman" w:hAnsi="Times New Roman" w:cs="Times New Roman"/>
          <w:bCs/>
          <w:sz w:val="28"/>
          <w:szCs w:val="28"/>
        </w:rPr>
      </w:pPr>
      <w:r w:rsidRPr="00153E07">
        <w:rPr>
          <w:rFonts w:ascii="Times New Roman" w:hAnsi="Times New Roman" w:cs="Times New Roman"/>
          <w:bCs/>
          <w:noProof/>
          <w:sz w:val="28"/>
          <w:szCs w:val="28"/>
        </w:rPr>
        <w:drawing>
          <wp:inline distT="0" distB="0" distL="0" distR="0">
            <wp:extent cx="6124575" cy="3040380"/>
            <wp:effectExtent l="0" t="0" r="0" b="0"/>
            <wp:docPr id="214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53E07" w:rsidRPr="005E128E" w:rsidRDefault="00153E07" w:rsidP="00822D2E">
      <w:pPr>
        <w:spacing w:after="160" w:line="240" w:lineRule="auto"/>
        <w:jc w:val="both"/>
        <w:rPr>
          <w:rFonts w:ascii="Times New Roman" w:hAnsi="Times New Roman" w:cs="Times New Roman"/>
          <w:b/>
          <w:bCs/>
          <w:sz w:val="28"/>
          <w:szCs w:val="28"/>
        </w:rPr>
      </w:pPr>
      <w:r w:rsidRPr="005E128E">
        <w:rPr>
          <w:rFonts w:ascii="Times New Roman" w:hAnsi="Times New Roman" w:cs="Times New Roman"/>
          <w:b/>
          <w:bCs/>
          <w:sz w:val="28"/>
          <w:szCs w:val="28"/>
        </w:rPr>
        <w:t>Рисунок 1.24. Демографическая нагрузка в Бардымском муниципальном районе</w:t>
      </w:r>
    </w:p>
    <w:p w:rsidR="004878A9" w:rsidRDefault="004878A9"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Отношение числа пенсионеров к числу трудоспособного населения с каждым годом становится больше, что говорит о росте демографической нагрузки. Таким образом, наблюдается неутешительная тенденция старения населения в Бардымском районе.</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Число семей, которые состоят на учете, как нуждающиеся в жилых помещениях уменьшается с каждым годом в среднем на 2-3 семьи. В начале 2017г. было зафиксировано 320 семей, что на 20 семей меньше, по сравнению с 01.01.2011 г.</w:t>
      </w:r>
    </w:p>
    <w:p w:rsidR="00153E07" w:rsidRPr="00153E07" w:rsidRDefault="00153E07" w:rsidP="00153E07">
      <w:pPr>
        <w:pStyle w:val="af1"/>
        <w:spacing w:after="160" w:line="256" w:lineRule="auto"/>
        <w:jc w:val="both"/>
        <w:rPr>
          <w:rFonts w:ascii="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5781675" cy="2752725"/>
            <wp:effectExtent l="0" t="0" r="0" b="0"/>
            <wp:docPr id="2147"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53E07" w:rsidRPr="005E128E" w:rsidRDefault="00153E07" w:rsidP="00822D2E">
      <w:pPr>
        <w:spacing w:after="160" w:line="240" w:lineRule="auto"/>
        <w:jc w:val="both"/>
        <w:rPr>
          <w:rFonts w:ascii="Times New Roman" w:hAnsi="Times New Roman" w:cs="Times New Roman"/>
          <w:b/>
          <w:bCs/>
          <w:sz w:val="28"/>
          <w:szCs w:val="28"/>
        </w:rPr>
      </w:pPr>
      <w:r w:rsidRPr="005E128E">
        <w:rPr>
          <w:rFonts w:ascii="Times New Roman" w:hAnsi="Times New Roman" w:cs="Times New Roman"/>
          <w:b/>
          <w:sz w:val="28"/>
          <w:szCs w:val="28"/>
        </w:rPr>
        <w:t xml:space="preserve">Рисунок 1.25. </w:t>
      </w:r>
      <w:r w:rsidRPr="005E128E">
        <w:rPr>
          <w:rFonts w:ascii="Times New Roman" w:hAnsi="Times New Roman" w:cs="Times New Roman"/>
          <w:b/>
          <w:bCs/>
          <w:sz w:val="28"/>
          <w:szCs w:val="28"/>
        </w:rPr>
        <w:t>Число семей, стоящих на учете, как нуждающихся в жилых помещениях, единиц</w:t>
      </w:r>
    </w:p>
    <w:p w:rsidR="00DC026A" w:rsidRDefault="00DC026A" w:rsidP="00822D2E">
      <w:pPr>
        <w:pStyle w:val="1"/>
        <w:spacing w:line="240" w:lineRule="auto"/>
      </w:pPr>
    </w:p>
    <w:p w:rsidR="00153E07" w:rsidRPr="00153E07" w:rsidRDefault="00B51625" w:rsidP="00822D2E">
      <w:pPr>
        <w:pStyle w:val="1"/>
        <w:spacing w:line="240" w:lineRule="auto"/>
      </w:pPr>
      <w:r w:rsidRPr="00333885">
        <w:tab/>
      </w:r>
      <w:r w:rsidRPr="00333885">
        <w:tab/>
      </w:r>
      <w:r w:rsidR="00153E07" w:rsidRPr="00153E07">
        <w:t>1.2.6 Общественная безопасность</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Пик количества зарегистрированных преступлений на 10000 человек населения Бардымского района приходился на 2012 и 2015 годы, в эти годы было зарегистрировано 190 и 196 преступлений соответственно. </w:t>
      </w:r>
    </w:p>
    <w:p w:rsidR="00153E07" w:rsidRPr="00153E07" w:rsidRDefault="00153E07" w:rsidP="00153E07">
      <w:pPr>
        <w:pStyle w:val="af1"/>
        <w:spacing w:after="160" w:line="256"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781675" cy="2466975"/>
            <wp:effectExtent l="0" t="0" r="0" b="0"/>
            <wp:docPr id="2148"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53E07" w:rsidRPr="005E128E" w:rsidRDefault="00153E07" w:rsidP="00822D2E">
      <w:pPr>
        <w:spacing w:after="160" w:line="240" w:lineRule="auto"/>
        <w:jc w:val="both"/>
        <w:rPr>
          <w:rFonts w:ascii="Times New Roman" w:hAnsi="Times New Roman" w:cs="Times New Roman"/>
          <w:b/>
          <w:bCs/>
          <w:sz w:val="28"/>
          <w:szCs w:val="28"/>
        </w:rPr>
      </w:pPr>
      <w:r w:rsidRPr="005E128E">
        <w:rPr>
          <w:rFonts w:ascii="Times New Roman" w:hAnsi="Times New Roman" w:cs="Times New Roman"/>
          <w:b/>
          <w:sz w:val="28"/>
          <w:szCs w:val="28"/>
        </w:rPr>
        <w:t xml:space="preserve">Рисунок 1.26. </w:t>
      </w:r>
      <w:r w:rsidRPr="005E128E">
        <w:rPr>
          <w:rFonts w:ascii="Times New Roman" w:hAnsi="Times New Roman" w:cs="Times New Roman"/>
          <w:b/>
          <w:bCs/>
          <w:sz w:val="28"/>
          <w:szCs w:val="28"/>
        </w:rPr>
        <w:t>Количество зарегистрированных преступлений на 10000 чел. населения, ед.</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рисунке 1.27 представлены показатели детской преступности в Бардымском муниципальном районе.</w:t>
      </w:r>
    </w:p>
    <w:p w:rsidR="00153E07" w:rsidRPr="00153E07" w:rsidRDefault="00153E07" w:rsidP="00153E07">
      <w:pPr>
        <w:pStyle w:val="af1"/>
        <w:spacing w:after="160" w:line="256" w:lineRule="auto"/>
        <w:jc w:val="both"/>
        <w:rPr>
          <w:rFonts w:ascii="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5781675" cy="3171825"/>
            <wp:effectExtent l="0" t="0" r="0" b="0"/>
            <wp:docPr id="2149"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53E07" w:rsidRPr="005E128E" w:rsidRDefault="00153E07" w:rsidP="00822D2E">
      <w:pPr>
        <w:spacing w:after="160" w:line="240" w:lineRule="auto"/>
        <w:jc w:val="both"/>
        <w:rPr>
          <w:rFonts w:ascii="Times New Roman" w:hAnsi="Times New Roman" w:cs="Times New Roman"/>
          <w:b/>
          <w:bCs/>
          <w:sz w:val="28"/>
          <w:szCs w:val="28"/>
        </w:rPr>
      </w:pPr>
      <w:r w:rsidRPr="005E128E">
        <w:rPr>
          <w:rFonts w:ascii="Times New Roman" w:hAnsi="Times New Roman" w:cs="Times New Roman"/>
          <w:b/>
          <w:bCs/>
          <w:sz w:val="28"/>
          <w:szCs w:val="28"/>
        </w:rPr>
        <w:t>Рисунок 1.27. Детская преступность, кол-во зарегистрированных преступлений совершенных несовершеннолетними на 10000 человек населения, ед.</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Самое большое количество зарегистрированных преступлений, совершенных несовершеннолетними на 10000 человек населения было зафиксировано по итогам 2015 года, и составляло 6,1 единиц.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Учитывая скачкообразную динамику данного показателя, был проведен корреляционный анализ для выявления наличия взаимосвязи между детской преступностью и количеством мест проведения культурного и спортивного досуга несовершеннолетних жителей района.</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Корреляционный анализ показал зависимост</w:t>
      </w:r>
      <w:r w:rsidR="009D0B85">
        <w:rPr>
          <w:rFonts w:ascii="Times New Roman" w:eastAsia="Times New Roman" w:hAnsi="Times New Roman" w:cs="Times New Roman"/>
          <w:sz w:val="28"/>
          <w:szCs w:val="28"/>
        </w:rPr>
        <w:t>ь</w:t>
      </w:r>
      <w:r w:rsidRPr="00153E07">
        <w:rPr>
          <w:rFonts w:ascii="Times New Roman" w:eastAsia="Times New Roman" w:hAnsi="Times New Roman" w:cs="Times New Roman"/>
          <w:sz w:val="28"/>
          <w:szCs w:val="28"/>
        </w:rPr>
        <w:t xml:space="preserve"> между такими показателями как детская преступность и количество спортивных объектов. </w:t>
      </w:r>
      <w:r w:rsidR="00BE7256">
        <w:rPr>
          <w:rFonts w:ascii="Times New Roman" w:eastAsia="Times New Roman" w:hAnsi="Times New Roman" w:cs="Times New Roman"/>
          <w:sz w:val="28"/>
          <w:szCs w:val="28"/>
        </w:rPr>
        <w:t xml:space="preserve">Имеется </w:t>
      </w:r>
      <w:r w:rsidRPr="00153E07">
        <w:rPr>
          <w:rFonts w:ascii="Times New Roman" w:eastAsia="Times New Roman" w:hAnsi="Times New Roman" w:cs="Times New Roman"/>
          <w:sz w:val="28"/>
          <w:szCs w:val="28"/>
        </w:rPr>
        <w:t xml:space="preserve"> синергетический эффект от количества введенных спортивных объектов, популяризации спорта, появление разнообразных видов спорта, </w:t>
      </w:r>
      <w:r w:rsidR="00BE7256">
        <w:rPr>
          <w:rFonts w:ascii="Times New Roman" w:eastAsia="Times New Roman" w:hAnsi="Times New Roman" w:cs="Times New Roman"/>
          <w:sz w:val="28"/>
          <w:szCs w:val="28"/>
        </w:rPr>
        <w:t xml:space="preserve">который оказывает </w:t>
      </w:r>
      <w:r w:rsidRPr="00153E07">
        <w:rPr>
          <w:rFonts w:ascii="Times New Roman" w:eastAsia="Times New Roman" w:hAnsi="Times New Roman" w:cs="Times New Roman"/>
          <w:sz w:val="28"/>
          <w:szCs w:val="28"/>
        </w:rPr>
        <w:t>существенное влияние на</w:t>
      </w:r>
      <w:r w:rsidR="00BE7256">
        <w:rPr>
          <w:rFonts w:ascii="Times New Roman" w:eastAsia="Times New Roman" w:hAnsi="Times New Roman" w:cs="Times New Roman"/>
          <w:sz w:val="28"/>
          <w:szCs w:val="28"/>
        </w:rPr>
        <w:t xml:space="preserve"> снижение</w:t>
      </w:r>
      <w:r w:rsidRPr="00153E07">
        <w:rPr>
          <w:rFonts w:ascii="Times New Roman" w:eastAsia="Times New Roman" w:hAnsi="Times New Roman" w:cs="Times New Roman"/>
          <w:sz w:val="28"/>
          <w:szCs w:val="28"/>
        </w:rPr>
        <w:t xml:space="preserve"> уров</w:t>
      </w:r>
      <w:r w:rsidR="00BE7256">
        <w:rPr>
          <w:rFonts w:ascii="Times New Roman" w:eastAsia="Times New Roman" w:hAnsi="Times New Roman" w:cs="Times New Roman"/>
          <w:sz w:val="28"/>
          <w:szCs w:val="28"/>
        </w:rPr>
        <w:t xml:space="preserve">ня </w:t>
      </w:r>
      <w:r w:rsidRPr="00153E07">
        <w:rPr>
          <w:rFonts w:ascii="Times New Roman" w:eastAsia="Times New Roman" w:hAnsi="Times New Roman" w:cs="Times New Roman"/>
          <w:sz w:val="28"/>
          <w:szCs w:val="28"/>
        </w:rPr>
        <w:t>преступности.</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то же время наблюдается обратно пропорциональное влияние количества посадочных мест (вместимости) в клубах, домах культуры, а также библиотечного фонда на уровень детской и общей преступности. Таким образом, сокращение вместимости объектов культуры оказывает заметное влияние на рост преступности в районе.</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территории Бардымского района функционирует филиал Краевого политехнического колледжа. Одной из проблем является отсутствие у колледжа общежития для студентов. Иногородние студенты вынуждены арендовать частное жилье, и проводить свободное время без надзора со стороны взрослых. Отсутствие контроля и надзора со стороны родителей и педагогического персонала, наличие свободного времени при несформированном здоровом образе жизни приводит к приобщению молодёжи к асоциальному образу жизни и косвенному росту преступности.</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В целом по детской преступности динамика неутешительна, так как наблюдается тенденция ее роста, что говорит о необходимости строительства и вводу дополнительных спортивных и культурных объектов, общежития для Краевого политехнического колледжа, увеличении библиотечного фонда, популяризации культуры, искусства и здорового образа жизни среди молодёжи.</w:t>
      </w: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4878A9" w:rsidRPr="00153E07" w:rsidRDefault="004878A9" w:rsidP="00822D2E">
      <w:pPr>
        <w:pStyle w:val="1"/>
        <w:spacing w:line="240" w:lineRule="auto"/>
      </w:pPr>
      <w:r w:rsidRPr="00153E07">
        <w:t>1.2.7 Инфраструктурная сфера. Транспортная инфраструктура.</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протяжении последних 6 лет протяженность дорог общего пользования местного значения неуклонно растет.</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Доля автодорог общего пользования местного значения, которая не отвечает нормативным требованиям, постепенно сокращается. На начало 2017 года доля автодорог общего пользования местного значения, которая не отвечает нормативным требованиям, составила 27,4%, что на 41,48% меньше, по сравнению с 2010 годом. </w:t>
      </w:r>
    </w:p>
    <w:p w:rsidR="004878A9" w:rsidRPr="00153E07" w:rsidRDefault="004878A9" w:rsidP="004878A9">
      <w:pPr>
        <w:spacing w:after="0"/>
        <w:ind w:firstLine="709"/>
        <w:jc w:val="both"/>
        <w:rPr>
          <w:rFonts w:ascii="Times New Roman" w:eastAsia="Times New Roman" w:hAnsi="Times New Roman" w:cs="Times New Roman"/>
          <w:sz w:val="28"/>
          <w:szCs w:val="28"/>
        </w:rPr>
      </w:pPr>
    </w:p>
    <w:p w:rsidR="004878A9" w:rsidRPr="00153E07" w:rsidRDefault="004878A9" w:rsidP="004878A9">
      <w:pPr>
        <w:pStyle w:val="af1"/>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791200" cy="2743200"/>
            <wp:effectExtent l="0" t="0" r="0" b="0"/>
            <wp:docPr id="27"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878A9" w:rsidRPr="00BA103D" w:rsidRDefault="004878A9" w:rsidP="00822D2E">
      <w:pPr>
        <w:spacing w:after="0" w:line="240" w:lineRule="auto"/>
        <w:jc w:val="both"/>
        <w:rPr>
          <w:rFonts w:ascii="Times New Roman" w:eastAsia="Times New Roman" w:hAnsi="Times New Roman" w:cs="Times New Roman"/>
          <w:b/>
          <w:sz w:val="28"/>
          <w:szCs w:val="28"/>
        </w:rPr>
      </w:pPr>
      <w:r w:rsidRPr="00BA103D">
        <w:rPr>
          <w:rFonts w:ascii="Times New Roman" w:eastAsia="Times New Roman" w:hAnsi="Times New Roman" w:cs="Times New Roman"/>
          <w:b/>
          <w:sz w:val="28"/>
          <w:szCs w:val="28"/>
        </w:rPr>
        <w:t>Рисунок 1.28. Доля автодорог общего пользования местного значения, не отвечающих нормативным требованиям, %</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Доля освещенных сельских улиц</w:t>
      </w:r>
      <w:r>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в Бардымском районе в 2016 году составила 73%. Значительное изменение было отмечено в 2015 г., рост на 7,8%, в последующие годы темпы работ по освещению улиц были невысоки.</w:t>
      </w:r>
    </w:p>
    <w:p w:rsidR="004878A9" w:rsidRPr="00153E07" w:rsidRDefault="004878A9" w:rsidP="004878A9">
      <w:pPr>
        <w:pStyle w:val="af1"/>
        <w:jc w:val="both"/>
        <w:rPr>
          <w:rFonts w:ascii="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5772150" cy="2743200"/>
            <wp:effectExtent l="19050" t="0" r="19050" b="0"/>
            <wp:docPr id="28"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878A9" w:rsidRDefault="004878A9" w:rsidP="00822D2E">
      <w:pPr>
        <w:spacing w:line="240" w:lineRule="auto"/>
        <w:jc w:val="both"/>
        <w:rPr>
          <w:rFonts w:ascii="Times New Roman" w:hAnsi="Times New Roman" w:cs="Times New Roman"/>
          <w:b/>
          <w:sz w:val="28"/>
          <w:szCs w:val="28"/>
        </w:rPr>
      </w:pPr>
      <w:r>
        <w:rPr>
          <w:rFonts w:ascii="Times New Roman" w:hAnsi="Times New Roman" w:cs="Times New Roman"/>
          <w:b/>
          <w:sz w:val="28"/>
          <w:szCs w:val="28"/>
        </w:rPr>
        <w:t>Рисунок 1.29</w:t>
      </w:r>
      <w:r w:rsidRPr="00BA103D">
        <w:rPr>
          <w:rFonts w:ascii="Times New Roman" w:hAnsi="Times New Roman" w:cs="Times New Roman"/>
          <w:b/>
          <w:sz w:val="28"/>
          <w:szCs w:val="28"/>
        </w:rPr>
        <w:t>. Доля освещенных улиц %</w:t>
      </w:r>
    </w:p>
    <w:p w:rsidR="004878A9" w:rsidRDefault="004878A9" w:rsidP="00822D2E">
      <w:pPr>
        <w:pStyle w:val="1"/>
        <w:spacing w:line="240" w:lineRule="auto"/>
      </w:pPr>
      <w:r w:rsidRPr="00153E07">
        <w:t>1.2.8 Градостроительство. Инженерная инфраструктура</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Совокупность всех жилых помещений, находящихся на территории Бардымского муниципального района с каждым годом растет. Так на 01.01.2011 год жилищный фонд составлял 624,8 тысяч квадратных метров, а уже на 01.01.2017 год он составлял 681,3 тысячи квадратных метров.</w:t>
      </w:r>
    </w:p>
    <w:p w:rsidR="004878A9" w:rsidRPr="00153E07" w:rsidRDefault="004878A9" w:rsidP="004878A9">
      <w:pPr>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248400" cy="2371725"/>
            <wp:effectExtent l="0" t="0" r="0" b="0"/>
            <wp:docPr id="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878A9" w:rsidRPr="00BA103D" w:rsidRDefault="004878A9" w:rsidP="00822D2E">
      <w:pPr>
        <w:spacing w:line="240" w:lineRule="auto"/>
        <w:jc w:val="both"/>
        <w:rPr>
          <w:rFonts w:ascii="Times New Roman" w:eastAsiaTheme="minorHAnsi" w:hAnsi="Times New Roman" w:cs="Times New Roman"/>
          <w:b/>
          <w:sz w:val="28"/>
          <w:szCs w:val="28"/>
          <w:lang w:eastAsia="en-US"/>
        </w:rPr>
      </w:pPr>
      <w:r w:rsidRPr="00BA103D">
        <w:rPr>
          <w:rFonts w:ascii="Times New Roman" w:hAnsi="Times New Roman" w:cs="Times New Roman"/>
          <w:b/>
          <w:sz w:val="28"/>
          <w:szCs w:val="28"/>
        </w:rPr>
        <w:t xml:space="preserve">Рисунок 1.30. </w:t>
      </w:r>
      <w:r w:rsidRPr="00BA103D">
        <w:rPr>
          <w:rFonts w:ascii="Times New Roman" w:eastAsiaTheme="minorHAnsi" w:hAnsi="Times New Roman" w:cs="Times New Roman"/>
          <w:b/>
          <w:sz w:val="28"/>
          <w:szCs w:val="28"/>
          <w:lang w:eastAsia="en-US"/>
        </w:rPr>
        <w:t>Жилищный фонд, тыс. кв. метров</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Площадь жилых помещений в аварийных домах, находящихся в общей площади жилищного фонда района, в период с 01.01.2011-01.01.2017 года не превышала 1,23%. В 2016 году была зафиксирована самая маленькая доля аварийного жилья -  0,3%.</w:t>
      </w:r>
    </w:p>
    <w:p w:rsidR="004878A9" w:rsidRPr="00153E07" w:rsidRDefault="004878A9" w:rsidP="004878A9">
      <w:pPr>
        <w:pStyle w:val="af1"/>
        <w:jc w:val="both"/>
        <w:rPr>
          <w:rFonts w:ascii="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5791200" cy="2657475"/>
            <wp:effectExtent l="0" t="0" r="0" b="0"/>
            <wp:docPr id="3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878A9" w:rsidRPr="00BA103D" w:rsidRDefault="004878A9" w:rsidP="00822D2E">
      <w:pPr>
        <w:spacing w:line="240" w:lineRule="auto"/>
        <w:jc w:val="both"/>
        <w:rPr>
          <w:rFonts w:ascii="Times New Roman" w:eastAsiaTheme="minorHAnsi" w:hAnsi="Times New Roman" w:cs="Times New Roman"/>
          <w:b/>
          <w:sz w:val="28"/>
          <w:szCs w:val="28"/>
          <w:lang w:eastAsia="en-US"/>
        </w:rPr>
      </w:pPr>
      <w:r w:rsidRPr="00BA103D">
        <w:rPr>
          <w:rFonts w:ascii="Times New Roman" w:hAnsi="Times New Roman" w:cs="Times New Roman"/>
          <w:b/>
          <w:sz w:val="28"/>
          <w:szCs w:val="28"/>
        </w:rPr>
        <w:t xml:space="preserve">Рисунок 1.31. </w:t>
      </w:r>
      <w:r w:rsidRPr="00BA103D">
        <w:rPr>
          <w:rFonts w:ascii="Times New Roman" w:eastAsiaTheme="minorHAnsi" w:hAnsi="Times New Roman" w:cs="Times New Roman"/>
          <w:b/>
          <w:sz w:val="28"/>
          <w:szCs w:val="28"/>
          <w:lang w:eastAsia="en-US"/>
        </w:rPr>
        <w:t>Площадь жилых помещений в аварийных домах в общей площади жилищного фонда, %</w:t>
      </w:r>
    </w:p>
    <w:p w:rsidR="004878A9" w:rsidRPr="00153E07" w:rsidRDefault="004878A9" w:rsidP="004878A9">
      <w:pPr>
        <w:spacing w:after="160" w:line="259"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191250" cy="2743200"/>
            <wp:effectExtent l="0" t="0" r="0" b="0"/>
            <wp:docPr id="3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878A9" w:rsidRPr="00BA103D" w:rsidRDefault="004878A9" w:rsidP="00822D2E">
      <w:pPr>
        <w:spacing w:line="240" w:lineRule="auto"/>
        <w:jc w:val="both"/>
        <w:rPr>
          <w:rFonts w:ascii="Times New Roman" w:hAnsi="Times New Roman" w:cs="Times New Roman"/>
          <w:b/>
          <w:sz w:val="28"/>
          <w:szCs w:val="28"/>
          <w:lang w:eastAsia="en-US"/>
        </w:rPr>
      </w:pPr>
      <w:r>
        <w:rPr>
          <w:rFonts w:ascii="Times New Roman" w:hAnsi="Times New Roman" w:cs="Times New Roman"/>
          <w:b/>
          <w:sz w:val="28"/>
          <w:szCs w:val="28"/>
          <w:lang w:eastAsia="en-US"/>
        </w:rPr>
        <w:t>Рисунок 1.32</w:t>
      </w:r>
      <w:r w:rsidRPr="00BA103D">
        <w:rPr>
          <w:rFonts w:ascii="Times New Roman" w:hAnsi="Times New Roman" w:cs="Times New Roman"/>
          <w:b/>
          <w:sz w:val="28"/>
          <w:szCs w:val="28"/>
          <w:lang w:eastAsia="en-US"/>
        </w:rPr>
        <w:t>. Общая площадь жилых помещений в расчете на одного жителя, кв. м.</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Необходимо отдельно отметить муниципальный фонд. Так, 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составляют 18%. При этом наиболее остро стоит вопрос по ремонту Мостовинского, 1 Красноярского сельских клубов, Новоашапского, Бичуринского, Тюндюковского, Ишимовского сельских Домов культуры. </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Существует проблема обеспеченности учреждений культуры и спорта специальным оборудованием для маломобильных групп населения, инвалидов по слуху, зрению, опорно-двигательному аппарату. Доля доступных для </w:t>
      </w:r>
      <w:r w:rsidRPr="00153E07">
        <w:rPr>
          <w:rFonts w:ascii="Times New Roman" w:eastAsia="Times New Roman" w:hAnsi="Times New Roman" w:cs="Times New Roman"/>
          <w:sz w:val="28"/>
          <w:szCs w:val="28"/>
        </w:rPr>
        <w:lastRenderedPageBreak/>
        <w:t>маломобильных групп населения объектов культуры от общего объектов культуры на территории Бардымского муниципального района составляет 52,08%.</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Общая площадь жилых помещений в расчете на одного жителя с каждым годом показывает положительную динамику. Так, на 01.01.2011 года она составляла 24,4 квадратных метров, на 01.01.2017 год - 26,9</w:t>
      </w:r>
      <w:r>
        <w:rPr>
          <w:rFonts w:ascii="Times New Roman" w:eastAsia="Times New Roman" w:hAnsi="Times New Roman" w:cs="Times New Roman"/>
          <w:sz w:val="28"/>
          <w:szCs w:val="28"/>
        </w:rPr>
        <w:t xml:space="preserve"> квадратных метра</w:t>
      </w:r>
      <w:r w:rsidRPr="00153E07">
        <w:rPr>
          <w:rFonts w:ascii="Times New Roman" w:eastAsia="Times New Roman" w:hAnsi="Times New Roman" w:cs="Times New Roman"/>
          <w:sz w:val="28"/>
          <w:szCs w:val="28"/>
        </w:rPr>
        <w:t>.</w:t>
      </w:r>
    </w:p>
    <w:p w:rsidR="004878A9" w:rsidRPr="00153E07" w:rsidRDefault="004878A9" w:rsidP="004878A9">
      <w:pPr>
        <w:spacing w:after="160" w:line="259"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191250" cy="2114550"/>
            <wp:effectExtent l="0" t="0" r="0" b="0"/>
            <wp:docPr id="6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878A9" w:rsidRPr="009E6C4D" w:rsidRDefault="004878A9" w:rsidP="00822D2E">
      <w:pPr>
        <w:spacing w:line="240" w:lineRule="auto"/>
        <w:jc w:val="both"/>
        <w:rPr>
          <w:rFonts w:ascii="Times New Roman" w:eastAsiaTheme="minorHAnsi" w:hAnsi="Times New Roman" w:cs="Times New Roman"/>
          <w:b/>
          <w:sz w:val="28"/>
          <w:szCs w:val="28"/>
        </w:rPr>
      </w:pPr>
      <w:r w:rsidRPr="009E6C4D">
        <w:rPr>
          <w:rFonts w:ascii="Times New Roman" w:hAnsi="Times New Roman" w:cs="Times New Roman"/>
          <w:b/>
          <w:sz w:val="28"/>
          <w:szCs w:val="28"/>
          <w:lang w:eastAsia="en-US"/>
        </w:rPr>
        <w:t xml:space="preserve">Рисунок 1.33. </w:t>
      </w:r>
      <w:r w:rsidRPr="009E6C4D">
        <w:rPr>
          <w:rFonts w:ascii="Times New Roman" w:eastAsiaTheme="minorHAnsi" w:hAnsi="Times New Roman" w:cs="Times New Roman"/>
          <w:b/>
          <w:sz w:val="28"/>
          <w:szCs w:val="28"/>
        </w:rPr>
        <w:t>Количество негазифицированных населенных пунктов, единиц</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газификации района показал, что на протяжении последних лет наблюдается постепенное сокращение количества негазифицированных населенных пунктов, если на начало 2011 г. их число насчитывало 50, то к концу 2016 снизилось до 45 населенных пунктов.</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Обеспечение жилого фонда сетевым газом в анализируемом периоде времени составляет 42%.</w:t>
      </w:r>
    </w:p>
    <w:p w:rsidR="004878A9" w:rsidRPr="00153E07" w:rsidRDefault="004878A9" w:rsidP="004878A9">
      <w:pPr>
        <w:pStyle w:val="af1"/>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800725" cy="2743200"/>
            <wp:effectExtent l="0" t="0" r="0" b="0"/>
            <wp:docPr id="6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878A9" w:rsidRPr="009E6C4D" w:rsidRDefault="004878A9" w:rsidP="00822D2E">
      <w:pPr>
        <w:spacing w:line="240" w:lineRule="auto"/>
        <w:jc w:val="both"/>
        <w:rPr>
          <w:rFonts w:ascii="Times New Roman" w:eastAsiaTheme="minorHAnsi" w:hAnsi="Times New Roman" w:cs="Times New Roman"/>
          <w:b/>
          <w:sz w:val="28"/>
          <w:szCs w:val="28"/>
        </w:rPr>
      </w:pPr>
      <w:r w:rsidRPr="009E6C4D">
        <w:rPr>
          <w:rFonts w:ascii="Times New Roman" w:hAnsi="Times New Roman" w:cs="Times New Roman"/>
          <w:b/>
          <w:sz w:val="28"/>
          <w:szCs w:val="28"/>
          <w:lang w:eastAsia="en-US"/>
        </w:rPr>
        <w:t>Рисунок 1.3</w:t>
      </w:r>
      <w:r>
        <w:rPr>
          <w:rFonts w:ascii="Times New Roman" w:hAnsi="Times New Roman" w:cs="Times New Roman"/>
          <w:b/>
          <w:sz w:val="28"/>
          <w:szCs w:val="28"/>
          <w:lang w:eastAsia="en-US"/>
        </w:rPr>
        <w:t>4</w:t>
      </w:r>
      <w:r w:rsidRPr="009E6C4D">
        <w:rPr>
          <w:rFonts w:ascii="Times New Roman" w:hAnsi="Times New Roman" w:cs="Times New Roman"/>
          <w:b/>
          <w:sz w:val="28"/>
          <w:szCs w:val="28"/>
          <w:lang w:eastAsia="en-US"/>
        </w:rPr>
        <w:t xml:space="preserve">. </w:t>
      </w:r>
      <w:r w:rsidRPr="009E6C4D">
        <w:rPr>
          <w:rFonts w:ascii="Times New Roman" w:eastAsiaTheme="minorHAnsi" w:hAnsi="Times New Roman" w:cs="Times New Roman"/>
          <w:b/>
          <w:sz w:val="28"/>
          <w:szCs w:val="28"/>
        </w:rPr>
        <w:t>Обеспечение жилого фонда сетевым газом, %</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Анализ обеспечения центральным водопроводом сельских поселений Бардымского района показал, что с 2014 по 2017гг. доля жилого фонда, обеспеченного центральным водопроводом составляла 42%. Обеспечение жилого </w:t>
      </w:r>
      <w:r w:rsidRPr="00153E07">
        <w:rPr>
          <w:rFonts w:ascii="Times New Roman" w:eastAsia="Times New Roman" w:hAnsi="Times New Roman" w:cs="Times New Roman"/>
          <w:sz w:val="28"/>
          <w:szCs w:val="28"/>
        </w:rPr>
        <w:lastRenderedPageBreak/>
        <w:t>фонда центральной канализацией в анализируемый период времени не превышала 23%, центральным отоплением – 15%.</w:t>
      </w:r>
    </w:p>
    <w:p w:rsidR="004878A9" w:rsidRPr="00153E07" w:rsidRDefault="004878A9" w:rsidP="004878A9">
      <w:pPr>
        <w:pStyle w:val="af1"/>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734050" cy="2514600"/>
            <wp:effectExtent l="0" t="0" r="0" b="0"/>
            <wp:docPr id="6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878A9" w:rsidRPr="009E6C4D" w:rsidRDefault="004878A9" w:rsidP="00822D2E">
      <w:pPr>
        <w:spacing w:line="240" w:lineRule="auto"/>
        <w:jc w:val="both"/>
        <w:rPr>
          <w:rFonts w:ascii="Times New Roman" w:eastAsiaTheme="minorHAnsi" w:hAnsi="Times New Roman" w:cs="Times New Roman"/>
          <w:b/>
          <w:sz w:val="28"/>
          <w:szCs w:val="28"/>
        </w:rPr>
      </w:pPr>
      <w:r w:rsidRPr="009E6C4D">
        <w:rPr>
          <w:rFonts w:ascii="Times New Roman" w:hAnsi="Times New Roman" w:cs="Times New Roman"/>
          <w:b/>
          <w:sz w:val="28"/>
          <w:szCs w:val="28"/>
          <w:lang w:eastAsia="en-US"/>
        </w:rPr>
        <w:t xml:space="preserve">Рисунок 1.35. </w:t>
      </w:r>
      <w:r w:rsidRPr="009E6C4D">
        <w:rPr>
          <w:rFonts w:ascii="Times New Roman" w:eastAsiaTheme="minorHAnsi" w:hAnsi="Times New Roman" w:cs="Times New Roman"/>
          <w:b/>
          <w:sz w:val="28"/>
          <w:szCs w:val="28"/>
        </w:rPr>
        <w:t>Обеспеченность жилого фонда центральной канализацией,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Default="00153E07" w:rsidP="00822D2E">
      <w:pPr>
        <w:pStyle w:val="1"/>
        <w:spacing w:line="240" w:lineRule="auto"/>
      </w:pPr>
      <w:r w:rsidRPr="00153E07">
        <w:t>1.2.9 Экология. Охрана окружающей среды</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Атмосферный воздух является жизненно важным компонентом окружающей природной среды. Большое количество выбросов в атмосферу загрязняющих веществ отрицательно влияет на состояние здоровья населения, состояние природных ресурсов. Самое большое количество выбросов в Бардымском районе было зафиксировано в 2013</w:t>
      </w:r>
      <w:r w:rsidR="004878A9">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 и составило 18480 тонн. Единой динамики по выбросам в атмосферу не сложилось, изменение носит скачкообразный характер и определяется преимущественно деятельностью предприятий.</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Улавливание выбросов в атмосферу загрязняющих веществ от стационарных источников зафиксировано было в 2010</w:t>
      </w:r>
      <w:r w:rsidR="004878A9">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 и составляло 1 тонну.</w:t>
      </w:r>
    </w:p>
    <w:p w:rsidR="00153E07" w:rsidRPr="00153E07" w:rsidRDefault="00153E07" w:rsidP="00153E07">
      <w:pPr>
        <w:pStyle w:val="af1"/>
        <w:spacing w:after="160" w:line="259"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829300" cy="2743200"/>
            <wp:effectExtent l="0" t="0" r="0" b="0"/>
            <wp:docPr id="216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53E07" w:rsidRPr="005E128E" w:rsidRDefault="00153E07" w:rsidP="00822D2E">
      <w:pPr>
        <w:spacing w:line="240" w:lineRule="auto"/>
        <w:jc w:val="both"/>
        <w:rPr>
          <w:rFonts w:ascii="Times New Roman" w:eastAsiaTheme="minorHAnsi" w:hAnsi="Times New Roman" w:cs="Times New Roman"/>
          <w:b/>
          <w:sz w:val="28"/>
          <w:szCs w:val="28"/>
        </w:rPr>
      </w:pPr>
      <w:r w:rsidRPr="005E128E">
        <w:rPr>
          <w:rFonts w:ascii="Times New Roman" w:hAnsi="Times New Roman" w:cs="Times New Roman"/>
          <w:b/>
          <w:sz w:val="28"/>
          <w:szCs w:val="28"/>
          <w:lang w:eastAsia="en-US"/>
        </w:rPr>
        <w:t>Рисунок 1.3</w:t>
      </w:r>
      <w:r w:rsidR="004878A9" w:rsidRPr="005E128E">
        <w:rPr>
          <w:rFonts w:ascii="Times New Roman" w:hAnsi="Times New Roman" w:cs="Times New Roman"/>
          <w:b/>
          <w:sz w:val="28"/>
          <w:szCs w:val="28"/>
          <w:lang w:eastAsia="en-US"/>
        </w:rPr>
        <w:t>6</w:t>
      </w:r>
      <w:r w:rsidRPr="005E128E">
        <w:rPr>
          <w:rFonts w:ascii="Times New Roman" w:hAnsi="Times New Roman" w:cs="Times New Roman"/>
          <w:b/>
          <w:sz w:val="28"/>
          <w:szCs w:val="28"/>
          <w:lang w:eastAsia="en-US"/>
        </w:rPr>
        <w:t>.</w:t>
      </w:r>
      <w:r w:rsidR="004878A9" w:rsidRPr="005E128E">
        <w:rPr>
          <w:rFonts w:ascii="Times New Roman" w:hAnsi="Times New Roman" w:cs="Times New Roman"/>
          <w:b/>
          <w:sz w:val="28"/>
          <w:szCs w:val="28"/>
          <w:lang w:eastAsia="en-US"/>
        </w:rPr>
        <w:t xml:space="preserve"> </w:t>
      </w:r>
      <w:r w:rsidRPr="005E128E">
        <w:rPr>
          <w:rFonts w:ascii="Times New Roman" w:eastAsiaTheme="minorHAnsi" w:hAnsi="Times New Roman" w:cs="Times New Roman"/>
          <w:b/>
          <w:sz w:val="28"/>
          <w:szCs w:val="28"/>
        </w:rPr>
        <w:t>Выбросы в атмосферу загрязняющих веществ, тонн</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Максимальный объем выбросов в атмосферу загрязняющих веществ от стационарных источников в расчете на 1 жителя был зафиксирован в 2013 году, и составил 733 тонн/человека.</w:t>
      </w:r>
    </w:p>
    <w:p w:rsidR="00153E07" w:rsidRPr="00153E07" w:rsidRDefault="00153E07" w:rsidP="00153E07">
      <w:pPr>
        <w:spacing w:after="160" w:line="259"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191250" cy="2990850"/>
            <wp:effectExtent l="0" t="0" r="0" b="0"/>
            <wp:docPr id="216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53E07" w:rsidRPr="005E128E" w:rsidRDefault="007E28AF" w:rsidP="00822D2E">
      <w:pPr>
        <w:spacing w:line="240" w:lineRule="auto"/>
        <w:jc w:val="both"/>
        <w:rPr>
          <w:rFonts w:ascii="Times New Roman" w:hAnsi="Times New Roman" w:cs="Times New Roman"/>
          <w:b/>
          <w:sz w:val="28"/>
          <w:szCs w:val="28"/>
          <w:lang w:eastAsia="en-US"/>
        </w:rPr>
      </w:pPr>
      <w:r w:rsidRPr="005E128E">
        <w:rPr>
          <w:rFonts w:ascii="Times New Roman" w:hAnsi="Times New Roman" w:cs="Times New Roman"/>
          <w:b/>
          <w:sz w:val="28"/>
          <w:szCs w:val="28"/>
          <w:lang w:eastAsia="en-US"/>
        </w:rPr>
        <w:t>Рисунок 1.37</w:t>
      </w:r>
      <w:r w:rsidR="00153E07" w:rsidRPr="005E128E">
        <w:rPr>
          <w:rFonts w:ascii="Times New Roman" w:hAnsi="Times New Roman" w:cs="Times New Roman"/>
          <w:b/>
          <w:sz w:val="28"/>
          <w:szCs w:val="28"/>
          <w:lang w:eastAsia="en-US"/>
        </w:rPr>
        <w:t>. Выбросы в атмосферу загрязняющих веществ от стационарных  источников в расчете на одного жителя, кг</w:t>
      </w:r>
    </w:p>
    <w:p w:rsidR="007E28AF" w:rsidRDefault="007E28AF"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Предприятия по переработке и утилизации бытовых отходов в Бардымском районе отсутствуют.</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Стратегической целью в Бардымском муниципальном районе в сфере охраны окружающей среды является оздоровление экологической обстановки, нивелирование проблем загрязнения окружающей среды, обеспечение экологической безопасности территории и населения района, восстановление природных экосистем, обеспечение рационального и устойчивого природопользования.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текущий период времени в районе остаются нерешенными следующие проблемы в сфере охраны окружающей среды:</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 1.Значительные объемы выбросов загрязняющих веществ в атмосферу как от стационарных, так и передвижных источников, отсутствие технологичных решений по сокращению выбросов в атмосферу,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2. Отсутствие качественных очистных сооружений для очистки сточных вод в с. Барда.</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3. Отсутствие полигона для складирования и захоронения твердых бытовых отходов, а также обустроенных мест складирования ТБО для населения района. Данная проблема характерна для всех населенных пунктов, навозохранилищ на животноводческих фермах.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4. Наличие технологических и финансовых сложностей в решении вопросов использования вторичных ресурсов, внедрения малоотходных и безотходных технологий.</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5. Недостаточность финансирования природоохранных мероприятий со стороны бюджета и природопользователей.</w:t>
      </w:r>
    </w:p>
    <w:p w:rsidR="00153E07" w:rsidRPr="00153E07" w:rsidRDefault="00153E07" w:rsidP="00822D2E">
      <w:pPr>
        <w:spacing w:after="0" w:line="240" w:lineRule="auto"/>
        <w:ind w:firstLine="709"/>
        <w:jc w:val="both"/>
        <w:rPr>
          <w:rFonts w:ascii="Times New Roman" w:hAnsi="Times New Roman" w:cs="Times New Roman"/>
          <w:sz w:val="28"/>
          <w:szCs w:val="28"/>
        </w:rPr>
      </w:pPr>
      <w:r w:rsidRPr="00153E07">
        <w:rPr>
          <w:rFonts w:ascii="Times New Roman" w:eastAsia="Times New Roman" w:hAnsi="Times New Roman" w:cs="Times New Roman"/>
          <w:sz w:val="28"/>
          <w:szCs w:val="28"/>
        </w:rPr>
        <w:t xml:space="preserve">6. Отсутствие работы по пропаганде экологического воспитания граждан, как следствие низкий уровень экологического образования, и просвещения взрослого населения района.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Default="00153E07" w:rsidP="00822D2E">
      <w:pPr>
        <w:pStyle w:val="1"/>
        <w:spacing w:line="240" w:lineRule="auto"/>
      </w:pPr>
      <w:r w:rsidRPr="00153E07">
        <w:t>1.2.10 Имущественные и земельные отношения</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Динамика площади земельных участков, предоставленных для строительства представлена на рисунке </w:t>
      </w:r>
      <w:r w:rsidR="007E28AF">
        <w:rPr>
          <w:rFonts w:ascii="Times New Roman" w:eastAsia="Times New Roman" w:hAnsi="Times New Roman" w:cs="Times New Roman"/>
          <w:sz w:val="28"/>
          <w:szCs w:val="28"/>
        </w:rPr>
        <w:t>1.38</w:t>
      </w:r>
      <w:r w:rsidRPr="00153E07">
        <w:rPr>
          <w:rFonts w:ascii="Times New Roman" w:eastAsia="Times New Roman" w:hAnsi="Times New Roman" w:cs="Times New Roman"/>
          <w:sz w:val="28"/>
          <w:szCs w:val="28"/>
        </w:rPr>
        <w:t>, положительная тенденция предоставления земли, а также выдачи разрешений на строительство находит отражение в развитии жилищного сектора экономики района. За исследуемый период времени прирост площадей земельных участков для строительства составил 293</w:t>
      </w:r>
      <w:r w:rsidR="007E28AF">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по итогам 2016</w:t>
      </w:r>
      <w:r w:rsidR="007E28AF">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 было предоставлено 76,337 гектара земли.</w:t>
      </w:r>
    </w:p>
    <w:p w:rsidR="00153E07" w:rsidRPr="00153E07" w:rsidRDefault="00153E07" w:rsidP="00153E07">
      <w:pPr>
        <w:spacing w:after="160" w:line="259"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254496" cy="1997049"/>
            <wp:effectExtent l="0" t="0" r="0" b="0"/>
            <wp:docPr id="216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53E07" w:rsidRPr="005E128E" w:rsidRDefault="007E28AF" w:rsidP="00822D2E">
      <w:pPr>
        <w:spacing w:line="240" w:lineRule="auto"/>
        <w:jc w:val="both"/>
        <w:rPr>
          <w:rFonts w:ascii="Times New Roman" w:eastAsiaTheme="minorHAnsi" w:hAnsi="Times New Roman" w:cs="Times New Roman"/>
          <w:b/>
          <w:sz w:val="28"/>
          <w:szCs w:val="28"/>
        </w:rPr>
      </w:pPr>
      <w:r w:rsidRPr="005E128E">
        <w:rPr>
          <w:rFonts w:ascii="Times New Roman" w:hAnsi="Times New Roman" w:cs="Times New Roman"/>
          <w:b/>
          <w:sz w:val="28"/>
          <w:szCs w:val="28"/>
          <w:lang w:eastAsia="en-US"/>
        </w:rPr>
        <w:t>Рисунок 1.38</w:t>
      </w:r>
      <w:r w:rsidR="00153E07" w:rsidRPr="005E128E">
        <w:rPr>
          <w:rFonts w:ascii="Times New Roman" w:hAnsi="Times New Roman" w:cs="Times New Roman"/>
          <w:b/>
          <w:sz w:val="28"/>
          <w:szCs w:val="28"/>
          <w:lang w:eastAsia="en-US"/>
        </w:rPr>
        <w:t xml:space="preserve">. </w:t>
      </w:r>
      <w:r w:rsidR="00153E07" w:rsidRPr="005E128E">
        <w:rPr>
          <w:rFonts w:ascii="Times New Roman" w:eastAsiaTheme="minorHAnsi" w:hAnsi="Times New Roman" w:cs="Times New Roman"/>
          <w:b/>
          <w:sz w:val="28"/>
          <w:szCs w:val="28"/>
        </w:rPr>
        <w:t>Площадь земельных участков, предоставленных для строительства, га</w:t>
      </w:r>
    </w:p>
    <w:p w:rsidR="00777ED4" w:rsidRPr="00153E07" w:rsidRDefault="003C2685" w:rsidP="00822D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Количество выданных разрешений </w:t>
      </w:r>
      <w:r w:rsidR="007C405B">
        <w:rPr>
          <w:rFonts w:ascii="Times New Roman" w:eastAsia="Times New Roman" w:hAnsi="Times New Roman" w:cs="Times New Roman"/>
          <w:sz w:val="28"/>
          <w:szCs w:val="28"/>
        </w:rPr>
        <w:t xml:space="preserve">на строительство </w:t>
      </w:r>
      <w:r>
        <w:rPr>
          <w:rFonts w:ascii="Times New Roman" w:eastAsia="Times New Roman" w:hAnsi="Times New Roman" w:cs="Times New Roman"/>
          <w:sz w:val="28"/>
          <w:szCs w:val="28"/>
        </w:rPr>
        <w:t>до 2014 г.</w:t>
      </w:r>
      <w:r w:rsidR="007C405B">
        <w:rPr>
          <w:rFonts w:ascii="Times New Roman" w:eastAsia="Times New Roman" w:hAnsi="Times New Roman" w:cs="Times New Roman"/>
          <w:sz w:val="28"/>
          <w:szCs w:val="28"/>
        </w:rPr>
        <w:t xml:space="preserve"> имело динамику роста, однако с каждым годом темпы прироста сокращались. В 2014 и 2015 годах наблюдается сокращение числа выданных разрешений на 20% за каждый год. В 2016 году динамика выдачи разрешений вновь стала положительной и прирост составил 24,3%</w:t>
      </w:r>
      <w:r w:rsidR="00777ED4" w:rsidRPr="00153E07">
        <w:rPr>
          <w:rFonts w:ascii="Times New Roman" w:eastAsia="Times New Roman" w:hAnsi="Times New Roman" w:cs="Times New Roman"/>
          <w:sz w:val="28"/>
          <w:szCs w:val="28"/>
        </w:rPr>
        <w:t xml:space="preserve">.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3C2685" w:rsidP="00153E07">
      <w:pPr>
        <w:spacing w:after="160" w:line="259" w:lineRule="auto"/>
        <w:jc w:val="both"/>
        <w:rPr>
          <w:rFonts w:ascii="Times New Roman" w:hAnsi="Times New Roman" w:cs="Times New Roman"/>
          <w:sz w:val="28"/>
          <w:szCs w:val="28"/>
        </w:rPr>
      </w:pPr>
      <w:r w:rsidRPr="003C2685">
        <w:rPr>
          <w:rFonts w:ascii="Times New Roman" w:hAnsi="Times New Roman" w:cs="Times New Roman"/>
          <w:noProof/>
          <w:sz w:val="28"/>
          <w:szCs w:val="28"/>
        </w:rPr>
        <w:drawing>
          <wp:inline distT="0" distB="0" distL="0" distR="0">
            <wp:extent cx="6317869" cy="2062582"/>
            <wp:effectExtent l="19050" t="0" r="25781"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53E07" w:rsidRPr="005E128E" w:rsidRDefault="007E28AF" w:rsidP="00822D2E">
      <w:pPr>
        <w:spacing w:line="240" w:lineRule="auto"/>
        <w:jc w:val="both"/>
        <w:rPr>
          <w:rFonts w:ascii="Times New Roman" w:eastAsiaTheme="minorHAnsi" w:hAnsi="Times New Roman" w:cs="Times New Roman"/>
          <w:b/>
          <w:sz w:val="28"/>
          <w:szCs w:val="28"/>
          <w:lang w:eastAsia="en-US"/>
        </w:rPr>
      </w:pPr>
      <w:r w:rsidRPr="005E128E">
        <w:rPr>
          <w:rFonts w:ascii="Times New Roman" w:hAnsi="Times New Roman" w:cs="Times New Roman"/>
          <w:b/>
          <w:sz w:val="28"/>
          <w:szCs w:val="28"/>
        </w:rPr>
        <w:t>Рисунок 1.39</w:t>
      </w:r>
      <w:r w:rsidR="00153E07" w:rsidRPr="005E128E">
        <w:rPr>
          <w:rFonts w:ascii="Times New Roman" w:hAnsi="Times New Roman" w:cs="Times New Roman"/>
          <w:b/>
          <w:sz w:val="28"/>
          <w:szCs w:val="28"/>
        </w:rPr>
        <w:t>.</w:t>
      </w:r>
      <w:r w:rsidR="00153E07" w:rsidRPr="005E128E">
        <w:rPr>
          <w:rFonts w:ascii="Times New Roman" w:eastAsiaTheme="minorHAnsi" w:hAnsi="Times New Roman" w:cs="Times New Roman"/>
          <w:b/>
          <w:sz w:val="28"/>
          <w:szCs w:val="28"/>
          <w:lang w:eastAsia="en-US"/>
        </w:rPr>
        <w:t>Количество выданных разрешений на строительство, ед.</w:t>
      </w:r>
    </w:p>
    <w:p w:rsidR="00153E07" w:rsidRDefault="002A61CE" w:rsidP="00822D2E">
      <w:pPr>
        <w:pStyle w:val="1"/>
        <w:spacing w:line="240" w:lineRule="auto"/>
      </w:pPr>
      <w:r w:rsidRPr="00333885">
        <w:lastRenderedPageBreak/>
        <w:tab/>
      </w:r>
      <w:r w:rsidRPr="00333885">
        <w:tab/>
      </w:r>
      <w:r w:rsidR="00153E07" w:rsidRPr="00153E07">
        <w:t>1.2.11 Финансовая деятельность</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Финансовая деятельность организаций Бардымского муниципального района оценивается показателями объема отгрузки товаров (работ, услуг) собственного производства, уровня и качества дебиторской и кредиторской задолженностей в целом и по элементам, наличием прибыли или убытка от деятельности предприятий и организаций, а также количеством прибыльных и убыточных предприятий.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Объем отгруженных товаров собственного производства по видам деятельности предприятий и организаций Бардымского муниципального района в 2011-2016</w:t>
      </w:r>
      <w:r w:rsidR="007E28AF">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гг. представлен на рисунке 1.4</w:t>
      </w:r>
      <w:r w:rsidR="007E28AF">
        <w:rPr>
          <w:rFonts w:ascii="Times New Roman" w:eastAsia="Times New Roman" w:hAnsi="Times New Roman" w:cs="Times New Roman"/>
          <w:sz w:val="28"/>
          <w:szCs w:val="28"/>
        </w:rPr>
        <w:t>0</w:t>
      </w:r>
      <w:r w:rsidRPr="00153E07">
        <w:rPr>
          <w:rFonts w:ascii="Times New Roman" w:eastAsia="Times New Roman" w:hAnsi="Times New Roman" w:cs="Times New Roman"/>
          <w:sz w:val="28"/>
          <w:szCs w:val="28"/>
        </w:rPr>
        <w:t>.</w:t>
      </w: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940425" cy="3232317"/>
            <wp:effectExtent l="0" t="0" r="3175" b="6350"/>
            <wp:docPr id="216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53E07" w:rsidRPr="005E128E" w:rsidRDefault="00153E07" w:rsidP="00822D2E">
      <w:pPr>
        <w:spacing w:after="0" w:line="240" w:lineRule="auto"/>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1.4</w:t>
      </w:r>
      <w:r w:rsidR="007E28AF" w:rsidRPr="005E128E">
        <w:rPr>
          <w:rFonts w:ascii="Times New Roman" w:eastAsia="Times New Roman" w:hAnsi="Times New Roman" w:cs="Times New Roman"/>
          <w:b/>
          <w:sz w:val="28"/>
          <w:szCs w:val="28"/>
        </w:rPr>
        <w:t>0</w:t>
      </w:r>
      <w:r w:rsidRPr="005E128E">
        <w:rPr>
          <w:rFonts w:ascii="Times New Roman" w:eastAsia="Times New Roman" w:hAnsi="Times New Roman" w:cs="Times New Roman"/>
          <w:b/>
          <w:sz w:val="28"/>
          <w:szCs w:val="28"/>
        </w:rPr>
        <w:t>. Объем отгруженных товаров собственного производства по видам деятельности предприятиями и организациями Бардымского м</w:t>
      </w:r>
      <w:r w:rsidR="007E28AF" w:rsidRPr="005E128E">
        <w:rPr>
          <w:rFonts w:ascii="Times New Roman" w:eastAsia="Times New Roman" w:hAnsi="Times New Roman" w:cs="Times New Roman"/>
          <w:b/>
          <w:sz w:val="28"/>
          <w:szCs w:val="28"/>
        </w:rPr>
        <w:t xml:space="preserve">униципального района (01.01.2011 </w:t>
      </w:r>
      <w:r w:rsidRPr="005E128E">
        <w:rPr>
          <w:rFonts w:ascii="Times New Roman" w:eastAsia="Times New Roman" w:hAnsi="Times New Roman" w:cs="Times New Roman"/>
          <w:b/>
          <w:sz w:val="28"/>
          <w:szCs w:val="28"/>
        </w:rPr>
        <w:t>-</w:t>
      </w:r>
      <w:r w:rsidR="007E28AF" w:rsidRPr="005E128E">
        <w:rPr>
          <w:rFonts w:ascii="Times New Roman" w:eastAsia="Times New Roman" w:hAnsi="Times New Roman" w:cs="Times New Roman"/>
          <w:b/>
          <w:sz w:val="28"/>
          <w:szCs w:val="28"/>
        </w:rPr>
        <w:t xml:space="preserve"> </w:t>
      </w:r>
      <w:r w:rsidRPr="005E128E">
        <w:rPr>
          <w:rFonts w:ascii="Times New Roman" w:eastAsia="Times New Roman" w:hAnsi="Times New Roman" w:cs="Times New Roman"/>
          <w:b/>
          <w:sz w:val="28"/>
          <w:szCs w:val="28"/>
        </w:rPr>
        <w:t>01.01.2017</w:t>
      </w:r>
      <w:r w:rsidR="007E28AF" w:rsidRPr="005E128E">
        <w:rPr>
          <w:rFonts w:ascii="Times New Roman" w:eastAsia="Times New Roman" w:hAnsi="Times New Roman" w:cs="Times New Roman"/>
          <w:b/>
          <w:sz w:val="28"/>
          <w:szCs w:val="28"/>
        </w:rPr>
        <w:t xml:space="preserve"> </w:t>
      </w:r>
      <w:r w:rsidRPr="005E128E">
        <w:rPr>
          <w:rFonts w:ascii="Times New Roman" w:eastAsia="Times New Roman" w:hAnsi="Times New Roman" w:cs="Times New Roman"/>
          <w:b/>
          <w:sz w:val="28"/>
          <w:szCs w:val="28"/>
        </w:rPr>
        <w:t>гг.)</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отгрузки товаров собственного производства показал, что экономика Бардымского муниципального района имеет сельскохозяйственную направленность. При этом наблюдается рост объемов производства сельскохозяйственной продукции в 2015-2016 году. На 01.01.2017</w:t>
      </w:r>
      <w:r w:rsidR="007E28AF">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 прирост отгруженной сельскохозяйственной продукции составил 60,2% по сравнению с 2011 годом.</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Отгруженная продукция по разделам экономической деятельности </w:t>
      </w:r>
      <w:r w:rsidRPr="00153E07">
        <w:rPr>
          <w:rFonts w:ascii="Times New Roman" w:eastAsia="Times New Roman" w:hAnsi="Times New Roman" w:cs="Times New Roman"/>
          <w:sz w:val="28"/>
          <w:szCs w:val="28"/>
          <w:lang w:val="en-US"/>
        </w:rPr>
        <w:t>CDE</w:t>
      </w:r>
      <w:r w:rsidRPr="00153E07">
        <w:rPr>
          <w:rFonts w:ascii="Times New Roman" w:eastAsia="Times New Roman" w:hAnsi="Times New Roman" w:cs="Times New Roman"/>
          <w:sz w:val="28"/>
          <w:szCs w:val="28"/>
        </w:rPr>
        <w:t xml:space="preserve"> объединена в одну группу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Добыча полезных ископаемых, обрабатывающие производства, производство электроэнергии, газа, воды</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Объемы отгрузок по данной группе также имеют тенденцию роста. На 01.01.2017</w:t>
      </w:r>
      <w:r w:rsidR="007E28AF">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 объем отгруженных товаров собственного производства вырос более, чем в 2 раза по сравнению с 2011 годом. Доля строительства в общем объеме отгруженной продукции невелика.</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Сельскохозяйственная направленность экономики Бардымского муниципального района имеет ряд негативных факторов, во-первых, сезонность </w:t>
      </w:r>
      <w:r w:rsidRPr="00153E07">
        <w:rPr>
          <w:rFonts w:ascii="Times New Roman" w:eastAsia="Times New Roman" w:hAnsi="Times New Roman" w:cs="Times New Roman"/>
          <w:sz w:val="28"/>
          <w:szCs w:val="28"/>
        </w:rPr>
        <w:lastRenderedPageBreak/>
        <w:t>деятельности предприятий агропромышленного комплекса, а, следовательно, высокая зависимость от кредитных денежных средств для сокращения финансовых разрывов на зимний период времени; во-вторых, повышенные кредитные и экономические риски, связанные с погодными условиями; в-третьих, низкая диверсификация экономики района. Среди позитивных факторов выступает возможность развития малого и среднего бизнеса с низким порогом входа в отрасль.</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рисунке 1.4</w:t>
      </w:r>
      <w:r w:rsidR="007E28AF">
        <w:rPr>
          <w:rFonts w:ascii="Times New Roman" w:eastAsia="Times New Roman" w:hAnsi="Times New Roman" w:cs="Times New Roman"/>
          <w:sz w:val="28"/>
          <w:szCs w:val="28"/>
        </w:rPr>
        <w:t>1</w:t>
      </w:r>
      <w:r w:rsidRPr="00153E07">
        <w:rPr>
          <w:rFonts w:ascii="Times New Roman" w:eastAsia="Times New Roman" w:hAnsi="Times New Roman" w:cs="Times New Roman"/>
          <w:sz w:val="28"/>
          <w:szCs w:val="28"/>
        </w:rPr>
        <w:t xml:space="preserve"> представлено соотношение дебиторской и кредиторской задолженности в общих финансовых потоках предприятий и организаций Бардымского муниципального района в 2011-2016</w:t>
      </w:r>
      <w:r w:rsidR="007E28AF">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гг.</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57875" cy="2990850"/>
            <wp:effectExtent l="19050" t="0" r="0" b="0"/>
            <wp:docPr id="216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53E07" w:rsidRPr="00561116" w:rsidRDefault="00153E07" w:rsidP="00822D2E">
      <w:pPr>
        <w:spacing w:after="0" w:line="240" w:lineRule="auto"/>
        <w:jc w:val="both"/>
        <w:rPr>
          <w:rFonts w:ascii="Times New Roman" w:eastAsia="Times New Roman" w:hAnsi="Times New Roman" w:cs="Times New Roman"/>
          <w:b/>
          <w:sz w:val="28"/>
          <w:szCs w:val="28"/>
        </w:rPr>
      </w:pPr>
      <w:r w:rsidRPr="00561116">
        <w:rPr>
          <w:rFonts w:ascii="Times New Roman" w:eastAsia="Times New Roman" w:hAnsi="Times New Roman" w:cs="Times New Roman"/>
          <w:b/>
          <w:sz w:val="28"/>
          <w:szCs w:val="28"/>
        </w:rPr>
        <w:t>Рисунок 1.4</w:t>
      </w:r>
      <w:r w:rsidR="007E28AF" w:rsidRPr="00561116">
        <w:rPr>
          <w:rFonts w:ascii="Times New Roman" w:eastAsia="Times New Roman" w:hAnsi="Times New Roman" w:cs="Times New Roman"/>
          <w:b/>
          <w:sz w:val="28"/>
          <w:szCs w:val="28"/>
        </w:rPr>
        <w:t>1</w:t>
      </w:r>
      <w:r w:rsidRPr="00561116">
        <w:rPr>
          <w:rFonts w:ascii="Times New Roman" w:eastAsia="Times New Roman" w:hAnsi="Times New Roman" w:cs="Times New Roman"/>
          <w:b/>
          <w:sz w:val="28"/>
          <w:szCs w:val="28"/>
        </w:rPr>
        <w:t>. Соотношение дебиторской и кредиторской задолженности предприятий и организаций Бардымского муниципального района в 2011-2016</w:t>
      </w:r>
      <w:r w:rsidR="007E28AF" w:rsidRPr="00561116">
        <w:rPr>
          <w:rFonts w:ascii="Times New Roman" w:eastAsia="Times New Roman" w:hAnsi="Times New Roman" w:cs="Times New Roman"/>
          <w:b/>
          <w:sz w:val="28"/>
          <w:szCs w:val="28"/>
        </w:rPr>
        <w:t xml:space="preserve"> </w:t>
      </w:r>
      <w:r w:rsidRPr="00561116">
        <w:rPr>
          <w:rFonts w:ascii="Times New Roman" w:eastAsia="Times New Roman" w:hAnsi="Times New Roman" w:cs="Times New Roman"/>
          <w:b/>
          <w:sz w:val="28"/>
          <w:szCs w:val="28"/>
        </w:rPr>
        <w:t>гг.</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Доля дебиторской задолженности предприятий и организаций Бардымского муниципального района в течение анализируемого периода колеблется в районе 40% от общей массы финансовых потоков.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Доля кредиторской задолженности в общей массе финансовых потоков составляет более 60%. Негативным фактором является снижение финансовой устойчивости предприятий и организаций Бардымского муниципального района, что подтверждает коэффициент соотношения дебиторской и кредиторской задолженностей, представленный на рисунке 1.4</w:t>
      </w:r>
      <w:r w:rsidR="007E28AF">
        <w:rPr>
          <w:rFonts w:ascii="Times New Roman" w:eastAsia="Times New Roman" w:hAnsi="Times New Roman" w:cs="Times New Roman"/>
          <w:sz w:val="28"/>
          <w:szCs w:val="28"/>
        </w:rPr>
        <w:t>2</w:t>
      </w:r>
      <w:r w:rsidRPr="00153E07">
        <w:rPr>
          <w:rFonts w:ascii="Times New Roman" w:eastAsia="Times New Roman" w:hAnsi="Times New Roman" w:cs="Times New Roman"/>
          <w:sz w:val="28"/>
          <w:szCs w:val="28"/>
        </w:rPr>
        <w:t>.</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lastRenderedPageBreak/>
        <w:drawing>
          <wp:inline distT="0" distB="0" distL="0" distR="0">
            <wp:extent cx="5876925" cy="2028825"/>
            <wp:effectExtent l="0" t="0" r="0" b="0"/>
            <wp:docPr id="216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53E07" w:rsidRPr="00561116" w:rsidRDefault="00153E07" w:rsidP="00822D2E">
      <w:pPr>
        <w:spacing w:after="0" w:line="240" w:lineRule="auto"/>
        <w:jc w:val="both"/>
        <w:rPr>
          <w:rFonts w:ascii="Times New Roman" w:eastAsia="Times New Roman" w:hAnsi="Times New Roman" w:cs="Times New Roman"/>
          <w:b/>
          <w:sz w:val="28"/>
          <w:szCs w:val="28"/>
        </w:rPr>
      </w:pPr>
      <w:r w:rsidRPr="00561116">
        <w:rPr>
          <w:rFonts w:ascii="Times New Roman" w:eastAsia="Times New Roman" w:hAnsi="Times New Roman" w:cs="Times New Roman"/>
          <w:b/>
          <w:sz w:val="28"/>
          <w:szCs w:val="28"/>
        </w:rPr>
        <w:t>Рисунок 1.4</w:t>
      </w:r>
      <w:r w:rsidR="007E28AF" w:rsidRPr="00561116">
        <w:rPr>
          <w:rFonts w:ascii="Times New Roman" w:eastAsia="Times New Roman" w:hAnsi="Times New Roman" w:cs="Times New Roman"/>
          <w:b/>
          <w:sz w:val="28"/>
          <w:szCs w:val="28"/>
        </w:rPr>
        <w:t>2</w:t>
      </w:r>
      <w:r w:rsidRPr="00561116">
        <w:rPr>
          <w:rFonts w:ascii="Times New Roman" w:eastAsia="Times New Roman" w:hAnsi="Times New Roman" w:cs="Times New Roman"/>
          <w:b/>
          <w:sz w:val="28"/>
          <w:szCs w:val="28"/>
        </w:rPr>
        <w:t>. Коэффициент соотношения дебиторской и кредиторской задолженностей предприятий и организаций в 2011-2016</w:t>
      </w:r>
      <w:r w:rsidR="007E28AF" w:rsidRPr="00561116">
        <w:rPr>
          <w:rFonts w:ascii="Times New Roman" w:eastAsia="Times New Roman" w:hAnsi="Times New Roman" w:cs="Times New Roman"/>
          <w:b/>
          <w:sz w:val="28"/>
          <w:szCs w:val="28"/>
        </w:rPr>
        <w:t xml:space="preserve"> </w:t>
      </w:r>
      <w:r w:rsidRPr="00561116">
        <w:rPr>
          <w:rFonts w:ascii="Times New Roman" w:eastAsia="Times New Roman" w:hAnsi="Times New Roman" w:cs="Times New Roman"/>
          <w:b/>
          <w:sz w:val="28"/>
          <w:szCs w:val="28"/>
        </w:rPr>
        <w:t>гг.</w:t>
      </w:r>
    </w:p>
    <w:p w:rsidR="00153E07" w:rsidRPr="00153E07" w:rsidRDefault="007E28AF" w:rsidP="00822D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Нормативным значением коэффициента соотношения дебиторской и кредиторской задолженностей предприятий и организаций является значение от 0,9 до 1,0.</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Бардымском районе значение данного коэффициента в течение анализируемого периода времени намного ниже нормативного. Это означает, что ликвидные активы предприятий и организаций Бардымского муниципального района недостаточно быстро обращаются в денежные средства, у предприятий и организаций существует большой объем заемных ресурсов, которые недостаточно эффективно используются в их текущей деятельности.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рисунке 1.4</w:t>
      </w:r>
      <w:r w:rsidR="00F07E68">
        <w:rPr>
          <w:rFonts w:ascii="Times New Roman" w:eastAsia="Times New Roman" w:hAnsi="Times New Roman" w:cs="Times New Roman"/>
          <w:sz w:val="28"/>
          <w:szCs w:val="28"/>
        </w:rPr>
        <w:t>3</w:t>
      </w:r>
      <w:r w:rsidRPr="00153E07">
        <w:rPr>
          <w:rFonts w:ascii="Times New Roman" w:eastAsia="Times New Roman" w:hAnsi="Times New Roman" w:cs="Times New Roman"/>
          <w:sz w:val="28"/>
          <w:szCs w:val="28"/>
        </w:rPr>
        <w:t xml:space="preserve"> представлен состав кредиторской задолженности предприятий и организаций Бардымского муниципального района в 2011-2016 годах.</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57875" cy="2524125"/>
            <wp:effectExtent l="19050" t="0" r="0" b="0"/>
            <wp:docPr id="216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53E07" w:rsidRPr="00561116" w:rsidRDefault="00153E07" w:rsidP="00822D2E">
      <w:pPr>
        <w:spacing w:after="0" w:line="240" w:lineRule="auto"/>
        <w:jc w:val="both"/>
        <w:rPr>
          <w:rFonts w:ascii="Times New Roman" w:eastAsia="Times New Roman" w:hAnsi="Times New Roman" w:cs="Times New Roman"/>
          <w:b/>
          <w:sz w:val="28"/>
          <w:szCs w:val="28"/>
        </w:rPr>
      </w:pPr>
      <w:r w:rsidRPr="00561116">
        <w:rPr>
          <w:rFonts w:ascii="Times New Roman" w:eastAsia="Times New Roman" w:hAnsi="Times New Roman" w:cs="Times New Roman"/>
          <w:b/>
          <w:sz w:val="28"/>
          <w:szCs w:val="28"/>
        </w:rPr>
        <w:t>Рисунок 1.4</w:t>
      </w:r>
      <w:r w:rsidR="00F07E68" w:rsidRPr="00561116">
        <w:rPr>
          <w:rFonts w:ascii="Times New Roman" w:eastAsia="Times New Roman" w:hAnsi="Times New Roman" w:cs="Times New Roman"/>
          <w:b/>
          <w:sz w:val="28"/>
          <w:szCs w:val="28"/>
        </w:rPr>
        <w:t>3</w:t>
      </w:r>
      <w:r w:rsidRPr="00561116">
        <w:rPr>
          <w:rFonts w:ascii="Times New Roman" w:eastAsia="Times New Roman" w:hAnsi="Times New Roman" w:cs="Times New Roman"/>
          <w:b/>
          <w:sz w:val="28"/>
          <w:szCs w:val="28"/>
        </w:rPr>
        <w:t>. Состав и структура кредиторской задолженности в Бардымском муниципальном районе в 2011-2016</w:t>
      </w:r>
      <w:r w:rsidR="00561116">
        <w:rPr>
          <w:rFonts w:ascii="Times New Roman" w:eastAsia="Times New Roman" w:hAnsi="Times New Roman" w:cs="Times New Roman"/>
          <w:b/>
          <w:sz w:val="28"/>
          <w:szCs w:val="28"/>
        </w:rPr>
        <w:t xml:space="preserve"> </w:t>
      </w:r>
      <w:r w:rsidRPr="00561116">
        <w:rPr>
          <w:rFonts w:ascii="Times New Roman" w:eastAsia="Times New Roman" w:hAnsi="Times New Roman" w:cs="Times New Roman"/>
          <w:b/>
          <w:sz w:val="28"/>
          <w:szCs w:val="28"/>
        </w:rPr>
        <w:t>гг.</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Наибольшую долю в структуре кредиторской задолженности предприятий и организаций Бардымского муниципального района занимает задолженность перед поставщиками и подрядчиками – более 90%.</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Доля задолженности по платежам в бюджет, а также по платежам в государственные внебюджетные фонды низка и составляет менее 7% от общего </w:t>
      </w:r>
      <w:r w:rsidRPr="00153E07">
        <w:rPr>
          <w:rFonts w:ascii="Times New Roman" w:eastAsia="Times New Roman" w:hAnsi="Times New Roman" w:cs="Times New Roman"/>
          <w:sz w:val="28"/>
          <w:szCs w:val="28"/>
        </w:rPr>
        <w:lastRenderedPageBreak/>
        <w:t>объема кредиторской задолженности. Необходимо отметить отсутствие в структуре кредиторской задолженности – задолженности перед сотрудниками предприятий.</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 этом доля задолженности перед поставщиками и заказчиками к 2016 году возросла на 6,6%, доля задолженности перед бюджетом сократилась на 4,3%, доля задолженности в государственные внебюджетные фонды сократилась на 2,3%.</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таблице 1.6 представлено соотношение дебиторской задолженности и объема отгруженных товаров собственного производства предприятиями и организациями Бардымского муниципального района.</w:t>
      </w:r>
    </w:p>
    <w:p w:rsidR="00B46799" w:rsidRDefault="00B46799" w:rsidP="00822D2E">
      <w:pPr>
        <w:spacing w:after="0" w:line="240" w:lineRule="auto"/>
        <w:ind w:firstLine="709"/>
        <w:jc w:val="right"/>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1.6</w:t>
      </w:r>
    </w:p>
    <w:p w:rsidR="00153E07" w:rsidRPr="00561116" w:rsidRDefault="00153E07" w:rsidP="00822D2E">
      <w:pPr>
        <w:spacing w:after="0" w:line="240" w:lineRule="auto"/>
        <w:jc w:val="center"/>
        <w:rPr>
          <w:rFonts w:ascii="Times New Roman" w:eastAsia="Times New Roman" w:hAnsi="Times New Roman" w:cs="Times New Roman"/>
          <w:b/>
          <w:sz w:val="28"/>
          <w:szCs w:val="28"/>
        </w:rPr>
      </w:pPr>
      <w:r w:rsidRPr="00561116">
        <w:rPr>
          <w:rFonts w:ascii="Times New Roman" w:eastAsia="Times New Roman" w:hAnsi="Times New Roman" w:cs="Times New Roman"/>
          <w:b/>
          <w:color w:val="000000"/>
          <w:sz w:val="28"/>
          <w:szCs w:val="28"/>
        </w:rPr>
        <w:t xml:space="preserve">Соотношение дебиторской задолженности и объема отгруженных товаров собственного производства </w:t>
      </w:r>
      <w:r w:rsidRPr="00561116">
        <w:rPr>
          <w:rFonts w:ascii="Times New Roman" w:eastAsia="Times New Roman" w:hAnsi="Times New Roman" w:cs="Times New Roman"/>
          <w:b/>
          <w:sz w:val="28"/>
          <w:szCs w:val="28"/>
        </w:rPr>
        <w:t>предприятиями и организациями Бардымского муниципального района в 2011-2016</w:t>
      </w:r>
      <w:r w:rsidR="00561116">
        <w:rPr>
          <w:rFonts w:ascii="Times New Roman" w:eastAsia="Times New Roman" w:hAnsi="Times New Roman" w:cs="Times New Roman"/>
          <w:b/>
          <w:sz w:val="28"/>
          <w:szCs w:val="28"/>
        </w:rPr>
        <w:t xml:space="preserve"> </w:t>
      </w:r>
      <w:r w:rsidRPr="00561116">
        <w:rPr>
          <w:rFonts w:ascii="Times New Roman" w:eastAsia="Times New Roman" w:hAnsi="Times New Roman" w:cs="Times New Roman"/>
          <w:b/>
          <w:sz w:val="28"/>
          <w:szCs w:val="28"/>
        </w:rPr>
        <w:t>гг.</w:t>
      </w:r>
    </w:p>
    <w:tbl>
      <w:tblPr>
        <w:tblW w:w="5000" w:type="pct"/>
        <w:tblLook w:val="04A0"/>
      </w:tblPr>
      <w:tblGrid>
        <w:gridCol w:w="4419"/>
        <w:gridCol w:w="953"/>
        <w:gridCol w:w="953"/>
        <w:gridCol w:w="953"/>
        <w:gridCol w:w="953"/>
        <w:gridCol w:w="953"/>
        <w:gridCol w:w="953"/>
      </w:tblGrid>
      <w:tr w:rsidR="00153E07" w:rsidRPr="00153E07" w:rsidTr="00153E07">
        <w:trPr>
          <w:trHeight w:val="315"/>
        </w:trPr>
        <w:tc>
          <w:tcPr>
            <w:tcW w:w="2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8"/>
                <w:szCs w:val="28"/>
              </w:rPr>
            </w:pPr>
            <w:r w:rsidRPr="00D922B3">
              <w:rPr>
                <w:rFonts w:ascii="Times New Roman" w:eastAsia="Times New Roman" w:hAnsi="Times New Roman" w:cs="Times New Roman"/>
                <w:b/>
                <w:color w:val="000000"/>
                <w:sz w:val="28"/>
                <w:szCs w:val="28"/>
              </w:rPr>
              <w:t>Показатель</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sz w:val="28"/>
                <w:szCs w:val="28"/>
              </w:rPr>
            </w:pPr>
            <w:r w:rsidRPr="00D922B3">
              <w:rPr>
                <w:rFonts w:ascii="Times New Roman" w:eastAsia="Times New Roman" w:hAnsi="Times New Roman" w:cs="Times New Roman"/>
                <w:b/>
                <w:sz w:val="28"/>
                <w:szCs w:val="28"/>
              </w:rPr>
              <w:t>2011</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sz w:val="28"/>
                <w:szCs w:val="28"/>
              </w:rPr>
            </w:pPr>
            <w:r w:rsidRPr="00D922B3">
              <w:rPr>
                <w:rFonts w:ascii="Times New Roman" w:eastAsia="Times New Roman" w:hAnsi="Times New Roman" w:cs="Times New Roman"/>
                <w:b/>
                <w:sz w:val="28"/>
                <w:szCs w:val="28"/>
              </w:rPr>
              <w:t>2012</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sz w:val="28"/>
                <w:szCs w:val="28"/>
              </w:rPr>
            </w:pPr>
            <w:r w:rsidRPr="00D922B3">
              <w:rPr>
                <w:rFonts w:ascii="Times New Roman" w:eastAsia="Times New Roman" w:hAnsi="Times New Roman" w:cs="Times New Roman"/>
                <w:b/>
                <w:sz w:val="28"/>
                <w:szCs w:val="28"/>
              </w:rPr>
              <w:t>2013</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sz w:val="28"/>
                <w:szCs w:val="28"/>
              </w:rPr>
            </w:pPr>
            <w:r w:rsidRPr="00D922B3">
              <w:rPr>
                <w:rFonts w:ascii="Times New Roman" w:eastAsia="Times New Roman" w:hAnsi="Times New Roman" w:cs="Times New Roman"/>
                <w:b/>
                <w:sz w:val="28"/>
                <w:szCs w:val="28"/>
              </w:rPr>
              <w:t>2014</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sz w:val="28"/>
                <w:szCs w:val="28"/>
              </w:rPr>
            </w:pPr>
            <w:r w:rsidRPr="00D922B3">
              <w:rPr>
                <w:rFonts w:ascii="Times New Roman" w:eastAsia="Times New Roman" w:hAnsi="Times New Roman" w:cs="Times New Roman"/>
                <w:b/>
                <w:sz w:val="28"/>
                <w:szCs w:val="28"/>
              </w:rPr>
              <w:t>2015</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sz w:val="28"/>
                <w:szCs w:val="28"/>
              </w:rPr>
            </w:pPr>
            <w:r w:rsidRPr="00D922B3">
              <w:rPr>
                <w:rFonts w:ascii="Times New Roman" w:eastAsia="Times New Roman" w:hAnsi="Times New Roman" w:cs="Times New Roman"/>
                <w:b/>
                <w:sz w:val="28"/>
                <w:szCs w:val="28"/>
              </w:rPr>
              <w:t>2016</w:t>
            </w:r>
          </w:p>
        </w:tc>
      </w:tr>
      <w:tr w:rsidR="00153E07" w:rsidRPr="00153E07" w:rsidTr="00153E07">
        <w:trPr>
          <w:trHeight w:val="807"/>
        </w:trPr>
        <w:tc>
          <w:tcPr>
            <w:tcW w:w="2179"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Объем отгруженных товаров собственного производства, выполненных работ и услуг, тыс. руб.</w:t>
            </w:r>
          </w:p>
        </w:tc>
        <w:tc>
          <w:tcPr>
            <w:tcW w:w="470"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71516</w:t>
            </w:r>
          </w:p>
        </w:tc>
        <w:tc>
          <w:tcPr>
            <w:tcW w:w="470"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45934</w:t>
            </w:r>
          </w:p>
        </w:tc>
        <w:tc>
          <w:tcPr>
            <w:tcW w:w="470"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47606</w:t>
            </w:r>
          </w:p>
        </w:tc>
        <w:tc>
          <w:tcPr>
            <w:tcW w:w="470"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53748</w:t>
            </w:r>
          </w:p>
        </w:tc>
        <w:tc>
          <w:tcPr>
            <w:tcW w:w="470"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74886</w:t>
            </w:r>
          </w:p>
        </w:tc>
        <w:tc>
          <w:tcPr>
            <w:tcW w:w="470"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75429</w:t>
            </w:r>
          </w:p>
        </w:tc>
      </w:tr>
      <w:tr w:rsidR="00153E07" w:rsidRPr="00153E07" w:rsidTr="00153E07">
        <w:trPr>
          <w:trHeight w:val="630"/>
        </w:trPr>
        <w:tc>
          <w:tcPr>
            <w:tcW w:w="2179"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Дебиторская задолженность, тысяча рублей</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8921</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11861</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11715</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9117</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8681</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12695</w:t>
            </w:r>
          </w:p>
        </w:tc>
      </w:tr>
      <w:tr w:rsidR="00153E07" w:rsidRPr="00153E07" w:rsidTr="00153E07">
        <w:trPr>
          <w:trHeight w:val="898"/>
        </w:trPr>
        <w:tc>
          <w:tcPr>
            <w:tcW w:w="2179"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Соотношение дебиторской задолженности и объема отгруженных товаров собственного производства, %</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12,5</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25,8</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24,6</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17,0</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11,6</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16,8</w:t>
            </w:r>
          </w:p>
        </w:tc>
      </w:tr>
    </w:tbl>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Доля дебиторской задолженности в общем объеме отгруженных товаров собственного производства предприятий и организаций за исследуемый период времени была неравномерна. Это означает, что предприятия и организации уделяют недостаточное внимание контролю и взысканию дебиторской задолженности с покупателей и заказчиков, тем самым накапливая в новых периодах текущие долги и долги предыдущих периодов, что влечет за собой риск невозврата дебиторской задолженности вообще.</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таблице 1.7 представлены темпы роста дебиторской и кредиторской задолженностей, а также структурных элементов кредиторской задолженности.</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Полученная динамика показателей дебиторской и кредиторской задолженностей подтверждает неэффективность использования привлеченных заемных средств предприятиями и организациями. Даже в те периоды, когда дебиторская задолженность предприятий сокращается, т.е. превращается в денежные средства, кредиторская задолженность растет и накапливает долги за предыдущие периоды.</w:t>
      </w:r>
    </w:p>
    <w:p w:rsidR="00BE7256" w:rsidRDefault="00BE7256" w:rsidP="00822D2E">
      <w:pPr>
        <w:spacing w:after="0" w:line="240" w:lineRule="auto"/>
        <w:ind w:firstLine="709"/>
        <w:jc w:val="both"/>
        <w:rPr>
          <w:rFonts w:ascii="Times New Roman" w:eastAsia="Times New Roman" w:hAnsi="Times New Roman" w:cs="Times New Roman"/>
          <w:sz w:val="28"/>
          <w:szCs w:val="28"/>
        </w:rPr>
      </w:pPr>
    </w:p>
    <w:p w:rsidR="00B46799" w:rsidRDefault="00B46799"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Таблица 1.7</w:t>
      </w:r>
    </w:p>
    <w:p w:rsidR="00153E07" w:rsidRPr="00BE7256" w:rsidRDefault="00153E07" w:rsidP="00822D2E">
      <w:pPr>
        <w:spacing w:after="0" w:line="240" w:lineRule="auto"/>
        <w:jc w:val="center"/>
        <w:rPr>
          <w:rFonts w:ascii="Times New Roman" w:eastAsia="Times New Roman" w:hAnsi="Times New Roman" w:cs="Times New Roman"/>
          <w:b/>
          <w:sz w:val="28"/>
          <w:szCs w:val="28"/>
        </w:rPr>
      </w:pPr>
      <w:r w:rsidRPr="00BE7256">
        <w:rPr>
          <w:rFonts w:ascii="Times New Roman" w:eastAsia="Times New Roman" w:hAnsi="Times New Roman" w:cs="Times New Roman"/>
          <w:b/>
          <w:sz w:val="28"/>
          <w:szCs w:val="28"/>
        </w:rPr>
        <w:t>Темпы роста дебиторской и кредиторской задолженности, а также структурных элементов кредиторской задолженности предприятий и организаций в Бардымском муниципальном районе в 2011-2016гг.</w:t>
      </w:r>
    </w:p>
    <w:tbl>
      <w:tblPr>
        <w:tblW w:w="5000" w:type="pct"/>
        <w:tblLook w:val="04A0"/>
      </w:tblPr>
      <w:tblGrid>
        <w:gridCol w:w="4029"/>
        <w:gridCol w:w="1018"/>
        <w:gridCol w:w="1018"/>
        <w:gridCol w:w="1018"/>
        <w:gridCol w:w="1018"/>
        <w:gridCol w:w="1018"/>
        <w:gridCol w:w="1018"/>
      </w:tblGrid>
      <w:tr w:rsidR="00153E07" w:rsidRPr="00153E07" w:rsidTr="00153E07">
        <w:trPr>
          <w:trHeight w:val="510"/>
        </w:trPr>
        <w:tc>
          <w:tcPr>
            <w:tcW w:w="19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B46799" w:rsidRDefault="00153E07" w:rsidP="00822D2E">
            <w:pPr>
              <w:spacing w:after="0" w:line="240" w:lineRule="auto"/>
              <w:jc w:val="both"/>
              <w:rPr>
                <w:rFonts w:ascii="Times New Roman" w:eastAsia="Times New Roman" w:hAnsi="Times New Roman" w:cs="Times New Roman"/>
                <w:b/>
                <w:sz w:val="24"/>
                <w:szCs w:val="28"/>
              </w:rPr>
            </w:pPr>
            <w:r w:rsidRPr="00B46799">
              <w:rPr>
                <w:rFonts w:ascii="Times New Roman" w:eastAsia="Times New Roman" w:hAnsi="Times New Roman" w:cs="Times New Roman"/>
                <w:b/>
                <w:sz w:val="24"/>
                <w:szCs w:val="28"/>
              </w:rPr>
              <w:t>Показатель</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153E07" w:rsidRPr="00B46799" w:rsidRDefault="00153E07" w:rsidP="00822D2E">
            <w:pPr>
              <w:spacing w:after="0" w:line="240" w:lineRule="auto"/>
              <w:jc w:val="both"/>
              <w:rPr>
                <w:rFonts w:ascii="Times New Roman" w:eastAsia="Times New Roman" w:hAnsi="Times New Roman" w:cs="Times New Roman"/>
                <w:b/>
                <w:sz w:val="24"/>
                <w:szCs w:val="28"/>
              </w:rPr>
            </w:pPr>
            <w:r w:rsidRPr="00B46799">
              <w:rPr>
                <w:rFonts w:ascii="Times New Roman" w:eastAsia="Times New Roman" w:hAnsi="Times New Roman" w:cs="Times New Roman"/>
                <w:b/>
                <w:sz w:val="24"/>
                <w:szCs w:val="28"/>
              </w:rPr>
              <w:t>2012/ 2011</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153E07" w:rsidRPr="00B46799" w:rsidRDefault="00153E07" w:rsidP="00822D2E">
            <w:pPr>
              <w:spacing w:after="0" w:line="240" w:lineRule="auto"/>
              <w:jc w:val="both"/>
              <w:rPr>
                <w:rFonts w:ascii="Times New Roman" w:eastAsia="Times New Roman" w:hAnsi="Times New Roman" w:cs="Times New Roman"/>
                <w:b/>
                <w:sz w:val="24"/>
                <w:szCs w:val="28"/>
              </w:rPr>
            </w:pPr>
            <w:r w:rsidRPr="00B46799">
              <w:rPr>
                <w:rFonts w:ascii="Times New Roman" w:eastAsia="Times New Roman" w:hAnsi="Times New Roman" w:cs="Times New Roman"/>
                <w:b/>
                <w:sz w:val="24"/>
                <w:szCs w:val="28"/>
              </w:rPr>
              <w:t>2013/ 2012</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153E07" w:rsidRPr="00B46799" w:rsidRDefault="00153E07" w:rsidP="00822D2E">
            <w:pPr>
              <w:spacing w:after="0" w:line="240" w:lineRule="auto"/>
              <w:jc w:val="both"/>
              <w:rPr>
                <w:rFonts w:ascii="Times New Roman" w:eastAsia="Times New Roman" w:hAnsi="Times New Roman" w:cs="Times New Roman"/>
                <w:b/>
                <w:sz w:val="24"/>
                <w:szCs w:val="28"/>
              </w:rPr>
            </w:pPr>
            <w:r w:rsidRPr="00B46799">
              <w:rPr>
                <w:rFonts w:ascii="Times New Roman" w:eastAsia="Times New Roman" w:hAnsi="Times New Roman" w:cs="Times New Roman"/>
                <w:b/>
                <w:sz w:val="24"/>
                <w:szCs w:val="28"/>
              </w:rPr>
              <w:t>2014/ 2013</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153E07" w:rsidRPr="00B46799" w:rsidRDefault="00153E07" w:rsidP="00822D2E">
            <w:pPr>
              <w:spacing w:after="0" w:line="240" w:lineRule="auto"/>
              <w:jc w:val="both"/>
              <w:rPr>
                <w:rFonts w:ascii="Times New Roman" w:eastAsia="Times New Roman" w:hAnsi="Times New Roman" w:cs="Times New Roman"/>
                <w:b/>
                <w:sz w:val="24"/>
                <w:szCs w:val="28"/>
              </w:rPr>
            </w:pPr>
            <w:r w:rsidRPr="00B46799">
              <w:rPr>
                <w:rFonts w:ascii="Times New Roman" w:eastAsia="Times New Roman" w:hAnsi="Times New Roman" w:cs="Times New Roman"/>
                <w:b/>
                <w:sz w:val="24"/>
                <w:szCs w:val="28"/>
              </w:rPr>
              <w:t>2015/ 2014</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153E07" w:rsidRPr="00B46799" w:rsidRDefault="00153E07" w:rsidP="00822D2E">
            <w:pPr>
              <w:spacing w:after="0" w:line="240" w:lineRule="auto"/>
              <w:jc w:val="both"/>
              <w:rPr>
                <w:rFonts w:ascii="Times New Roman" w:eastAsia="Times New Roman" w:hAnsi="Times New Roman" w:cs="Times New Roman"/>
                <w:b/>
                <w:sz w:val="24"/>
                <w:szCs w:val="28"/>
              </w:rPr>
            </w:pPr>
            <w:r w:rsidRPr="00B46799">
              <w:rPr>
                <w:rFonts w:ascii="Times New Roman" w:eastAsia="Times New Roman" w:hAnsi="Times New Roman" w:cs="Times New Roman"/>
                <w:b/>
                <w:sz w:val="24"/>
                <w:szCs w:val="28"/>
              </w:rPr>
              <w:t>2016/ 2015</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153E07" w:rsidRPr="00B46799" w:rsidRDefault="00153E07" w:rsidP="00822D2E">
            <w:pPr>
              <w:spacing w:after="0" w:line="240" w:lineRule="auto"/>
              <w:jc w:val="both"/>
              <w:rPr>
                <w:rFonts w:ascii="Times New Roman" w:eastAsia="Times New Roman" w:hAnsi="Times New Roman" w:cs="Times New Roman"/>
                <w:b/>
                <w:sz w:val="24"/>
                <w:szCs w:val="28"/>
              </w:rPr>
            </w:pPr>
            <w:r w:rsidRPr="00B46799">
              <w:rPr>
                <w:rFonts w:ascii="Times New Roman" w:eastAsia="Times New Roman" w:hAnsi="Times New Roman" w:cs="Times New Roman"/>
                <w:b/>
                <w:sz w:val="24"/>
                <w:szCs w:val="28"/>
              </w:rPr>
              <w:t>2016/ 2011</w:t>
            </w:r>
          </w:p>
        </w:tc>
      </w:tr>
      <w:tr w:rsidR="00153E07" w:rsidRPr="00153E07" w:rsidTr="00153E07">
        <w:trPr>
          <w:trHeight w:val="231"/>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Дебиторская задолженность, %</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133,0</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98,8</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77,8</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95,2</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146,2</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142,3</w:t>
            </w:r>
          </w:p>
        </w:tc>
      </w:tr>
      <w:tr w:rsidR="00153E07" w:rsidRPr="00153E07" w:rsidTr="00153E07">
        <w:trPr>
          <w:trHeight w:val="265"/>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Кредиторская задолженность, %</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112,8</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128,4</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52,1</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154,0</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115,0</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133,7</w:t>
            </w:r>
          </w:p>
        </w:tc>
      </w:tr>
      <w:tr w:rsidR="00153E07" w:rsidRPr="00153E07" w:rsidTr="00153E07">
        <w:trPr>
          <w:trHeight w:val="565"/>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Задолженность перед поставщиками и подрядчиками, %</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111,1</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130,8</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52,3</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152,9</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123,3</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143,4</w:t>
            </w:r>
          </w:p>
        </w:tc>
      </w:tr>
      <w:tr w:rsidR="00153E07" w:rsidRPr="00153E07" w:rsidTr="00153E07">
        <w:trPr>
          <w:trHeight w:val="700"/>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Задолженность по платежам в бюджет из общей суммы кредиторской задолженности, %</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110,8</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110,3</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60,0</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137,0</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49,4</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49,6</w:t>
            </w:r>
          </w:p>
        </w:tc>
      </w:tr>
      <w:tr w:rsidR="00153E07" w:rsidRPr="00153E07" w:rsidTr="00153E07">
        <w:trPr>
          <w:trHeight w:val="1012"/>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Задолженность по платежам в государственные внебюджетные фонды из общей суммы кредиторской задолженности, %</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166,1</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108,7</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35,0</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235,0</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24,5</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36,4</w:t>
            </w:r>
          </w:p>
        </w:tc>
      </w:tr>
      <w:tr w:rsidR="00153E07" w:rsidRPr="00153E07" w:rsidTr="00153E07">
        <w:trPr>
          <w:trHeight w:val="471"/>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Задолженность по полученным займам и кредитам, %</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264</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15,2</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100</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100</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100</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B46799" w:rsidRDefault="00153E07" w:rsidP="00822D2E">
            <w:pPr>
              <w:spacing w:after="0" w:line="240" w:lineRule="auto"/>
              <w:jc w:val="both"/>
              <w:rPr>
                <w:rFonts w:ascii="Times New Roman" w:eastAsia="Times New Roman" w:hAnsi="Times New Roman" w:cs="Times New Roman"/>
                <w:sz w:val="24"/>
                <w:szCs w:val="28"/>
              </w:rPr>
            </w:pPr>
            <w:r w:rsidRPr="00B46799">
              <w:rPr>
                <w:rFonts w:ascii="Times New Roman" w:eastAsia="Times New Roman" w:hAnsi="Times New Roman" w:cs="Times New Roman"/>
                <w:sz w:val="24"/>
                <w:szCs w:val="28"/>
              </w:rPr>
              <w:t>40</w:t>
            </w:r>
          </w:p>
        </w:tc>
      </w:tr>
    </w:tbl>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Причиной роста кредиторской задолженности предприятий является задолженность перед поставщиками и подрядчиками. При этом наблюдается динамика снижения задолженностей по обязательным платежам, а также сокращаются объемы задолженности по кредитам и займам.</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Данную ситуацию можно охарактеризовать как использование предприятиями и организациями Бардымского муниципального района товарного, коммерческого кредита путем несвоевременной оплаты задолженности перед поставщиками и подрядчиками, благодаря чему они финансируют свои обязательные платежи и дебиторскую задолженность. Наглядно данная ситуация представлена на рисунке 1.4</w:t>
      </w:r>
      <w:r w:rsidR="00561116">
        <w:rPr>
          <w:rFonts w:ascii="Times New Roman" w:eastAsia="Times New Roman" w:hAnsi="Times New Roman" w:cs="Times New Roman"/>
          <w:sz w:val="28"/>
          <w:szCs w:val="28"/>
        </w:rPr>
        <w:t>4</w:t>
      </w:r>
      <w:r w:rsidRPr="00153E07">
        <w:rPr>
          <w:rFonts w:ascii="Times New Roman" w:eastAsia="Times New Roman" w:hAnsi="Times New Roman" w:cs="Times New Roman"/>
          <w:sz w:val="28"/>
          <w:szCs w:val="28"/>
        </w:rPr>
        <w:t>.</w:t>
      </w: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932627" cy="2779776"/>
            <wp:effectExtent l="0" t="0" r="0" b="0"/>
            <wp:docPr id="216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53E07" w:rsidRPr="00561116" w:rsidRDefault="00153E07" w:rsidP="00822D2E">
      <w:pPr>
        <w:spacing w:after="0" w:line="240" w:lineRule="auto"/>
        <w:ind w:firstLine="709"/>
        <w:jc w:val="both"/>
        <w:rPr>
          <w:rFonts w:ascii="Times New Roman" w:eastAsia="Times New Roman" w:hAnsi="Times New Roman" w:cs="Times New Roman"/>
          <w:b/>
          <w:sz w:val="28"/>
          <w:szCs w:val="28"/>
        </w:rPr>
      </w:pPr>
      <w:r w:rsidRPr="00561116">
        <w:rPr>
          <w:rFonts w:ascii="Times New Roman" w:eastAsia="Times New Roman" w:hAnsi="Times New Roman" w:cs="Times New Roman"/>
          <w:b/>
          <w:sz w:val="28"/>
          <w:szCs w:val="28"/>
        </w:rPr>
        <w:t>Рисунок 1.4</w:t>
      </w:r>
      <w:r w:rsidR="00561116" w:rsidRPr="00561116">
        <w:rPr>
          <w:rFonts w:ascii="Times New Roman" w:eastAsia="Times New Roman" w:hAnsi="Times New Roman" w:cs="Times New Roman"/>
          <w:b/>
          <w:sz w:val="28"/>
          <w:szCs w:val="28"/>
        </w:rPr>
        <w:t>4</w:t>
      </w:r>
      <w:r w:rsidRPr="00561116">
        <w:rPr>
          <w:rFonts w:ascii="Times New Roman" w:eastAsia="Times New Roman" w:hAnsi="Times New Roman" w:cs="Times New Roman"/>
          <w:b/>
          <w:sz w:val="28"/>
          <w:szCs w:val="28"/>
        </w:rPr>
        <w:t>. Динамика краткосрочной и долгосрочной кредиторской задолженности предприятий Бардымского муниципального района</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8"/>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Анализ финансовой деятельности предприятий и организаций Бардымского муниципального района показал, что экономика района имеет признаки моно- развития, в настоящее время наиболее весомыми являются кредитный, экономический риски, риски ликвидности, предприятия района развиваются экстенсивно, с низкими показателями ликвидности и рентабельности.</w:t>
      </w:r>
    </w:p>
    <w:p w:rsidR="00153E07" w:rsidRPr="00153E07" w:rsidRDefault="00153E07" w:rsidP="00822D2E">
      <w:pPr>
        <w:spacing w:after="0" w:line="240" w:lineRule="auto"/>
        <w:ind w:firstLine="708"/>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Предприятиям Бардымского муниципального района необходимо пересмотреть источники финансирования деятельности в пользу оптимизации расходов, повышения рентабельности бизнеса, аккумулирования собственных денежных средств, формирования политики развития за счет собственных финансов.</w:t>
      </w:r>
    </w:p>
    <w:p w:rsidR="00153E07" w:rsidRPr="00153E07" w:rsidRDefault="00153E07" w:rsidP="00153E07">
      <w:pPr>
        <w:spacing w:after="0"/>
        <w:jc w:val="both"/>
        <w:rPr>
          <w:rFonts w:ascii="Times New Roman" w:eastAsia="Times New Roman" w:hAnsi="Times New Roman" w:cs="Times New Roman"/>
          <w:sz w:val="28"/>
          <w:szCs w:val="28"/>
        </w:rPr>
      </w:pPr>
    </w:p>
    <w:p w:rsidR="00153E07" w:rsidRPr="00153E07" w:rsidRDefault="00153E07" w:rsidP="00822D2E">
      <w:pPr>
        <w:pStyle w:val="1"/>
        <w:spacing w:line="240" w:lineRule="auto"/>
      </w:pPr>
      <w:r w:rsidRPr="00153E07">
        <w:t>1.2.12 Инвестиции в основной капитал</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Инвестиции в основной капитал имеют в своем составе бюджетные средства и средства частных инвесторов (собственные и привлеченные). </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187481" cy="2289975"/>
            <wp:effectExtent l="19050" t="0" r="0" b="0"/>
            <wp:docPr id="2171"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53E07" w:rsidRPr="005E128E" w:rsidRDefault="00153E07" w:rsidP="00822D2E">
      <w:pPr>
        <w:spacing w:after="0" w:line="240" w:lineRule="auto"/>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1.4</w:t>
      </w:r>
      <w:r w:rsidR="007A2AEF" w:rsidRPr="005E128E">
        <w:rPr>
          <w:rFonts w:ascii="Times New Roman" w:eastAsia="Times New Roman" w:hAnsi="Times New Roman" w:cs="Times New Roman"/>
          <w:b/>
          <w:sz w:val="28"/>
          <w:szCs w:val="28"/>
        </w:rPr>
        <w:t>5</w:t>
      </w:r>
      <w:r w:rsidRPr="005E128E">
        <w:rPr>
          <w:rFonts w:ascii="Times New Roman" w:eastAsia="Times New Roman" w:hAnsi="Times New Roman" w:cs="Times New Roman"/>
          <w:b/>
          <w:sz w:val="28"/>
          <w:szCs w:val="28"/>
        </w:rPr>
        <w:t>. Структура инвестиций в основной капитал в Бардымском муниципальном районе (01.01.2011-01.01.2017</w:t>
      </w:r>
      <w:r w:rsidR="007A2AEF" w:rsidRPr="005E128E">
        <w:rPr>
          <w:rFonts w:ascii="Times New Roman" w:eastAsia="Times New Roman" w:hAnsi="Times New Roman" w:cs="Times New Roman"/>
          <w:b/>
          <w:sz w:val="28"/>
          <w:szCs w:val="28"/>
        </w:rPr>
        <w:t xml:space="preserve"> </w:t>
      </w:r>
      <w:r w:rsidRPr="005E128E">
        <w:rPr>
          <w:rFonts w:ascii="Times New Roman" w:eastAsia="Times New Roman" w:hAnsi="Times New Roman" w:cs="Times New Roman"/>
          <w:b/>
          <w:sz w:val="28"/>
          <w:szCs w:val="28"/>
        </w:rPr>
        <w:t>гг.), млн.руб.</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Как видно на рисунке, в структуре инвестиций в основной капитал преобладают собственные и привлеченные средства, т.е. инвесторами являются частные юридические и физические лица. Наибольшая доля основного капитала была проинвестирована частными инвесторами в 2013 году (90,9%). В последующие годы доля частных инвестиций в основной капитал сократилась за счет увеличения притока вложений из бюджетных средств. На конец 2016 года доля инвестиций за счет бюджетных средств увеличилась до 36,2% с 9,1% в 2013 году.</w:t>
      </w:r>
    </w:p>
    <w:p w:rsidR="00980ED1" w:rsidRDefault="00980ED1" w:rsidP="00822D2E">
      <w:pPr>
        <w:pStyle w:val="1"/>
        <w:spacing w:line="240" w:lineRule="auto"/>
      </w:pPr>
    </w:p>
    <w:p w:rsidR="00153E07" w:rsidRPr="00153E07" w:rsidRDefault="00153E07" w:rsidP="00822D2E">
      <w:pPr>
        <w:pStyle w:val="1"/>
        <w:spacing w:line="240" w:lineRule="auto"/>
      </w:pPr>
      <w:r w:rsidRPr="00153E07">
        <w:t>1.2.13 Малый бизнес</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настоящее время в Российской Федерации разработаны механизмы развития и поддержки малого предпринимательства, которые регулируются Федеральным законом №209-ФЗ от 24.07.207г.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О развитии малого и среднего предпринимательства в Российской Федерации</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и другими законодательными актами РФ и субъектами РФ.</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В таблице 1.</w:t>
      </w:r>
      <w:r w:rsidR="007A2AEF">
        <w:rPr>
          <w:rFonts w:ascii="Times New Roman" w:eastAsia="Times New Roman" w:hAnsi="Times New Roman" w:cs="Times New Roman"/>
          <w:sz w:val="28"/>
          <w:szCs w:val="28"/>
        </w:rPr>
        <w:t>8</w:t>
      </w:r>
      <w:r w:rsidRPr="00153E07">
        <w:rPr>
          <w:rFonts w:ascii="Times New Roman" w:eastAsia="Times New Roman" w:hAnsi="Times New Roman" w:cs="Times New Roman"/>
          <w:sz w:val="28"/>
          <w:szCs w:val="28"/>
        </w:rPr>
        <w:t xml:space="preserve"> представлена динамика развития малого предпринимательства в Бардымском муниципальном районе в период с 2011 по 2016 гг.</w:t>
      </w:r>
    </w:p>
    <w:p w:rsidR="00153E07" w:rsidRPr="00153E07" w:rsidRDefault="007A2AEF" w:rsidP="00BE7256">
      <w:pPr>
        <w:spacing w:after="0"/>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1.8</w:t>
      </w:r>
    </w:p>
    <w:p w:rsidR="00153E07" w:rsidRPr="00BE7256" w:rsidRDefault="00153E07" w:rsidP="00822D2E">
      <w:pPr>
        <w:spacing w:after="0" w:line="240" w:lineRule="auto"/>
        <w:jc w:val="center"/>
        <w:rPr>
          <w:rFonts w:ascii="Times New Roman" w:eastAsia="Times New Roman" w:hAnsi="Times New Roman" w:cs="Times New Roman"/>
          <w:b/>
          <w:sz w:val="28"/>
          <w:szCs w:val="28"/>
        </w:rPr>
      </w:pPr>
      <w:r w:rsidRPr="00BE7256">
        <w:rPr>
          <w:rFonts w:ascii="Times New Roman" w:eastAsia="Times New Roman" w:hAnsi="Times New Roman" w:cs="Times New Roman"/>
          <w:b/>
          <w:sz w:val="28"/>
          <w:szCs w:val="28"/>
        </w:rPr>
        <w:t>Динамика показателей малого и среднего предпринимательства в Бардымском муниципальном районе в 2011-2016 гг.</w:t>
      </w:r>
    </w:p>
    <w:tbl>
      <w:tblPr>
        <w:tblW w:w="5000" w:type="pct"/>
        <w:tblLayout w:type="fixed"/>
        <w:tblLook w:val="04A0"/>
      </w:tblPr>
      <w:tblGrid>
        <w:gridCol w:w="3782"/>
        <w:gridCol w:w="1271"/>
        <w:gridCol w:w="1271"/>
        <w:gridCol w:w="1271"/>
        <w:gridCol w:w="1271"/>
        <w:gridCol w:w="1271"/>
      </w:tblGrid>
      <w:tr w:rsidR="007A2AEF" w:rsidRPr="00153E07" w:rsidTr="00443EEA">
        <w:trPr>
          <w:trHeight w:val="300"/>
        </w:trPr>
        <w:tc>
          <w:tcPr>
            <w:tcW w:w="18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b/>
                <w:color w:val="000000"/>
                <w:szCs w:val="28"/>
              </w:rPr>
            </w:pPr>
            <w:r w:rsidRPr="00443EEA">
              <w:rPr>
                <w:rFonts w:ascii="Times New Roman" w:eastAsia="Times New Roman" w:hAnsi="Times New Roman" w:cs="Times New Roman"/>
                <w:b/>
                <w:color w:val="000000"/>
                <w:szCs w:val="28"/>
              </w:rPr>
              <w:t>Показатель</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b/>
                <w:color w:val="000000"/>
                <w:szCs w:val="28"/>
              </w:rPr>
            </w:pPr>
            <w:r w:rsidRPr="00443EEA">
              <w:rPr>
                <w:rFonts w:ascii="Times New Roman" w:eastAsia="Times New Roman" w:hAnsi="Times New Roman" w:cs="Times New Roman"/>
                <w:b/>
                <w:color w:val="000000"/>
                <w:szCs w:val="28"/>
              </w:rPr>
              <w:t>2012/2011</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b/>
                <w:color w:val="000000"/>
                <w:szCs w:val="28"/>
              </w:rPr>
            </w:pPr>
            <w:r w:rsidRPr="00443EEA">
              <w:rPr>
                <w:rFonts w:ascii="Times New Roman" w:eastAsia="Times New Roman" w:hAnsi="Times New Roman" w:cs="Times New Roman"/>
                <w:b/>
                <w:color w:val="000000"/>
                <w:szCs w:val="28"/>
              </w:rPr>
              <w:t>2013/2012</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b/>
                <w:color w:val="000000"/>
                <w:szCs w:val="28"/>
              </w:rPr>
            </w:pPr>
            <w:r w:rsidRPr="00443EEA">
              <w:rPr>
                <w:rFonts w:ascii="Times New Roman" w:eastAsia="Times New Roman" w:hAnsi="Times New Roman" w:cs="Times New Roman"/>
                <w:b/>
                <w:color w:val="000000"/>
                <w:szCs w:val="28"/>
              </w:rPr>
              <w:t>2014/2013</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b/>
                <w:color w:val="000000"/>
                <w:szCs w:val="28"/>
              </w:rPr>
            </w:pPr>
            <w:r w:rsidRPr="00443EEA">
              <w:rPr>
                <w:rFonts w:ascii="Times New Roman" w:eastAsia="Times New Roman" w:hAnsi="Times New Roman" w:cs="Times New Roman"/>
                <w:b/>
                <w:color w:val="000000"/>
                <w:szCs w:val="28"/>
              </w:rPr>
              <w:t>2015/2014</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b/>
                <w:color w:val="000000"/>
                <w:szCs w:val="28"/>
              </w:rPr>
            </w:pPr>
            <w:r w:rsidRPr="00443EEA">
              <w:rPr>
                <w:rFonts w:ascii="Times New Roman" w:eastAsia="Times New Roman" w:hAnsi="Times New Roman" w:cs="Times New Roman"/>
                <w:b/>
                <w:color w:val="000000"/>
                <w:szCs w:val="28"/>
              </w:rPr>
              <w:t>2016/2015</w:t>
            </w:r>
          </w:p>
        </w:tc>
      </w:tr>
      <w:tr w:rsidR="007A2AEF" w:rsidRPr="00153E07" w:rsidTr="00443EEA">
        <w:trPr>
          <w:trHeight w:val="300"/>
        </w:trPr>
        <w:tc>
          <w:tcPr>
            <w:tcW w:w="1865" w:type="pct"/>
            <w:tcBorders>
              <w:top w:val="nil"/>
              <w:left w:val="single" w:sz="4" w:space="0" w:color="auto"/>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Число субъектов малого предпринимательства, единиц</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-13,76</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20,48</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-1,88</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-0,24</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3,59</w:t>
            </w:r>
          </w:p>
        </w:tc>
      </w:tr>
      <w:tr w:rsidR="007A2AEF" w:rsidRPr="00153E07" w:rsidTr="00443EEA">
        <w:trPr>
          <w:trHeight w:val="300"/>
        </w:trPr>
        <w:tc>
          <w:tcPr>
            <w:tcW w:w="1865" w:type="pct"/>
            <w:tcBorders>
              <w:top w:val="nil"/>
              <w:left w:val="single" w:sz="4" w:space="0" w:color="auto"/>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Число малых предприятий (включая микропредприятия), единиц</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-0,79</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1,20</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-2,37</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0,00</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14,98</w:t>
            </w:r>
          </w:p>
        </w:tc>
      </w:tr>
      <w:tr w:rsidR="007A2AEF" w:rsidRPr="00153E07" w:rsidTr="00443EEA">
        <w:trPr>
          <w:trHeight w:val="300"/>
        </w:trPr>
        <w:tc>
          <w:tcPr>
            <w:tcW w:w="1865" w:type="pct"/>
            <w:tcBorders>
              <w:top w:val="nil"/>
              <w:left w:val="single" w:sz="4" w:space="0" w:color="auto"/>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Число ИП и КФХ зарегистрированных в статистическом регистре, единиц</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0,17</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2,56</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-1,67</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0,51</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6,41</w:t>
            </w:r>
          </w:p>
        </w:tc>
      </w:tr>
      <w:tr w:rsidR="007A2AEF" w:rsidRPr="00153E07" w:rsidTr="00443EEA">
        <w:trPr>
          <w:trHeight w:val="300"/>
        </w:trPr>
        <w:tc>
          <w:tcPr>
            <w:tcW w:w="1865" w:type="pct"/>
            <w:tcBorders>
              <w:top w:val="nil"/>
              <w:left w:val="single" w:sz="4" w:space="0" w:color="auto"/>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Число работающих в сфере малого предпринимательства, чел.</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-28,63</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42,73</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-1,25</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-39,79</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14,20</w:t>
            </w:r>
          </w:p>
        </w:tc>
      </w:tr>
    </w:tbl>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 2011 по 2016 гг. представленные показатели не продемонстрировали единой динамики, наибольший пик был зафиксирован в 2013 году. Причинами которого стало утверждение Приказом Министерства сельского хозяйства Российской Федерации</w:t>
      </w:r>
      <w:r w:rsidR="007A2AEF">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173 от 06.03.2012</w:t>
      </w:r>
      <w:r w:rsidR="007A2AEF">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xml:space="preserve">г.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Программы по развитию семейных животноводческих ферм</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которая стимулировала интерес личных подсобных хозяйств (ЛПХ) к увеличению доходов, расширению сельскохозяйственных территорий и, как следствие, росту производства.</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октябре 2014 года Министерством сельского хозяйства и продовольствия Пермского края была утверждена комплексная программа</w:t>
      </w:r>
      <w:r w:rsidR="00DE2D0E">
        <w:rPr>
          <w:rFonts w:ascii="Times New Roman" w:eastAsia="Times New Roman" w:hAnsi="Times New Roman" w:cs="Times New Roman"/>
          <w:sz w:val="28"/>
          <w:szCs w:val="28"/>
        </w:rPr>
        <w:t>»</w:t>
      </w:r>
      <w:r w:rsidR="005E128E">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Развитие семейных животноводческих ферм на базе крестьянских (фермерских) хозяйств в Пермском крае на 2015-2017 годы</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благодаря которой интерес к развитию сельского хозяйства у жителей края был пролонгирован.</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Кроме того, в Бардымском муниципальном районе активно проводится политика отказа от неэффективных расходов бюджета. В данном случае неэффективными расходами бюджета выступают затраты на оплату труда непрофильного персонала. Таким образом, в учреждениях здравоохранения, образования сокращают непрофильные для учреждений ставки и передают соответствующие задачи на аутсорсинг.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Благодаря такому решению администрации Бардымского муниципального района происходит профессиональное разделение труда, которое влечет за собой рост инициативы среди населения по организации профильного малого бизнеса. Данные бизнес-идеи поддерживаются руководством Бардымского муниципального района и имеют в дальнейшем развитие и поддержку в виде субсидий.</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Динамика субъектов малого предпринимательства в Бардымском муниципальном районе представлена на рисунке 1.</w:t>
      </w:r>
      <w:r w:rsidR="005E128E">
        <w:rPr>
          <w:rFonts w:ascii="Times New Roman" w:eastAsia="Times New Roman" w:hAnsi="Times New Roman" w:cs="Times New Roman"/>
          <w:sz w:val="28"/>
          <w:szCs w:val="28"/>
        </w:rPr>
        <w:t>46</w:t>
      </w:r>
      <w:r w:rsidRPr="00153E07">
        <w:rPr>
          <w:rFonts w:ascii="Times New Roman" w:eastAsia="Times New Roman" w:hAnsi="Times New Roman" w:cs="Times New Roman"/>
          <w:sz w:val="28"/>
          <w:szCs w:val="28"/>
        </w:rPr>
        <w:t>.</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lastRenderedPageBreak/>
        <w:drawing>
          <wp:inline distT="0" distB="0" distL="0" distR="0">
            <wp:extent cx="5762625" cy="2571750"/>
            <wp:effectExtent l="19050" t="0" r="0" b="0"/>
            <wp:docPr id="217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53E07" w:rsidRPr="005E128E" w:rsidRDefault="00153E07" w:rsidP="00822D2E">
      <w:pPr>
        <w:spacing w:after="0" w:line="240" w:lineRule="auto"/>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w:t>
      </w:r>
      <w:r w:rsidR="005E128E">
        <w:rPr>
          <w:rFonts w:ascii="Times New Roman" w:eastAsia="Times New Roman" w:hAnsi="Times New Roman" w:cs="Times New Roman"/>
          <w:b/>
          <w:sz w:val="28"/>
          <w:szCs w:val="28"/>
        </w:rPr>
        <w:t>46</w:t>
      </w:r>
      <w:r w:rsidRPr="005E128E">
        <w:rPr>
          <w:rFonts w:ascii="Times New Roman" w:eastAsia="Times New Roman" w:hAnsi="Times New Roman" w:cs="Times New Roman"/>
          <w:b/>
          <w:sz w:val="28"/>
          <w:szCs w:val="28"/>
        </w:rPr>
        <w:t>. Динамика субъектов малого предпринимательства в Бардымском муниципальном районе, (01.01.2011 – 01.01.2017</w:t>
      </w:r>
      <w:r w:rsidR="005E128E">
        <w:rPr>
          <w:rFonts w:ascii="Times New Roman" w:eastAsia="Times New Roman" w:hAnsi="Times New Roman" w:cs="Times New Roman"/>
          <w:b/>
          <w:sz w:val="28"/>
          <w:szCs w:val="28"/>
        </w:rPr>
        <w:t xml:space="preserve"> </w:t>
      </w:r>
      <w:r w:rsidRPr="005E128E">
        <w:rPr>
          <w:rFonts w:ascii="Times New Roman" w:eastAsia="Times New Roman" w:hAnsi="Times New Roman" w:cs="Times New Roman"/>
          <w:b/>
          <w:sz w:val="28"/>
          <w:szCs w:val="28"/>
        </w:rPr>
        <w:t>г.)</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Администрация Бардымского муниципального района проводит мероприятия по развитию и поддержке малого бизнеса на территории района в следующих формах:</w:t>
      </w:r>
    </w:p>
    <w:p w:rsidR="005E128E" w:rsidRDefault="00153E07" w:rsidP="00822D2E">
      <w:pPr>
        <w:pStyle w:val="af1"/>
        <w:numPr>
          <w:ilvl w:val="0"/>
          <w:numId w:val="8"/>
        </w:numPr>
        <w:spacing w:after="0" w:line="240" w:lineRule="auto"/>
        <w:jc w:val="both"/>
        <w:rPr>
          <w:rFonts w:ascii="Times New Roman" w:eastAsia="Times New Roman" w:hAnsi="Times New Roman" w:cs="Times New Roman"/>
          <w:sz w:val="28"/>
          <w:szCs w:val="28"/>
        </w:rPr>
      </w:pPr>
      <w:r w:rsidRPr="005E128E">
        <w:rPr>
          <w:rFonts w:ascii="Times New Roman" w:eastAsia="Times New Roman" w:hAnsi="Times New Roman" w:cs="Times New Roman"/>
          <w:sz w:val="28"/>
          <w:szCs w:val="28"/>
        </w:rPr>
        <w:t xml:space="preserve">Ежегодное финансирование по подпрограмме </w:t>
      </w:r>
      <w:r w:rsidR="00DE2D0E" w:rsidRPr="005E128E">
        <w:rPr>
          <w:rFonts w:ascii="Times New Roman" w:eastAsia="Times New Roman" w:hAnsi="Times New Roman" w:cs="Times New Roman"/>
          <w:sz w:val="28"/>
          <w:szCs w:val="28"/>
        </w:rPr>
        <w:t>«</w:t>
      </w:r>
      <w:r w:rsidRPr="005E128E">
        <w:rPr>
          <w:rFonts w:ascii="Times New Roman" w:eastAsia="Times New Roman" w:hAnsi="Times New Roman" w:cs="Times New Roman"/>
          <w:sz w:val="28"/>
          <w:szCs w:val="28"/>
        </w:rPr>
        <w:t>Развитие малого и среднего предпринимательства</w:t>
      </w:r>
      <w:r w:rsidR="00DE2D0E" w:rsidRPr="005E128E">
        <w:rPr>
          <w:rFonts w:ascii="Times New Roman" w:eastAsia="Times New Roman" w:hAnsi="Times New Roman" w:cs="Times New Roman"/>
          <w:sz w:val="28"/>
          <w:szCs w:val="28"/>
        </w:rPr>
        <w:t>»</w:t>
      </w:r>
      <w:r w:rsidRPr="005E128E">
        <w:rPr>
          <w:rFonts w:ascii="Times New Roman" w:eastAsia="Times New Roman" w:hAnsi="Times New Roman" w:cs="Times New Roman"/>
          <w:sz w:val="28"/>
          <w:szCs w:val="28"/>
        </w:rPr>
        <w:t xml:space="preserve">. </w:t>
      </w:r>
    </w:p>
    <w:p w:rsidR="00153E07" w:rsidRPr="005E128E" w:rsidRDefault="00153E07" w:rsidP="00822D2E">
      <w:pPr>
        <w:pStyle w:val="af1"/>
        <w:numPr>
          <w:ilvl w:val="0"/>
          <w:numId w:val="8"/>
        </w:numPr>
        <w:spacing w:after="0" w:line="240" w:lineRule="auto"/>
        <w:jc w:val="both"/>
        <w:rPr>
          <w:rFonts w:ascii="Times New Roman" w:eastAsia="Times New Roman" w:hAnsi="Times New Roman" w:cs="Times New Roman"/>
          <w:sz w:val="28"/>
          <w:szCs w:val="28"/>
        </w:rPr>
      </w:pPr>
      <w:r w:rsidRPr="005E128E">
        <w:rPr>
          <w:rFonts w:ascii="Times New Roman" w:eastAsia="Times New Roman" w:hAnsi="Times New Roman" w:cs="Times New Roman"/>
          <w:sz w:val="28"/>
          <w:szCs w:val="28"/>
        </w:rPr>
        <w:t>Проведение мероприятия для улучшения инвестиционного климата в районе.</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pStyle w:val="1"/>
        <w:spacing w:line="240" w:lineRule="auto"/>
      </w:pPr>
      <w:r w:rsidRPr="00153E07">
        <w:t>1.2.14 Сельское хозяйство</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Агропромышленный комплекс Бардымского муниципального района представлен как продукцией растениеводства, так и продукцией животноводства.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первую очередь проведен анализ растениеводства Бардымского муниципального района. На рисунке 1.51 представлены размеры и динамика посевных площадей сельскохозяйственных культур в хозяйствах всех категорий (01.01.2011-01.01.2017 г.)</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19775" cy="2657475"/>
            <wp:effectExtent l="0" t="0" r="0" b="0"/>
            <wp:docPr id="217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53E07" w:rsidRPr="00112206" w:rsidRDefault="00153E07" w:rsidP="00822D2E">
      <w:pPr>
        <w:spacing w:after="0" w:line="240" w:lineRule="auto"/>
        <w:jc w:val="both"/>
        <w:rPr>
          <w:rFonts w:ascii="Times New Roman" w:eastAsia="Times New Roman" w:hAnsi="Times New Roman" w:cs="Times New Roman"/>
          <w:b/>
          <w:sz w:val="28"/>
          <w:szCs w:val="28"/>
        </w:rPr>
      </w:pPr>
      <w:r w:rsidRPr="00112206">
        <w:rPr>
          <w:rFonts w:ascii="Times New Roman" w:eastAsia="Times New Roman" w:hAnsi="Times New Roman" w:cs="Times New Roman"/>
          <w:b/>
          <w:sz w:val="28"/>
          <w:szCs w:val="28"/>
        </w:rPr>
        <w:t>Рисунок 1.</w:t>
      </w:r>
      <w:r w:rsidR="00112206" w:rsidRPr="00112206">
        <w:rPr>
          <w:rFonts w:ascii="Times New Roman" w:eastAsia="Times New Roman" w:hAnsi="Times New Roman" w:cs="Times New Roman"/>
          <w:b/>
          <w:sz w:val="28"/>
          <w:szCs w:val="28"/>
        </w:rPr>
        <w:t>47</w:t>
      </w:r>
      <w:r w:rsidRPr="00112206">
        <w:rPr>
          <w:rFonts w:ascii="Times New Roman" w:eastAsia="Times New Roman" w:hAnsi="Times New Roman" w:cs="Times New Roman"/>
          <w:b/>
          <w:sz w:val="28"/>
          <w:szCs w:val="28"/>
        </w:rPr>
        <w:t>. Посевные площади сельскохозяйственных культур в хозяйствах всех категорий, гектар</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 xml:space="preserve">Анализ показал, что посевные площади в Бардымском районе </w:t>
      </w:r>
      <w:r w:rsidR="00306DDD">
        <w:rPr>
          <w:rFonts w:ascii="Times New Roman" w:eastAsia="Times New Roman" w:hAnsi="Times New Roman" w:cs="Times New Roman"/>
          <w:sz w:val="28"/>
          <w:szCs w:val="28"/>
        </w:rPr>
        <w:t>до 2014 года шли к сокращению, с 2015 года начали увеличиваться</w:t>
      </w:r>
      <w:r w:rsidRPr="00153E07">
        <w:rPr>
          <w:rFonts w:ascii="Times New Roman" w:eastAsia="Times New Roman" w:hAnsi="Times New Roman" w:cs="Times New Roman"/>
          <w:sz w:val="28"/>
          <w:szCs w:val="28"/>
        </w:rPr>
        <w:t>. Так в 2011 году посевные площади в районе занимали 18867 гектар, а в 201</w:t>
      </w:r>
      <w:r w:rsidR="00306DDD">
        <w:rPr>
          <w:rFonts w:ascii="Times New Roman" w:eastAsia="Times New Roman" w:hAnsi="Times New Roman" w:cs="Times New Roman"/>
          <w:sz w:val="28"/>
          <w:szCs w:val="28"/>
        </w:rPr>
        <w:t>4</w:t>
      </w:r>
      <w:r w:rsidRPr="00153E07">
        <w:rPr>
          <w:rFonts w:ascii="Times New Roman" w:eastAsia="Times New Roman" w:hAnsi="Times New Roman" w:cs="Times New Roman"/>
          <w:sz w:val="28"/>
          <w:szCs w:val="28"/>
        </w:rPr>
        <w:t xml:space="preserve"> году – уже 13</w:t>
      </w:r>
      <w:r w:rsidR="00306DDD">
        <w:rPr>
          <w:rFonts w:ascii="Times New Roman" w:eastAsia="Times New Roman" w:hAnsi="Times New Roman" w:cs="Times New Roman"/>
          <w:sz w:val="28"/>
          <w:szCs w:val="28"/>
        </w:rPr>
        <w:t>534</w:t>
      </w:r>
      <w:r w:rsidRPr="00153E07">
        <w:rPr>
          <w:rFonts w:ascii="Times New Roman" w:eastAsia="Times New Roman" w:hAnsi="Times New Roman" w:cs="Times New Roman"/>
          <w:sz w:val="28"/>
          <w:szCs w:val="28"/>
        </w:rPr>
        <w:t xml:space="preserve"> гектар, </w:t>
      </w:r>
      <w:r w:rsidR="00306DDD">
        <w:rPr>
          <w:rFonts w:ascii="Times New Roman" w:eastAsia="Times New Roman" w:hAnsi="Times New Roman" w:cs="Times New Roman"/>
          <w:sz w:val="28"/>
          <w:szCs w:val="28"/>
        </w:rPr>
        <w:t>а к 2016 году – 13937 гектар</w:t>
      </w:r>
      <w:r w:rsidRPr="00153E07">
        <w:rPr>
          <w:rFonts w:ascii="Times New Roman" w:eastAsia="Times New Roman" w:hAnsi="Times New Roman" w:cs="Times New Roman"/>
          <w:sz w:val="28"/>
          <w:szCs w:val="28"/>
        </w:rPr>
        <w:t>.</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таблице 1.10 рассчитан показатель урожайности посевных площадей на даты 01.01.2011 – 01.01.2017г.</w:t>
      </w:r>
    </w:p>
    <w:p w:rsidR="00153E07" w:rsidRPr="00153E07" w:rsidRDefault="00153E07" w:rsidP="00822D2E">
      <w:pPr>
        <w:spacing w:after="0" w:line="240" w:lineRule="auto"/>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w:t>
      </w:r>
      <w:r w:rsidR="00112206">
        <w:rPr>
          <w:rFonts w:ascii="Times New Roman" w:eastAsia="Times New Roman" w:hAnsi="Times New Roman" w:cs="Times New Roman"/>
          <w:sz w:val="28"/>
          <w:szCs w:val="28"/>
        </w:rPr>
        <w:t>9</w:t>
      </w:r>
    </w:p>
    <w:p w:rsidR="00153E07" w:rsidRPr="00633809" w:rsidRDefault="00153E07" w:rsidP="00822D2E">
      <w:pPr>
        <w:spacing w:after="0" w:line="240" w:lineRule="auto"/>
        <w:jc w:val="center"/>
        <w:rPr>
          <w:rFonts w:ascii="Times New Roman" w:eastAsia="Times New Roman" w:hAnsi="Times New Roman" w:cs="Times New Roman"/>
          <w:b/>
          <w:sz w:val="28"/>
          <w:szCs w:val="28"/>
        </w:rPr>
      </w:pPr>
      <w:r w:rsidRPr="00633809">
        <w:rPr>
          <w:rFonts w:ascii="Times New Roman" w:eastAsia="Times New Roman" w:hAnsi="Times New Roman" w:cs="Times New Roman"/>
          <w:b/>
          <w:sz w:val="28"/>
          <w:szCs w:val="28"/>
        </w:rPr>
        <w:t>Урожайность посевных площадей Бардымского муниципального района</w:t>
      </w:r>
    </w:p>
    <w:tbl>
      <w:tblPr>
        <w:tblW w:w="5000" w:type="pct"/>
        <w:tblLook w:val="04A0"/>
      </w:tblPr>
      <w:tblGrid>
        <w:gridCol w:w="2517"/>
        <w:gridCol w:w="1206"/>
        <w:gridCol w:w="1052"/>
        <w:gridCol w:w="1052"/>
        <w:gridCol w:w="1200"/>
        <w:gridCol w:w="1052"/>
        <w:gridCol w:w="1050"/>
        <w:gridCol w:w="1008"/>
      </w:tblGrid>
      <w:tr w:rsidR="00153E07" w:rsidRPr="00153E07" w:rsidTr="00153E07">
        <w:trPr>
          <w:trHeight w:val="315"/>
        </w:trPr>
        <w:tc>
          <w:tcPr>
            <w:tcW w:w="1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Показатель</w:t>
            </w:r>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2011 г.</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2012 г.</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2013 г.</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2014 г.</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2015 г.</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2016 г.</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2017 г.</w:t>
            </w:r>
          </w:p>
        </w:tc>
      </w:tr>
      <w:tr w:rsidR="00153E07" w:rsidRPr="00153E07" w:rsidTr="00153E07">
        <w:trPr>
          <w:trHeight w:val="956"/>
        </w:trPr>
        <w:tc>
          <w:tcPr>
            <w:tcW w:w="1241" w:type="pct"/>
            <w:tcBorders>
              <w:top w:val="nil"/>
              <w:left w:val="single" w:sz="4" w:space="0" w:color="auto"/>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Урожайность посевных площадей под картофель, ц/га</w:t>
            </w:r>
          </w:p>
        </w:tc>
        <w:tc>
          <w:tcPr>
            <w:tcW w:w="595"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112,4</w:t>
            </w:r>
          </w:p>
        </w:tc>
        <w:tc>
          <w:tcPr>
            <w:tcW w:w="519"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230,0</w:t>
            </w:r>
          </w:p>
        </w:tc>
        <w:tc>
          <w:tcPr>
            <w:tcW w:w="519"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125,0</w:t>
            </w:r>
          </w:p>
        </w:tc>
        <w:tc>
          <w:tcPr>
            <w:tcW w:w="592"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223,0</w:t>
            </w:r>
          </w:p>
        </w:tc>
        <w:tc>
          <w:tcPr>
            <w:tcW w:w="519"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247,0</w:t>
            </w:r>
          </w:p>
        </w:tc>
        <w:tc>
          <w:tcPr>
            <w:tcW w:w="518"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243,0</w:t>
            </w:r>
          </w:p>
        </w:tc>
        <w:tc>
          <w:tcPr>
            <w:tcW w:w="498"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98,0</w:t>
            </w:r>
          </w:p>
        </w:tc>
      </w:tr>
      <w:tr w:rsidR="00153E07" w:rsidRPr="00153E07" w:rsidTr="00153E07">
        <w:trPr>
          <w:trHeight w:val="1114"/>
        </w:trPr>
        <w:tc>
          <w:tcPr>
            <w:tcW w:w="1241" w:type="pct"/>
            <w:tcBorders>
              <w:top w:val="nil"/>
              <w:left w:val="single" w:sz="4" w:space="0" w:color="auto"/>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Урожайность посевных площадей под зерновые и бобовые, ц/га</w:t>
            </w:r>
          </w:p>
        </w:tc>
        <w:tc>
          <w:tcPr>
            <w:tcW w:w="595"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5,2</w:t>
            </w:r>
          </w:p>
        </w:tc>
        <w:tc>
          <w:tcPr>
            <w:tcW w:w="519"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12,5</w:t>
            </w:r>
          </w:p>
        </w:tc>
        <w:tc>
          <w:tcPr>
            <w:tcW w:w="519"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8,5</w:t>
            </w:r>
          </w:p>
        </w:tc>
        <w:tc>
          <w:tcPr>
            <w:tcW w:w="592"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6,4</w:t>
            </w:r>
          </w:p>
        </w:tc>
        <w:tc>
          <w:tcPr>
            <w:tcW w:w="519"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16,1</w:t>
            </w:r>
          </w:p>
        </w:tc>
        <w:tc>
          <w:tcPr>
            <w:tcW w:w="518"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14,6</w:t>
            </w:r>
          </w:p>
        </w:tc>
        <w:tc>
          <w:tcPr>
            <w:tcW w:w="498"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8,5</w:t>
            </w:r>
          </w:p>
        </w:tc>
      </w:tr>
      <w:tr w:rsidR="00153E07" w:rsidRPr="00153E07" w:rsidTr="00153E07">
        <w:trPr>
          <w:trHeight w:val="987"/>
        </w:trPr>
        <w:tc>
          <w:tcPr>
            <w:tcW w:w="1241" w:type="pct"/>
            <w:tcBorders>
              <w:top w:val="nil"/>
              <w:left w:val="single" w:sz="4" w:space="0" w:color="auto"/>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Урожайность посевных площадей под овощи, ц/га</w:t>
            </w:r>
          </w:p>
        </w:tc>
        <w:tc>
          <w:tcPr>
            <w:tcW w:w="595"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150,2</w:t>
            </w:r>
          </w:p>
        </w:tc>
        <w:tc>
          <w:tcPr>
            <w:tcW w:w="519" w:type="pct"/>
            <w:tcBorders>
              <w:top w:val="nil"/>
              <w:left w:val="nil"/>
              <w:bottom w:val="single" w:sz="4" w:space="0" w:color="auto"/>
              <w:right w:val="single" w:sz="4" w:space="0" w:color="auto"/>
            </w:tcBorders>
            <w:shd w:val="clear" w:color="auto" w:fill="auto"/>
            <w:noWrap/>
            <w:vAlign w:val="center"/>
            <w:hideMark/>
          </w:tcPr>
          <w:p w:rsidR="00153E07" w:rsidRPr="00112206" w:rsidRDefault="00306DDD"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124</w:t>
            </w:r>
          </w:p>
        </w:tc>
        <w:tc>
          <w:tcPr>
            <w:tcW w:w="519"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43,0</w:t>
            </w:r>
          </w:p>
        </w:tc>
        <w:tc>
          <w:tcPr>
            <w:tcW w:w="592"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125,6</w:t>
            </w:r>
          </w:p>
        </w:tc>
        <w:tc>
          <w:tcPr>
            <w:tcW w:w="519"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139,0</w:t>
            </w:r>
          </w:p>
        </w:tc>
        <w:tc>
          <w:tcPr>
            <w:tcW w:w="518"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138,5</w:t>
            </w:r>
          </w:p>
        </w:tc>
        <w:tc>
          <w:tcPr>
            <w:tcW w:w="498" w:type="pct"/>
            <w:tcBorders>
              <w:top w:val="nil"/>
              <w:left w:val="nil"/>
              <w:bottom w:val="single" w:sz="4" w:space="0" w:color="auto"/>
              <w:right w:val="single" w:sz="4" w:space="0" w:color="auto"/>
            </w:tcBorders>
            <w:shd w:val="clear" w:color="auto" w:fill="auto"/>
            <w:noWrap/>
            <w:vAlign w:val="center"/>
            <w:hideMark/>
          </w:tcPr>
          <w:p w:rsidR="00153E07" w:rsidRPr="00112206" w:rsidRDefault="00306DDD"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84,0</w:t>
            </w:r>
          </w:p>
        </w:tc>
      </w:tr>
    </w:tbl>
    <w:p w:rsidR="00153E07" w:rsidRPr="00153E07" w:rsidRDefault="00153E07" w:rsidP="00822D2E">
      <w:pPr>
        <w:spacing w:after="0" w:line="240" w:lineRule="auto"/>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целом наблюдается динамика сокращения урожайности сельскохозяйственных площадей. Резкие изменения показателей урожайности связаны с периодами засухи и, поэтому, годовой неурожайности. В частности, сокращение урожайности посевных площадей в 2013 и 2014 годах в Бардымском районе связано с сильной засухой, в результате которой погибло больше половины урожая. Динамика соответствующих показателей представлена на рисунке 1.</w:t>
      </w:r>
      <w:r w:rsidR="00112206">
        <w:rPr>
          <w:rFonts w:ascii="Times New Roman" w:eastAsia="Times New Roman" w:hAnsi="Times New Roman" w:cs="Times New Roman"/>
          <w:sz w:val="28"/>
          <w:szCs w:val="28"/>
        </w:rPr>
        <w:t>48</w:t>
      </w:r>
      <w:r w:rsidRPr="00153E07">
        <w:rPr>
          <w:rFonts w:ascii="Times New Roman" w:eastAsia="Times New Roman" w:hAnsi="Times New Roman" w:cs="Times New Roman"/>
          <w:sz w:val="28"/>
          <w:szCs w:val="28"/>
        </w:rPr>
        <w:t>.</w:t>
      </w:r>
    </w:p>
    <w:p w:rsidR="00153E07" w:rsidRPr="00153E07" w:rsidRDefault="00A625FC" w:rsidP="00153E07">
      <w:pPr>
        <w:spacing w:after="0"/>
        <w:ind w:firstLine="709"/>
        <w:jc w:val="both"/>
        <w:rPr>
          <w:rFonts w:ascii="Times New Roman" w:eastAsia="Times New Roman" w:hAnsi="Times New Roman" w:cs="Times New Roman"/>
          <w:sz w:val="28"/>
          <w:szCs w:val="28"/>
        </w:rPr>
      </w:pPr>
      <w:r w:rsidRPr="00A625FC">
        <w:rPr>
          <w:rFonts w:ascii="Times New Roman" w:eastAsia="Times New Roman" w:hAnsi="Times New Roman" w:cs="Times New Roman"/>
          <w:noProof/>
          <w:sz w:val="28"/>
          <w:szCs w:val="28"/>
        </w:rPr>
        <w:drawing>
          <wp:inline distT="0" distB="0" distL="0" distR="0">
            <wp:extent cx="5857240" cy="1885950"/>
            <wp:effectExtent l="19050" t="0" r="1016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53E07" w:rsidRPr="00112206" w:rsidRDefault="00112206" w:rsidP="00822D2E">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Рисунок 1.48</w:t>
      </w:r>
      <w:r w:rsidR="00153E07" w:rsidRPr="00112206">
        <w:rPr>
          <w:rFonts w:ascii="Times New Roman" w:eastAsia="Times New Roman" w:hAnsi="Times New Roman" w:cs="Times New Roman"/>
          <w:b/>
          <w:sz w:val="28"/>
          <w:szCs w:val="28"/>
        </w:rPr>
        <w:t>. Динамика урожайности посевных площадей Бардымского муниципального района, %</w:t>
      </w:r>
    </w:p>
    <w:p w:rsid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Результаты животноводческой деятельности Бардымского муниципального района представлены в таблице 1.1</w:t>
      </w:r>
      <w:r w:rsidR="00112206">
        <w:rPr>
          <w:rFonts w:ascii="Times New Roman" w:eastAsia="Times New Roman" w:hAnsi="Times New Roman" w:cs="Times New Roman"/>
          <w:sz w:val="28"/>
          <w:szCs w:val="28"/>
        </w:rPr>
        <w:t>0</w:t>
      </w:r>
      <w:r w:rsidRPr="00153E07">
        <w:rPr>
          <w:rFonts w:ascii="Times New Roman" w:eastAsia="Times New Roman" w:hAnsi="Times New Roman" w:cs="Times New Roman"/>
          <w:sz w:val="28"/>
          <w:szCs w:val="28"/>
        </w:rPr>
        <w:t>.</w:t>
      </w:r>
    </w:p>
    <w:p w:rsidR="00E444CA" w:rsidRDefault="00E444CA" w:rsidP="00822D2E">
      <w:pPr>
        <w:spacing w:after="0" w:line="240" w:lineRule="auto"/>
        <w:ind w:firstLine="709"/>
        <w:jc w:val="both"/>
        <w:rPr>
          <w:rFonts w:ascii="Times New Roman" w:eastAsia="Times New Roman" w:hAnsi="Times New Roman" w:cs="Times New Roman"/>
          <w:sz w:val="28"/>
          <w:szCs w:val="28"/>
        </w:rPr>
      </w:pPr>
    </w:p>
    <w:p w:rsidR="00E444CA" w:rsidRDefault="00E444CA" w:rsidP="00822D2E">
      <w:pPr>
        <w:spacing w:after="0" w:line="240" w:lineRule="auto"/>
        <w:ind w:firstLine="709"/>
        <w:jc w:val="both"/>
        <w:rPr>
          <w:rFonts w:ascii="Times New Roman" w:eastAsia="Times New Roman" w:hAnsi="Times New Roman" w:cs="Times New Roman"/>
          <w:sz w:val="28"/>
          <w:szCs w:val="28"/>
        </w:rPr>
      </w:pPr>
    </w:p>
    <w:p w:rsidR="00E444CA" w:rsidRPr="00153E07" w:rsidRDefault="00E444CA" w:rsidP="00822D2E">
      <w:pPr>
        <w:spacing w:after="0" w:line="240" w:lineRule="auto"/>
        <w:ind w:firstLine="709"/>
        <w:jc w:val="both"/>
        <w:rPr>
          <w:rFonts w:ascii="Times New Roman" w:eastAsia="Times New Roman" w:hAnsi="Times New Roman" w:cs="Times New Roman"/>
          <w:sz w:val="28"/>
          <w:szCs w:val="28"/>
        </w:rPr>
      </w:pPr>
    </w:p>
    <w:p w:rsidR="00112206" w:rsidRDefault="00112206" w:rsidP="00633809">
      <w:pPr>
        <w:spacing w:after="0"/>
        <w:ind w:firstLine="709"/>
        <w:jc w:val="right"/>
        <w:rPr>
          <w:rFonts w:ascii="Times New Roman" w:eastAsia="Times New Roman" w:hAnsi="Times New Roman" w:cs="Times New Roman"/>
          <w:sz w:val="28"/>
          <w:szCs w:val="28"/>
        </w:rPr>
      </w:pPr>
    </w:p>
    <w:p w:rsidR="00153E07" w:rsidRPr="00153E07" w:rsidRDefault="00153E07" w:rsidP="00633809">
      <w:pPr>
        <w:spacing w:after="0"/>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Таблица 1.1</w:t>
      </w:r>
      <w:r w:rsidR="00112206">
        <w:rPr>
          <w:rFonts w:ascii="Times New Roman" w:eastAsia="Times New Roman" w:hAnsi="Times New Roman" w:cs="Times New Roman"/>
          <w:sz w:val="28"/>
          <w:szCs w:val="28"/>
        </w:rPr>
        <w:t>0</w:t>
      </w:r>
    </w:p>
    <w:p w:rsidR="00153E07" w:rsidRPr="00112206" w:rsidRDefault="00153E07" w:rsidP="00822D2E">
      <w:pPr>
        <w:spacing w:after="0" w:line="240" w:lineRule="auto"/>
        <w:jc w:val="center"/>
        <w:rPr>
          <w:rFonts w:ascii="Times New Roman" w:eastAsia="Times New Roman" w:hAnsi="Times New Roman" w:cs="Times New Roman"/>
          <w:b/>
          <w:sz w:val="24"/>
          <w:szCs w:val="28"/>
        </w:rPr>
      </w:pPr>
      <w:r w:rsidRPr="00112206">
        <w:rPr>
          <w:rFonts w:ascii="Times New Roman" w:eastAsia="Times New Roman" w:hAnsi="Times New Roman" w:cs="Times New Roman"/>
          <w:b/>
          <w:sz w:val="24"/>
          <w:szCs w:val="28"/>
        </w:rPr>
        <w:t>Результаты животноводческой деятельности в Бардымском муниципальном районе</w:t>
      </w:r>
    </w:p>
    <w:tbl>
      <w:tblPr>
        <w:tblW w:w="5000" w:type="pct"/>
        <w:tblLook w:val="04A0"/>
      </w:tblPr>
      <w:tblGrid>
        <w:gridCol w:w="2704"/>
        <w:gridCol w:w="1063"/>
        <w:gridCol w:w="1062"/>
        <w:gridCol w:w="1062"/>
        <w:gridCol w:w="1062"/>
        <w:gridCol w:w="1062"/>
        <w:gridCol w:w="1062"/>
        <w:gridCol w:w="1060"/>
      </w:tblGrid>
      <w:tr w:rsidR="00153E07" w:rsidRPr="00112206" w:rsidTr="00153E07">
        <w:trPr>
          <w:trHeight w:val="315"/>
        </w:trPr>
        <w:tc>
          <w:tcPr>
            <w:tcW w:w="13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Показатель</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01.01.</w:t>
            </w:r>
          </w:p>
          <w:p w:rsidR="00153E07" w:rsidRPr="00E444CA" w:rsidRDefault="00153E07" w:rsidP="00822D2E">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2011 г.</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01.01.</w:t>
            </w:r>
          </w:p>
          <w:p w:rsidR="00153E07" w:rsidRPr="00E444CA" w:rsidRDefault="00153E07" w:rsidP="00822D2E">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2012 г.</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01.01.</w:t>
            </w:r>
          </w:p>
          <w:p w:rsidR="00153E07" w:rsidRPr="00E444CA" w:rsidRDefault="00153E07" w:rsidP="00822D2E">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2013 г.</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01.01.</w:t>
            </w:r>
          </w:p>
          <w:p w:rsidR="00153E07" w:rsidRPr="00E444CA" w:rsidRDefault="00153E07" w:rsidP="00822D2E">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2014 г.</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01.01.</w:t>
            </w:r>
          </w:p>
          <w:p w:rsidR="00153E07" w:rsidRPr="00E444CA" w:rsidRDefault="00153E07" w:rsidP="00822D2E">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2015 г.</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01.01.</w:t>
            </w:r>
          </w:p>
          <w:p w:rsidR="00153E07" w:rsidRPr="00E444CA" w:rsidRDefault="00153E07" w:rsidP="00822D2E">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2016 г.</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01.01.</w:t>
            </w:r>
          </w:p>
          <w:p w:rsidR="00153E07" w:rsidRPr="00E444CA" w:rsidRDefault="00153E07" w:rsidP="00822D2E">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2017 г.</w:t>
            </w:r>
          </w:p>
        </w:tc>
      </w:tr>
      <w:tr w:rsidR="00153E07" w:rsidRPr="00112206" w:rsidTr="00153E07">
        <w:trPr>
          <w:trHeight w:val="1338"/>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Производство скота и птицы на убой (в живом весе) в хозяйствах всех категорий, тн</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1757</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1677</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1580</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1617</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1821</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1591</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w:t>
            </w:r>
            <w:r w:rsidR="004D4D31" w:rsidRPr="00E444CA">
              <w:rPr>
                <w:rFonts w:ascii="Times New Roman" w:eastAsia="Times New Roman" w:hAnsi="Times New Roman" w:cs="Times New Roman"/>
                <w:color w:val="000000"/>
                <w:szCs w:val="28"/>
              </w:rPr>
              <w:t>638</w:t>
            </w:r>
          </w:p>
        </w:tc>
      </w:tr>
      <w:tr w:rsidR="00153E07" w:rsidRPr="00112206" w:rsidTr="00153E07">
        <w:trPr>
          <w:trHeight w:val="854"/>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Производство молока в хозяйствах всех категорий,  тн</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6125</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5583</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5058</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5169</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4489</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4755</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4764</w:t>
            </w:r>
          </w:p>
        </w:tc>
      </w:tr>
      <w:tr w:rsidR="00153E07" w:rsidRPr="00112206" w:rsidTr="00153E07">
        <w:trPr>
          <w:trHeight w:val="788"/>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Производство яиц в хозяйствах всех категорий, тыс. шт.</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743</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791</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758</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719</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1627</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2251</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2348</w:t>
            </w:r>
          </w:p>
        </w:tc>
      </w:tr>
      <w:tr w:rsidR="00153E07" w:rsidRPr="00112206" w:rsidTr="00153E07">
        <w:trPr>
          <w:trHeight w:val="943"/>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Поголовье КРС в  хозяйствах всех категорий, голов</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6229</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6085</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6361</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6121</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6173</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6468</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6483</w:t>
            </w:r>
          </w:p>
        </w:tc>
      </w:tr>
      <w:tr w:rsidR="00153E07" w:rsidRPr="00112206" w:rsidTr="00153E07">
        <w:trPr>
          <w:trHeight w:val="315"/>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в том числе:</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p>
        </w:tc>
      </w:tr>
      <w:tr w:rsidR="00153E07" w:rsidRPr="00112206" w:rsidTr="00153E07">
        <w:trPr>
          <w:trHeight w:val="315"/>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 коров, голов</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2168</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2174</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2295</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1972</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1983</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2131</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2136</w:t>
            </w:r>
          </w:p>
        </w:tc>
      </w:tr>
      <w:tr w:rsidR="00153E07" w:rsidRPr="00112206" w:rsidTr="00153E07">
        <w:trPr>
          <w:trHeight w:val="2453"/>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 коров специализированных мясных пород и поместного скота, полученного от скрещивания со специализированными мясными породами, голов</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50</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47</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52</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85</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173</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209</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224</w:t>
            </w:r>
          </w:p>
        </w:tc>
      </w:tr>
      <w:tr w:rsidR="00153E07" w:rsidRPr="00112206" w:rsidTr="00153E07">
        <w:trPr>
          <w:trHeight w:val="959"/>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Надои молока от одной коровы в с/х предприятиях, кг</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3718</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3824</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3648</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4211</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3653</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3131</w:t>
            </w:r>
          </w:p>
        </w:tc>
        <w:tc>
          <w:tcPr>
            <w:tcW w:w="52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3210</w:t>
            </w:r>
          </w:p>
        </w:tc>
      </w:tr>
    </w:tbl>
    <w:p w:rsidR="00153E07" w:rsidRPr="00153E07" w:rsidRDefault="00153E07" w:rsidP="00822D2E">
      <w:pPr>
        <w:spacing w:after="0" w:line="240" w:lineRule="auto"/>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Наглядным примером данных из таблицы 1.1</w:t>
      </w:r>
      <w:r w:rsidR="00112206">
        <w:rPr>
          <w:rFonts w:ascii="Times New Roman" w:eastAsia="Times New Roman" w:hAnsi="Times New Roman" w:cs="Times New Roman"/>
          <w:sz w:val="28"/>
          <w:szCs w:val="28"/>
        </w:rPr>
        <w:t>0</w:t>
      </w:r>
      <w:r w:rsidRPr="00153E07">
        <w:rPr>
          <w:rFonts w:ascii="Times New Roman" w:eastAsia="Times New Roman" w:hAnsi="Times New Roman" w:cs="Times New Roman"/>
          <w:sz w:val="28"/>
          <w:szCs w:val="28"/>
        </w:rPr>
        <w:t xml:space="preserve"> служит рисунок 1.</w:t>
      </w:r>
      <w:r w:rsidR="00112206">
        <w:rPr>
          <w:rFonts w:ascii="Times New Roman" w:eastAsia="Times New Roman" w:hAnsi="Times New Roman" w:cs="Times New Roman"/>
          <w:sz w:val="28"/>
          <w:szCs w:val="28"/>
        </w:rPr>
        <w:t>49</w:t>
      </w:r>
      <w:r w:rsidRPr="00153E07">
        <w:rPr>
          <w:rFonts w:ascii="Times New Roman" w:eastAsia="Times New Roman" w:hAnsi="Times New Roman" w:cs="Times New Roman"/>
          <w:sz w:val="28"/>
          <w:szCs w:val="28"/>
        </w:rPr>
        <w:t xml:space="preserve">. Данный рисунок ярко отражает общую ситуацию в России: объемы производства молока производства молочного КРС выше объемов производства мясного КРС.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показал, что за рассматриваемый период времени наблюдается сокращение производства скота и птицы на 15,8%, производство молока на 22,2%, надои молока от одной коровы – на 13,7%. Положительная динамика зафиксирована только по двум показателям - производство яиц – рост на 216%, поголовья КРС на 4,1%</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lastRenderedPageBreak/>
        <w:drawing>
          <wp:inline distT="0" distB="0" distL="0" distR="0">
            <wp:extent cx="5705475" cy="3276600"/>
            <wp:effectExtent l="19050" t="0" r="9525" b="0"/>
            <wp:docPr id="217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53E07" w:rsidRPr="0070146D" w:rsidRDefault="00153E07" w:rsidP="00822D2E">
      <w:pPr>
        <w:spacing w:after="0" w:line="240" w:lineRule="auto"/>
        <w:jc w:val="both"/>
        <w:rPr>
          <w:rFonts w:ascii="Times New Roman" w:eastAsia="Times New Roman" w:hAnsi="Times New Roman" w:cs="Times New Roman"/>
          <w:b/>
          <w:sz w:val="28"/>
          <w:szCs w:val="28"/>
        </w:rPr>
      </w:pPr>
      <w:r w:rsidRPr="0070146D">
        <w:rPr>
          <w:rFonts w:ascii="Times New Roman" w:eastAsia="Times New Roman" w:hAnsi="Times New Roman" w:cs="Times New Roman"/>
          <w:b/>
          <w:sz w:val="28"/>
          <w:szCs w:val="28"/>
        </w:rPr>
        <w:t>Рисунок 1.</w:t>
      </w:r>
      <w:r w:rsidR="00112206" w:rsidRPr="0070146D">
        <w:rPr>
          <w:rFonts w:ascii="Times New Roman" w:eastAsia="Times New Roman" w:hAnsi="Times New Roman" w:cs="Times New Roman"/>
          <w:b/>
          <w:sz w:val="28"/>
          <w:szCs w:val="28"/>
        </w:rPr>
        <w:t>49</w:t>
      </w:r>
      <w:r w:rsidRPr="0070146D">
        <w:rPr>
          <w:rFonts w:ascii="Times New Roman" w:eastAsia="Times New Roman" w:hAnsi="Times New Roman" w:cs="Times New Roman"/>
          <w:b/>
          <w:sz w:val="28"/>
          <w:szCs w:val="28"/>
        </w:rPr>
        <w:t>. Динамика результатов животноводческой деятельности в Бардымском муниципальном районе</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980ED1"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Эффективность деятельности предприятий сельского хозяйства в последние годы невысока, значительно сокращается урожайность посевных площадей, производство скота и птицы на убой. Несмотря на то, что часть предприятий вводит новые технологии, тем самым увеличивая КПД и объемы производства с 1 единицы, общая ситуация свидетельствует, что отрасли требуется инвестиционный подъем, ввод новых технологий, обновление фондов, наращивание кадрового потенциала и открытие новых предприятий, способных производить продукцию, удовлетворяющую спрос как внутри района, так и за его пределами.</w:t>
      </w:r>
    </w:p>
    <w:p w:rsidR="00980ED1" w:rsidRDefault="00980ED1" w:rsidP="00822D2E">
      <w:pPr>
        <w:spacing w:after="0" w:line="240" w:lineRule="auto"/>
        <w:ind w:firstLine="709"/>
        <w:jc w:val="both"/>
        <w:rPr>
          <w:rFonts w:ascii="Times New Roman" w:eastAsia="Times New Roman" w:hAnsi="Times New Roman" w:cs="Times New Roman"/>
          <w:sz w:val="28"/>
          <w:szCs w:val="28"/>
        </w:rPr>
      </w:pPr>
    </w:p>
    <w:p w:rsidR="00153E07" w:rsidRPr="00980ED1" w:rsidRDefault="00153E07" w:rsidP="00980ED1">
      <w:pPr>
        <w:spacing w:after="0" w:line="240" w:lineRule="auto"/>
        <w:jc w:val="both"/>
        <w:rPr>
          <w:rFonts w:ascii="Times New Roman" w:eastAsia="Times New Roman" w:hAnsi="Times New Roman" w:cs="Times New Roman"/>
          <w:sz w:val="28"/>
          <w:szCs w:val="28"/>
        </w:rPr>
      </w:pPr>
      <w:r w:rsidRPr="00153E07">
        <w:rPr>
          <w:rFonts w:ascii="Times New Roman" w:eastAsiaTheme="majorEastAsia" w:hAnsi="Times New Roman" w:cs="Times New Roman"/>
          <w:b/>
          <w:bCs/>
          <w:sz w:val="28"/>
          <w:szCs w:val="28"/>
        </w:rPr>
        <w:t>1.2.15 Трудовые показатели</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таблице 1.1</w:t>
      </w:r>
      <w:r w:rsidR="00112206">
        <w:rPr>
          <w:rFonts w:ascii="Times New Roman" w:eastAsia="Times New Roman" w:hAnsi="Times New Roman" w:cs="Times New Roman"/>
          <w:sz w:val="28"/>
          <w:szCs w:val="28"/>
        </w:rPr>
        <w:t>1</w:t>
      </w:r>
      <w:r w:rsidRPr="00153E07">
        <w:rPr>
          <w:rFonts w:ascii="Times New Roman" w:eastAsia="Times New Roman" w:hAnsi="Times New Roman" w:cs="Times New Roman"/>
          <w:sz w:val="28"/>
          <w:szCs w:val="28"/>
        </w:rPr>
        <w:t xml:space="preserve"> представлены основные показатели трудовых отношений и занятости Бардымского муниципального района с 01.01.2011</w:t>
      </w:r>
      <w:r w:rsidR="00112206">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 по 01.01.2017</w:t>
      </w:r>
      <w:r w:rsidR="00112206">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1.1</w:t>
      </w:r>
      <w:r w:rsidR="00112206">
        <w:rPr>
          <w:rFonts w:ascii="Times New Roman" w:eastAsia="Times New Roman" w:hAnsi="Times New Roman" w:cs="Times New Roman"/>
          <w:sz w:val="28"/>
          <w:szCs w:val="28"/>
        </w:rPr>
        <w:t>1</w:t>
      </w:r>
    </w:p>
    <w:p w:rsidR="00153E07" w:rsidRPr="00112206" w:rsidRDefault="00153E07" w:rsidP="00822D2E">
      <w:pPr>
        <w:spacing w:after="0" w:line="240" w:lineRule="auto"/>
        <w:jc w:val="center"/>
        <w:rPr>
          <w:rFonts w:ascii="Times New Roman" w:eastAsia="Times New Roman" w:hAnsi="Times New Roman" w:cs="Times New Roman"/>
          <w:b/>
          <w:sz w:val="28"/>
          <w:szCs w:val="28"/>
        </w:rPr>
      </w:pPr>
      <w:r w:rsidRPr="00112206">
        <w:rPr>
          <w:rFonts w:ascii="Times New Roman" w:eastAsia="Times New Roman" w:hAnsi="Times New Roman" w:cs="Times New Roman"/>
          <w:b/>
          <w:sz w:val="28"/>
          <w:szCs w:val="28"/>
        </w:rPr>
        <w:t>Основные показатели трудовых отношений и занятости Бардымского муниципального района с 01.</w:t>
      </w:r>
      <w:r w:rsidR="00633809" w:rsidRPr="00112206">
        <w:rPr>
          <w:rFonts w:ascii="Times New Roman" w:eastAsia="Times New Roman" w:hAnsi="Times New Roman" w:cs="Times New Roman"/>
          <w:b/>
          <w:sz w:val="28"/>
          <w:szCs w:val="28"/>
        </w:rPr>
        <w:t xml:space="preserve">01.201 г. по 01.01.2017 </w:t>
      </w:r>
      <w:r w:rsidRPr="00112206">
        <w:rPr>
          <w:rFonts w:ascii="Times New Roman" w:eastAsia="Times New Roman" w:hAnsi="Times New Roman" w:cs="Times New Roman"/>
          <w:b/>
          <w:sz w:val="28"/>
          <w:szCs w:val="28"/>
        </w:rPr>
        <w:t>г.</w:t>
      </w:r>
    </w:p>
    <w:tbl>
      <w:tblPr>
        <w:tblW w:w="5000" w:type="pct"/>
        <w:tblLook w:val="04A0"/>
      </w:tblPr>
      <w:tblGrid>
        <w:gridCol w:w="3115"/>
        <w:gridCol w:w="1001"/>
        <w:gridCol w:w="1003"/>
        <w:gridCol w:w="1004"/>
        <w:gridCol w:w="1004"/>
        <w:gridCol w:w="1004"/>
        <w:gridCol w:w="1004"/>
        <w:gridCol w:w="1002"/>
      </w:tblGrid>
      <w:tr w:rsidR="00153E07" w:rsidRPr="00112206" w:rsidTr="00153E07">
        <w:trPr>
          <w:trHeight w:val="630"/>
        </w:trPr>
        <w:tc>
          <w:tcPr>
            <w:tcW w:w="1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b/>
                <w:color w:val="000000"/>
                <w:sz w:val="24"/>
                <w:szCs w:val="28"/>
              </w:rPr>
            </w:pPr>
            <w:r w:rsidRPr="00E444CA">
              <w:rPr>
                <w:rFonts w:ascii="Times New Roman" w:eastAsia="Times New Roman" w:hAnsi="Times New Roman" w:cs="Times New Roman"/>
                <w:b/>
                <w:color w:val="000000"/>
                <w:sz w:val="24"/>
                <w:szCs w:val="28"/>
              </w:rPr>
              <w:t>Показатель</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b/>
                <w:bCs/>
                <w:color w:val="000000"/>
                <w:sz w:val="24"/>
                <w:szCs w:val="28"/>
              </w:rPr>
            </w:pPr>
            <w:r w:rsidRPr="00E444CA">
              <w:rPr>
                <w:rFonts w:ascii="Times New Roman" w:eastAsia="Times New Roman" w:hAnsi="Times New Roman" w:cs="Times New Roman"/>
                <w:b/>
                <w:bCs/>
                <w:color w:val="000000"/>
                <w:sz w:val="24"/>
                <w:szCs w:val="28"/>
              </w:rPr>
              <w:t>01.01. 2011 г.</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b/>
                <w:bCs/>
                <w:color w:val="000000"/>
                <w:sz w:val="24"/>
                <w:szCs w:val="28"/>
              </w:rPr>
            </w:pPr>
            <w:r w:rsidRPr="00E444CA">
              <w:rPr>
                <w:rFonts w:ascii="Times New Roman" w:eastAsia="Times New Roman" w:hAnsi="Times New Roman" w:cs="Times New Roman"/>
                <w:b/>
                <w:bCs/>
                <w:color w:val="000000"/>
                <w:sz w:val="24"/>
                <w:szCs w:val="28"/>
              </w:rPr>
              <w:t>01.01. 2012 г.</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b/>
                <w:bCs/>
                <w:color w:val="000000"/>
                <w:sz w:val="24"/>
                <w:szCs w:val="28"/>
              </w:rPr>
            </w:pPr>
            <w:r w:rsidRPr="00E444CA">
              <w:rPr>
                <w:rFonts w:ascii="Times New Roman" w:eastAsia="Times New Roman" w:hAnsi="Times New Roman" w:cs="Times New Roman"/>
                <w:b/>
                <w:bCs/>
                <w:color w:val="000000"/>
                <w:sz w:val="24"/>
                <w:szCs w:val="28"/>
              </w:rPr>
              <w:t>01.01. 2013 г.</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b/>
                <w:bCs/>
                <w:color w:val="000000"/>
                <w:sz w:val="24"/>
                <w:szCs w:val="28"/>
              </w:rPr>
            </w:pPr>
            <w:r w:rsidRPr="00E444CA">
              <w:rPr>
                <w:rFonts w:ascii="Times New Roman" w:eastAsia="Times New Roman" w:hAnsi="Times New Roman" w:cs="Times New Roman"/>
                <w:b/>
                <w:bCs/>
                <w:color w:val="000000"/>
                <w:sz w:val="24"/>
                <w:szCs w:val="28"/>
              </w:rPr>
              <w:t>01.01. 2014 г.</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b/>
                <w:bCs/>
                <w:color w:val="000000"/>
                <w:sz w:val="24"/>
                <w:szCs w:val="28"/>
              </w:rPr>
            </w:pPr>
            <w:r w:rsidRPr="00E444CA">
              <w:rPr>
                <w:rFonts w:ascii="Times New Roman" w:eastAsia="Times New Roman" w:hAnsi="Times New Roman" w:cs="Times New Roman"/>
                <w:b/>
                <w:bCs/>
                <w:color w:val="000000"/>
                <w:sz w:val="24"/>
                <w:szCs w:val="28"/>
              </w:rPr>
              <w:t>01.01. 2015 г.</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b/>
                <w:bCs/>
                <w:color w:val="000000"/>
                <w:sz w:val="24"/>
                <w:szCs w:val="28"/>
              </w:rPr>
            </w:pPr>
            <w:r w:rsidRPr="00E444CA">
              <w:rPr>
                <w:rFonts w:ascii="Times New Roman" w:eastAsia="Times New Roman" w:hAnsi="Times New Roman" w:cs="Times New Roman"/>
                <w:b/>
                <w:bCs/>
                <w:color w:val="000000"/>
                <w:sz w:val="24"/>
                <w:szCs w:val="28"/>
              </w:rPr>
              <w:t>01.01. 2016 г.</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b/>
                <w:bCs/>
                <w:color w:val="000000"/>
                <w:sz w:val="24"/>
                <w:szCs w:val="28"/>
              </w:rPr>
            </w:pPr>
            <w:r w:rsidRPr="00E444CA">
              <w:rPr>
                <w:rFonts w:ascii="Times New Roman" w:eastAsia="Times New Roman" w:hAnsi="Times New Roman" w:cs="Times New Roman"/>
                <w:b/>
                <w:bCs/>
                <w:color w:val="000000"/>
                <w:sz w:val="24"/>
                <w:szCs w:val="28"/>
              </w:rPr>
              <w:t>01.01. 2017 г.</w:t>
            </w:r>
          </w:p>
        </w:tc>
      </w:tr>
      <w:tr w:rsidR="00153E07" w:rsidRPr="00112206" w:rsidTr="00153E07">
        <w:trPr>
          <w:trHeight w:val="630"/>
        </w:trPr>
        <w:tc>
          <w:tcPr>
            <w:tcW w:w="1537"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Среднесписочная численность работников организаций в среднегодовом исчислении, человек</w:t>
            </w:r>
          </w:p>
        </w:tc>
        <w:tc>
          <w:tcPr>
            <w:tcW w:w="49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4271</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4028</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3874</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3767</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3546</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3338</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3167</w:t>
            </w:r>
          </w:p>
        </w:tc>
      </w:tr>
      <w:tr w:rsidR="00153E07" w:rsidRPr="00112206" w:rsidTr="00153E07">
        <w:trPr>
          <w:trHeight w:val="630"/>
        </w:trPr>
        <w:tc>
          <w:tcPr>
            <w:tcW w:w="1537"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lastRenderedPageBreak/>
              <w:t>Заявленная предприятиями и организациями потребность в работниках, человек</w:t>
            </w:r>
          </w:p>
        </w:tc>
        <w:tc>
          <w:tcPr>
            <w:tcW w:w="49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130</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855</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644</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726</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76</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450</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643</w:t>
            </w:r>
          </w:p>
        </w:tc>
      </w:tr>
      <w:tr w:rsidR="00153E07" w:rsidRPr="00112206" w:rsidTr="00153E07">
        <w:trPr>
          <w:trHeight w:val="630"/>
        </w:trPr>
        <w:tc>
          <w:tcPr>
            <w:tcW w:w="1537"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Численность безработных зарегистрированных в государственных службах занятости, человек</w:t>
            </w:r>
          </w:p>
        </w:tc>
        <w:tc>
          <w:tcPr>
            <w:tcW w:w="49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5054</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1650</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1250</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1080</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1105</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1185</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984</w:t>
            </w:r>
          </w:p>
        </w:tc>
      </w:tr>
      <w:tr w:rsidR="00153E07" w:rsidRPr="00112206" w:rsidTr="00153E07">
        <w:trPr>
          <w:trHeight w:val="315"/>
        </w:trPr>
        <w:tc>
          <w:tcPr>
            <w:tcW w:w="1537"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Уровень зарегистрированной  безработицы, %</w:t>
            </w:r>
          </w:p>
        </w:tc>
        <w:tc>
          <w:tcPr>
            <w:tcW w:w="49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4,7</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4,3</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5,9</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3,3</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4,3</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3,8</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3,4</w:t>
            </w:r>
          </w:p>
        </w:tc>
      </w:tr>
      <w:tr w:rsidR="00153E07" w:rsidRPr="00112206" w:rsidTr="00153E07">
        <w:trPr>
          <w:trHeight w:val="315"/>
        </w:trPr>
        <w:tc>
          <w:tcPr>
            <w:tcW w:w="1537" w:type="pct"/>
            <w:tcBorders>
              <w:top w:val="nil"/>
              <w:left w:val="single" w:sz="4" w:space="0" w:color="auto"/>
              <w:bottom w:val="single" w:sz="4" w:space="0" w:color="auto"/>
              <w:right w:val="single" w:sz="4" w:space="0" w:color="auto"/>
            </w:tcBorders>
            <w:shd w:val="clear" w:color="auto" w:fill="auto"/>
            <w:vAlign w:val="bottom"/>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Число безработных на 1 вакантное место, человек</w:t>
            </w:r>
          </w:p>
        </w:tc>
        <w:tc>
          <w:tcPr>
            <w:tcW w:w="494"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38,9</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1,9</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1,9</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1,5</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14,5</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2,6</w:t>
            </w:r>
          </w:p>
        </w:tc>
        <w:tc>
          <w:tcPr>
            <w:tcW w:w="495" w:type="pct"/>
            <w:tcBorders>
              <w:top w:val="nil"/>
              <w:left w:val="nil"/>
              <w:bottom w:val="single" w:sz="4" w:space="0" w:color="auto"/>
              <w:right w:val="single" w:sz="4" w:space="0" w:color="auto"/>
            </w:tcBorders>
            <w:shd w:val="clear" w:color="auto" w:fill="auto"/>
            <w:vAlign w:val="center"/>
            <w:hideMark/>
          </w:tcPr>
          <w:p w:rsidR="00153E07" w:rsidRPr="00E444CA" w:rsidRDefault="00153E07" w:rsidP="00822D2E">
            <w:pPr>
              <w:spacing w:after="0" w:line="240" w:lineRule="auto"/>
              <w:jc w:val="both"/>
              <w:rPr>
                <w:rFonts w:ascii="Times New Roman" w:eastAsia="Times New Roman" w:hAnsi="Times New Roman" w:cs="Times New Roman"/>
                <w:color w:val="000000"/>
                <w:sz w:val="24"/>
                <w:szCs w:val="28"/>
              </w:rPr>
            </w:pPr>
            <w:r w:rsidRPr="00E444CA">
              <w:rPr>
                <w:rFonts w:ascii="Times New Roman" w:eastAsia="Times New Roman" w:hAnsi="Times New Roman" w:cs="Times New Roman"/>
                <w:color w:val="000000"/>
                <w:sz w:val="24"/>
                <w:szCs w:val="28"/>
              </w:rPr>
              <w:t>1,5</w:t>
            </w:r>
          </w:p>
        </w:tc>
      </w:tr>
    </w:tbl>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Наглядно соотношение среднесписочной численности работников организаций и численности безработных, зарегистрированных в ГЦСН (01.01.20111 – 01.01.2017</w:t>
      </w:r>
      <w:r w:rsidR="003506F9">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 представлено на рисунке 1.5</w:t>
      </w:r>
      <w:r w:rsidR="00A32DD4">
        <w:rPr>
          <w:rFonts w:ascii="Times New Roman" w:eastAsia="Times New Roman" w:hAnsi="Times New Roman" w:cs="Times New Roman"/>
          <w:sz w:val="28"/>
          <w:szCs w:val="28"/>
        </w:rPr>
        <w:t>0</w:t>
      </w:r>
      <w:r w:rsidRPr="00153E07">
        <w:rPr>
          <w:rFonts w:ascii="Times New Roman" w:eastAsia="Times New Roman" w:hAnsi="Times New Roman" w:cs="Times New Roman"/>
          <w:sz w:val="28"/>
          <w:szCs w:val="28"/>
        </w:rPr>
        <w:t>.</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29300" cy="2581275"/>
            <wp:effectExtent l="19050" t="0" r="0" b="0"/>
            <wp:docPr id="217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53E07" w:rsidRPr="00A32DD4" w:rsidRDefault="00153E07" w:rsidP="00153E07">
      <w:pPr>
        <w:spacing w:after="0"/>
        <w:jc w:val="both"/>
        <w:rPr>
          <w:rFonts w:ascii="Times New Roman" w:eastAsia="Times New Roman" w:hAnsi="Times New Roman" w:cs="Times New Roman"/>
          <w:b/>
          <w:sz w:val="28"/>
          <w:szCs w:val="28"/>
        </w:rPr>
      </w:pPr>
      <w:r w:rsidRPr="00A32DD4">
        <w:rPr>
          <w:rFonts w:ascii="Times New Roman" w:eastAsia="Times New Roman" w:hAnsi="Times New Roman" w:cs="Times New Roman"/>
          <w:b/>
          <w:sz w:val="28"/>
          <w:szCs w:val="28"/>
        </w:rPr>
        <w:t>Рисунок 1.5</w:t>
      </w:r>
      <w:r w:rsidR="00A32DD4" w:rsidRPr="00A32DD4">
        <w:rPr>
          <w:rFonts w:ascii="Times New Roman" w:eastAsia="Times New Roman" w:hAnsi="Times New Roman" w:cs="Times New Roman"/>
          <w:b/>
          <w:sz w:val="28"/>
          <w:szCs w:val="28"/>
        </w:rPr>
        <w:t>0</w:t>
      </w:r>
      <w:r w:rsidRPr="00A32DD4">
        <w:rPr>
          <w:rFonts w:ascii="Times New Roman" w:eastAsia="Times New Roman" w:hAnsi="Times New Roman" w:cs="Times New Roman"/>
          <w:b/>
          <w:sz w:val="28"/>
          <w:szCs w:val="28"/>
        </w:rPr>
        <w:t>. Соотношение среднесписочной численности работников организаций и численности безработных, зарегистрированных в ГЦСН (01.01.2011 – 01.01.2017</w:t>
      </w:r>
      <w:r w:rsidR="00A32DD4">
        <w:rPr>
          <w:rFonts w:ascii="Times New Roman" w:eastAsia="Times New Roman" w:hAnsi="Times New Roman" w:cs="Times New Roman"/>
          <w:b/>
          <w:sz w:val="28"/>
          <w:szCs w:val="28"/>
        </w:rPr>
        <w:t xml:space="preserve"> </w:t>
      </w:r>
      <w:r w:rsidRPr="00A32DD4">
        <w:rPr>
          <w:rFonts w:ascii="Times New Roman" w:eastAsia="Times New Roman" w:hAnsi="Times New Roman" w:cs="Times New Roman"/>
          <w:b/>
          <w:sz w:val="28"/>
          <w:szCs w:val="28"/>
        </w:rPr>
        <w:t>г.), чел.</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рисунке 1.5</w:t>
      </w:r>
      <w:r w:rsidR="00A32DD4">
        <w:rPr>
          <w:rFonts w:ascii="Times New Roman" w:eastAsia="Times New Roman" w:hAnsi="Times New Roman" w:cs="Times New Roman"/>
          <w:sz w:val="28"/>
          <w:szCs w:val="28"/>
        </w:rPr>
        <w:t>1</w:t>
      </w:r>
      <w:r w:rsidRPr="00153E07">
        <w:rPr>
          <w:rFonts w:ascii="Times New Roman" w:eastAsia="Times New Roman" w:hAnsi="Times New Roman" w:cs="Times New Roman"/>
          <w:sz w:val="28"/>
          <w:szCs w:val="28"/>
        </w:rPr>
        <w:t xml:space="preserve"> представлена динамика уровня безработицы в Бардымском муниципальном районе на 01.01.2011-01.01.2017</w:t>
      </w:r>
      <w:r w:rsidR="00A32DD4">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lastRenderedPageBreak/>
        <w:drawing>
          <wp:inline distT="0" distB="0" distL="0" distR="0">
            <wp:extent cx="5753100" cy="2419350"/>
            <wp:effectExtent l="0" t="0" r="0" b="0"/>
            <wp:docPr id="217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53E07" w:rsidRPr="00A32DD4" w:rsidRDefault="00153E07" w:rsidP="00153E07">
      <w:pPr>
        <w:spacing w:after="0"/>
        <w:jc w:val="both"/>
        <w:rPr>
          <w:rFonts w:ascii="Times New Roman" w:eastAsia="Times New Roman" w:hAnsi="Times New Roman" w:cs="Times New Roman"/>
          <w:b/>
          <w:sz w:val="28"/>
          <w:szCs w:val="28"/>
        </w:rPr>
      </w:pPr>
      <w:r w:rsidRPr="00A32DD4">
        <w:rPr>
          <w:rFonts w:ascii="Times New Roman" w:eastAsia="Times New Roman" w:hAnsi="Times New Roman" w:cs="Times New Roman"/>
          <w:b/>
          <w:sz w:val="28"/>
          <w:szCs w:val="28"/>
        </w:rPr>
        <w:t>Рисунок 1.5</w:t>
      </w:r>
      <w:r w:rsidR="00A32DD4" w:rsidRPr="00A32DD4">
        <w:rPr>
          <w:rFonts w:ascii="Times New Roman" w:eastAsia="Times New Roman" w:hAnsi="Times New Roman" w:cs="Times New Roman"/>
          <w:b/>
          <w:sz w:val="28"/>
          <w:szCs w:val="28"/>
        </w:rPr>
        <w:t>1</w:t>
      </w:r>
      <w:r w:rsidRPr="00A32DD4">
        <w:rPr>
          <w:rFonts w:ascii="Times New Roman" w:eastAsia="Times New Roman" w:hAnsi="Times New Roman" w:cs="Times New Roman"/>
          <w:b/>
          <w:sz w:val="28"/>
          <w:szCs w:val="28"/>
        </w:rPr>
        <w:t>. Уровень зарегистрированной безработицы в Бардымском муниципальном районе (01.01.2011 – 01.01.2017</w:t>
      </w:r>
      <w:r w:rsidR="00A32DD4">
        <w:rPr>
          <w:rFonts w:ascii="Times New Roman" w:eastAsia="Times New Roman" w:hAnsi="Times New Roman" w:cs="Times New Roman"/>
          <w:b/>
          <w:sz w:val="28"/>
          <w:szCs w:val="28"/>
        </w:rPr>
        <w:t xml:space="preserve"> </w:t>
      </w:r>
      <w:r w:rsidRPr="00A32DD4">
        <w:rPr>
          <w:rFonts w:ascii="Times New Roman" w:eastAsia="Times New Roman" w:hAnsi="Times New Roman" w:cs="Times New Roman"/>
          <w:b/>
          <w:sz w:val="28"/>
          <w:szCs w:val="28"/>
        </w:rPr>
        <w:t>г.), %</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Уровень зарегистрированной безработицы постепенно снижается с 4,7% на 01.01.2011</w:t>
      </w:r>
      <w:r w:rsidR="00A32DD4">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 до 3,4% на 01.01.2017</w:t>
      </w:r>
      <w:r w:rsidR="00A32DD4">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 (рисунок 1.5</w:t>
      </w:r>
      <w:r w:rsidR="00A32DD4">
        <w:rPr>
          <w:rFonts w:ascii="Times New Roman" w:eastAsia="Times New Roman" w:hAnsi="Times New Roman" w:cs="Times New Roman"/>
          <w:sz w:val="28"/>
          <w:szCs w:val="28"/>
        </w:rPr>
        <w:t>1</w:t>
      </w:r>
      <w:r w:rsidRPr="00153E07">
        <w:rPr>
          <w:rFonts w:ascii="Times New Roman" w:eastAsia="Times New Roman" w:hAnsi="Times New Roman" w:cs="Times New Roman"/>
          <w:sz w:val="28"/>
          <w:szCs w:val="28"/>
        </w:rPr>
        <w:t>). Данное сокращение происходит благодаря таким факторам как создание новых рабочих мест, а также благодаря эффективной политике Администрации Бардымского муниципального района по развитию и поддержке малого предпринимательства.</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рисунке 1.5</w:t>
      </w:r>
      <w:r w:rsidR="00A32DD4">
        <w:rPr>
          <w:rFonts w:ascii="Times New Roman" w:eastAsia="Times New Roman" w:hAnsi="Times New Roman" w:cs="Times New Roman"/>
          <w:sz w:val="28"/>
          <w:szCs w:val="28"/>
        </w:rPr>
        <w:t>2</w:t>
      </w:r>
      <w:r w:rsidRPr="00153E07">
        <w:rPr>
          <w:rFonts w:ascii="Times New Roman" w:eastAsia="Times New Roman" w:hAnsi="Times New Roman" w:cs="Times New Roman"/>
          <w:sz w:val="28"/>
          <w:szCs w:val="28"/>
        </w:rPr>
        <w:t xml:space="preserve"> представлена динамика численности безработных на одно вакантное место и заявленная предприятиями и организациями потребность в работниках.</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76925" cy="2619375"/>
            <wp:effectExtent l="0" t="0" r="0" b="0"/>
            <wp:docPr id="217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53E07" w:rsidRPr="00A32DD4" w:rsidRDefault="00153E07" w:rsidP="00153E07">
      <w:pPr>
        <w:spacing w:after="0"/>
        <w:jc w:val="both"/>
        <w:rPr>
          <w:rFonts w:ascii="Times New Roman" w:eastAsia="Times New Roman" w:hAnsi="Times New Roman" w:cs="Times New Roman"/>
          <w:b/>
          <w:sz w:val="28"/>
          <w:szCs w:val="28"/>
        </w:rPr>
      </w:pPr>
      <w:r w:rsidRPr="00A32DD4">
        <w:rPr>
          <w:rFonts w:ascii="Times New Roman" w:eastAsia="Times New Roman" w:hAnsi="Times New Roman" w:cs="Times New Roman"/>
          <w:b/>
          <w:sz w:val="28"/>
          <w:szCs w:val="28"/>
        </w:rPr>
        <w:t>Рисунок 1.5</w:t>
      </w:r>
      <w:r w:rsidR="00A32DD4" w:rsidRPr="00A32DD4">
        <w:rPr>
          <w:rFonts w:ascii="Times New Roman" w:eastAsia="Times New Roman" w:hAnsi="Times New Roman" w:cs="Times New Roman"/>
          <w:b/>
          <w:sz w:val="28"/>
          <w:szCs w:val="28"/>
        </w:rPr>
        <w:t>2</w:t>
      </w:r>
      <w:r w:rsidRPr="00A32DD4">
        <w:rPr>
          <w:rFonts w:ascii="Times New Roman" w:eastAsia="Times New Roman" w:hAnsi="Times New Roman" w:cs="Times New Roman"/>
          <w:b/>
          <w:sz w:val="28"/>
          <w:szCs w:val="28"/>
        </w:rPr>
        <w:t>. Динамика численности безработных на одно вакантное место и заявленная предприятиями и организациями потребность в работниках</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Численность безработных на одно вакантное место также сократилась за анализируемый период с 38,9 чел. до 1,5 чел. на одно вакантное место. Данная тенденция является положительной и ее причинами выступает как сокращение численности безработных, так и увеличение числа вакантных мест в Бардымском муниципальном районе.</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 xml:space="preserve">На рисунке </w:t>
      </w:r>
      <w:r w:rsidR="00A32DD4">
        <w:rPr>
          <w:rFonts w:ascii="Times New Roman" w:eastAsia="Times New Roman" w:hAnsi="Times New Roman" w:cs="Times New Roman"/>
          <w:sz w:val="28"/>
          <w:szCs w:val="28"/>
        </w:rPr>
        <w:t>1.53.</w:t>
      </w:r>
      <w:r w:rsidRPr="00153E07">
        <w:rPr>
          <w:rFonts w:ascii="Times New Roman" w:eastAsia="Times New Roman" w:hAnsi="Times New Roman" w:cs="Times New Roman"/>
          <w:sz w:val="28"/>
          <w:szCs w:val="28"/>
        </w:rPr>
        <w:t xml:space="preserve"> представлено соотношение среднемесячной номинальной начисленной заработной платы работников организаций по видам деятельности к среднемесячной номинальной начисленной заработной платы работников всех организаций и предприятий.</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48350" cy="3028950"/>
            <wp:effectExtent l="0" t="0" r="0" b="0"/>
            <wp:docPr id="217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53E07" w:rsidRPr="00A32DD4" w:rsidRDefault="00A32DD4" w:rsidP="006D2568">
      <w:pPr>
        <w:spacing w:after="0" w:line="240" w:lineRule="auto"/>
        <w:jc w:val="both"/>
        <w:rPr>
          <w:rFonts w:ascii="Times New Roman" w:eastAsia="Times New Roman" w:hAnsi="Times New Roman" w:cs="Times New Roman"/>
          <w:b/>
          <w:sz w:val="28"/>
          <w:szCs w:val="28"/>
        </w:rPr>
      </w:pPr>
      <w:r w:rsidRPr="00A32DD4">
        <w:rPr>
          <w:rFonts w:ascii="Times New Roman" w:eastAsia="Times New Roman" w:hAnsi="Times New Roman" w:cs="Times New Roman"/>
          <w:b/>
          <w:sz w:val="28"/>
          <w:szCs w:val="28"/>
        </w:rPr>
        <w:t>Рисунок 1.53</w:t>
      </w:r>
      <w:r w:rsidR="00153E07" w:rsidRPr="00A32DD4">
        <w:rPr>
          <w:rFonts w:ascii="Times New Roman" w:eastAsia="Times New Roman" w:hAnsi="Times New Roman" w:cs="Times New Roman"/>
          <w:b/>
          <w:sz w:val="28"/>
          <w:szCs w:val="28"/>
        </w:rPr>
        <w:t>. Соотношение среднемесячной номинальной начисленной ЗП работников различных сфер деятельности к среднемесячной номинальной начисленной ЗП работников всех организаций и предприятий на 01.01.2017</w:t>
      </w:r>
      <w:r>
        <w:rPr>
          <w:rFonts w:ascii="Times New Roman" w:eastAsia="Times New Roman" w:hAnsi="Times New Roman" w:cs="Times New Roman"/>
          <w:b/>
          <w:sz w:val="28"/>
          <w:szCs w:val="28"/>
        </w:rPr>
        <w:t xml:space="preserve"> </w:t>
      </w:r>
      <w:r w:rsidR="00153E07" w:rsidRPr="00A32DD4">
        <w:rPr>
          <w:rFonts w:ascii="Times New Roman" w:eastAsia="Times New Roman" w:hAnsi="Times New Roman" w:cs="Times New Roman"/>
          <w:b/>
          <w:sz w:val="28"/>
          <w:szCs w:val="28"/>
        </w:rPr>
        <w:t>г.</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Как видно на рисунке </w:t>
      </w:r>
      <w:r w:rsidR="00A32DD4">
        <w:rPr>
          <w:rFonts w:ascii="Times New Roman" w:eastAsia="Times New Roman" w:hAnsi="Times New Roman" w:cs="Times New Roman"/>
          <w:sz w:val="28"/>
          <w:szCs w:val="28"/>
        </w:rPr>
        <w:t>1.53</w:t>
      </w:r>
      <w:r w:rsidRPr="00153E07">
        <w:rPr>
          <w:rFonts w:ascii="Times New Roman" w:eastAsia="Times New Roman" w:hAnsi="Times New Roman" w:cs="Times New Roman"/>
          <w:sz w:val="28"/>
          <w:szCs w:val="28"/>
        </w:rPr>
        <w:t xml:space="preserve">, среднемесячная номинальная начисленная заработная плата работников отдельных видов экономической деятельности превышает среднюю заработную плату по всем организациям в целом в организациях добывающей отрасли (+92%), обрабатывающих предприятиях (+24,2%), организациях производства и распределения электричества, газа, воды (+11,4%).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Ниже среднемесячного уровня номинальной начисленной заработной платы работников всех организаций в целом остаются средние заработные платы работников организаций здравоохранения (85,6%), бюджетной сферы (82,3%), образования (79%), прочих отраслей (59,9%).</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Самый низкий уровень среднемесячной заработной платы работников по отношению к средней заработной плате работников всех организаций имеют сельскохозяйственные организации (48,9%).</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 этом динамика темпов прироста средних заработных плат в разрезе видов экономической деятельности (таблица 1.1</w:t>
      </w:r>
      <w:r w:rsidR="00A32DD4">
        <w:rPr>
          <w:rFonts w:ascii="Times New Roman" w:eastAsia="Times New Roman" w:hAnsi="Times New Roman" w:cs="Times New Roman"/>
          <w:sz w:val="28"/>
          <w:szCs w:val="28"/>
        </w:rPr>
        <w:t>2</w:t>
      </w:r>
      <w:r w:rsidRPr="00153E07">
        <w:rPr>
          <w:rFonts w:ascii="Times New Roman" w:eastAsia="Times New Roman" w:hAnsi="Times New Roman" w:cs="Times New Roman"/>
          <w:sz w:val="28"/>
          <w:szCs w:val="28"/>
        </w:rPr>
        <w:t>) имеет положительную тенденцию, однако в сферах здравоохранения, бюджетной сферы, образования, сельского хозяйства, прочих отраслей ситуация до сих пор неутешительная. Аналогичной является ситуация в сфере культуры, так, отношение средней заработной платы работников культуры к средней заработной плате в регионе составляет 63,2%.</w:t>
      </w:r>
    </w:p>
    <w:p w:rsidR="00E444CA" w:rsidRDefault="00E444CA" w:rsidP="006D2568">
      <w:pPr>
        <w:spacing w:after="0" w:line="240" w:lineRule="auto"/>
        <w:ind w:firstLine="709"/>
        <w:jc w:val="right"/>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Таблица 1.1</w:t>
      </w:r>
      <w:r w:rsidR="00A32DD4">
        <w:rPr>
          <w:rFonts w:ascii="Times New Roman" w:eastAsia="Times New Roman" w:hAnsi="Times New Roman" w:cs="Times New Roman"/>
          <w:sz w:val="28"/>
          <w:szCs w:val="28"/>
        </w:rPr>
        <w:t>2</w:t>
      </w:r>
    </w:p>
    <w:p w:rsidR="00153E07" w:rsidRPr="00633809" w:rsidRDefault="00153E07" w:rsidP="006D2568">
      <w:pPr>
        <w:spacing w:after="0" w:line="240" w:lineRule="auto"/>
        <w:jc w:val="center"/>
        <w:rPr>
          <w:rFonts w:ascii="Times New Roman" w:eastAsia="Times New Roman" w:hAnsi="Times New Roman" w:cs="Times New Roman"/>
          <w:b/>
          <w:sz w:val="28"/>
          <w:szCs w:val="28"/>
        </w:rPr>
      </w:pPr>
      <w:r w:rsidRPr="00633809">
        <w:rPr>
          <w:rFonts w:ascii="Times New Roman" w:eastAsia="Times New Roman" w:hAnsi="Times New Roman" w:cs="Times New Roman"/>
          <w:b/>
          <w:sz w:val="28"/>
          <w:szCs w:val="28"/>
        </w:rPr>
        <w:t>Отклонение среднемесячной номинальной начисленной ЗП работников различных сфер деятельности от среднемесячной номинальной начисленной ЗП работников всех организаций и предприятий, %</w:t>
      </w:r>
    </w:p>
    <w:tbl>
      <w:tblPr>
        <w:tblW w:w="5000" w:type="pct"/>
        <w:tblLook w:val="04A0"/>
      </w:tblPr>
      <w:tblGrid>
        <w:gridCol w:w="3565"/>
        <w:gridCol w:w="938"/>
        <w:gridCol w:w="939"/>
        <w:gridCol w:w="939"/>
        <w:gridCol w:w="939"/>
        <w:gridCol w:w="939"/>
        <w:gridCol w:w="939"/>
        <w:gridCol w:w="939"/>
      </w:tblGrid>
      <w:tr w:rsidR="00153E07" w:rsidRPr="00153E07" w:rsidTr="00153E07">
        <w:trPr>
          <w:trHeight w:val="315"/>
        </w:trPr>
        <w:tc>
          <w:tcPr>
            <w:tcW w:w="1759" w:type="pct"/>
            <w:tcBorders>
              <w:top w:val="single" w:sz="4" w:space="0" w:color="auto"/>
              <w:left w:val="single" w:sz="4" w:space="0" w:color="auto"/>
              <w:bottom w:val="single" w:sz="4" w:space="0" w:color="auto"/>
              <w:right w:val="single" w:sz="4" w:space="0" w:color="auto"/>
            </w:tcBorders>
            <w:shd w:val="clear" w:color="auto" w:fill="auto"/>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Показатель</w:t>
            </w:r>
          </w:p>
        </w:tc>
        <w:tc>
          <w:tcPr>
            <w:tcW w:w="463" w:type="pct"/>
            <w:tcBorders>
              <w:top w:val="single" w:sz="4" w:space="0" w:color="auto"/>
              <w:left w:val="nil"/>
              <w:bottom w:val="single" w:sz="4" w:space="0" w:color="auto"/>
              <w:right w:val="single" w:sz="4" w:space="0" w:color="auto"/>
            </w:tcBorders>
            <w:shd w:val="clear" w:color="auto" w:fill="auto"/>
            <w:vAlign w:val="bottom"/>
            <w:hideMark/>
          </w:tcPr>
          <w:p w:rsid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2011 г.</w:t>
            </w:r>
          </w:p>
        </w:tc>
        <w:tc>
          <w:tcPr>
            <w:tcW w:w="463" w:type="pct"/>
            <w:tcBorders>
              <w:top w:val="single" w:sz="4" w:space="0" w:color="auto"/>
              <w:left w:val="nil"/>
              <w:bottom w:val="single" w:sz="4" w:space="0" w:color="auto"/>
              <w:right w:val="single" w:sz="4" w:space="0" w:color="auto"/>
            </w:tcBorders>
            <w:shd w:val="clear" w:color="auto" w:fill="auto"/>
            <w:vAlign w:val="bottom"/>
            <w:hideMark/>
          </w:tcPr>
          <w:p w:rsid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2012 г.</w:t>
            </w:r>
          </w:p>
        </w:tc>
        <w:tc>
          <w:tcPr>
            <w:tcW w:w="463" w:type="pct"/>
            <w:tcBorders>
              <w:top w:val="single" w:sz="4" w:space="0" w:color="auto"/>
              <w:left w:val="nil"/>
              <w:bottom w:val="single" w:sz="4" w:space="0" w:color="auto"/>
              <w:right w:val="single" w:sz="4" w:space="0" w:color="auto"/>
            </w:tcBorders>
            <w:shd w:val="clear" w:color="auto" w:fill="auto"/>
            <w:vAlign w:val="bottom"/>
            <w:hideMark/>
          </w:tcPr>
          <w:p w:rsid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2013 г.</w:t>
            </w:r>
          </w:p>
        </w:tc>
        <w:tc>
          <w:tcPr>
            <w:tcW w:w="463" w:type="pct"/>
            <w:tcBorders>
              <w:top w:val="single" w:sz="4" w:space="0" w:color="auto"/>
              <w:left w:val="nil"/>
              <w:bottom w:val="single" w:sz="4" w:space="0" w:color="auto"/>
              <w:right w:val="single" w:sz="4" w:space="0" w:color="auto"/>
            </w:tcBorders>
            <w:shd w:val="clear" w:color="auto" w:fill="auto"/>
            <w:vAlign w:val="bottom"/>
            <w:hideMark/>
          </w:tcPr>
          <w:p w:rsid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2014 г.</w:t>
            </w:r>
          </w:p>
        </w:tc>
        <w:tc>
          <w:tcPr>
            <w:tcW w:w="463" w:type="pct"/>
            <w:tcBorders>
              <w:top w:val="single" w:sz="4" w:space="0" w:color="auto"/>
              <w:left w:val="nil"/>
              <w:bottom w:val="single" w:sz="4" w:space="0" w:color="auto"/>
              <w:right w:val="single" w:sz="4" w:space="0" w:color="auto"/>
            </w:tcBorders>
            <w:shd w:val="clear" w:color="auto" w:fill="auto"/>
            <w:vAlign w:val="bottom"/>
            <w:hideMark/>
          </w:tcPr>
          <w:p w:rsid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2015 г.</w:t>
            </w:r>
          </w:p>
        </w:tc>
        <w:tc>
          <w:tcPr>
            <w:tcW w:w="463" w:type="pct"/>
            <w:tcBorders>
              <w:top w:val="single" w:sz="4" w:space="0" w:color="auto"/>
              <w:left w:val="nil"/>
              <w:bottom w:val="single" w:sz="4" w:space="0" w:color="auto"/>
              <w:right w:val="single" w:sz="4" w:space="0" w:color="auto"/>
            </w:tcBorders>
            <w:shd w:val="clear" w:color="auto" w:fill="auto"/>
            <w:vAlign w:val="bottom"/>
            <w:hideMark/>
          </w:tcPr>
          <w:p w:rsid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2016 г.</w:t>
            </w:r>
          </w:p>
        </w:tc>
        <w:tc>
          <w:tcPr>
            <w:tcW w:w="463" w:type="pct"/>
            <w:tcBorders>
              <w:top w:val="single" w:sz="4" w:space="0" w:color="auto"/>
              <w:left w:val="nil"/>
              <w:bottom w:val="single" w:sz="4" w:space="0" w:color="auto"/>
              <w:right w:val="single" w:sz="4" w:space="0" w:color="auto"/>
            </w:tcBorders>
            <w:shd w:val="clear" w:color="auto" w:fill="auto"/>
            <w:vAlign w:val="bottom"/>
            <w:hideMark/>
          </w:tcPr>
          <w:p w:rsid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2017 г.</w:t>
            </w:r>
          </w:p>
        </w:tc>
      </w:tr>
      <w:tr w:rsidR="00153E07" w:rsidRPr="00153E07" w:rsidTr="00153E07">
        <w:trPr>
          <w:trHeight w:val="315"/>
        </w:trPr>
        <w:tc>
          <w:tcPr>
            <w:tcW w:w="1759" w:type="pct"/>
            <w:tcBorders>
              <w:top w:val="nil"/>
              <w:left w:val="single" w:sz="4" w:space="0" w:color="auto"/>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Добывающие организации</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91,4</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86,0</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88,5</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106,2</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87,9</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91,3</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92,0</w:t>
            </w:r>
          </w:p>
        </w:tc>
      </w:tr>
      <w:tr w:rsidR="00153E07" w:rsidRPr="00153E07" w:rsidTr="00153E07">
        <w:trPr>
          <w:trHeight w:val="315"/>
        </w:trPr>
        <w:tc>
          <w:tcPr>
            <w:tcW w:w="1759" w:type="pct"/>
            <w:tcBorders>
              <w:top w:val="nil"/>
              <w:left w:val="single" w:sz="4" w:space="0" w:color="auto"/>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Обрабатывающие организации</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-16,4</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-22,5</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-11,1</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-8,0</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41,0</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28,1</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24,2</w:t>
            </w:r>
          </w:p>
        </w:tc>
      </w:tr>
      <w:tr w:rsidR="00153E07" w:rsidRPr="00153E07" w:rsidTr="00153E07">
        <w:trPr>
          <w:trHeight w:val="630"/>
        </w:trPr>
        <w:tc>
          <w:tcPr>
            <w:tcW w:w="1759" w:type="pct"/>
            <w:tcBorders>
              <w:top w:val="nil"/>
              <w:left w:val="single" w:sz="4" w:space="0" w:color="auto"/>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Организации производства и распределения электричества, газа, воды</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-19,9</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-13,2</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-10,6</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4,2</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16,1</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14,9</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11,4</w:t>
            </w:r>
          </w:p>
        </w:tc>
      </w:tr>
      <w:tr w:rsidR="00153E07" w:rsidRPr="00153E07" w:rsidTr="00153E07">
        <w:trPr>
          <w:trHeight w:val="315"/>
        </w:trPr>
        <w:tc>
          <w:tcPr>
            <w:tcW w:w="1759" w:type="pct"/>
            <w:tcBorders>
              <w:top w:val="nil"/>
              <w:left w:val="single" w:sz="4" w:space="0" w:color="auto"/>
              <w:bottom w:val="single" w:sz="4" w:space="0" w:color="auto"/>
              <w:right w:val="single" w:sz="4" w:space="0" w:color="auto"/>
            </w:tcBorders>
            <w:shd w:val="clear" w:color="auto" w:fill="auto"/>
            <w:vAlign w:val="bottom"/>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Организации здравоохранения</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-46,0</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-48,7</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-38,8</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-25,0</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-15,3</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-11,7</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-14,4</w:t>
            </w:r>
          </w:p>
        </w:tc>
      </w:tr>
      <w:tr w:rsidR="00153E07" w:rsidRPr="00153E07" w:rsidTr="00153E07">
        <w:trPr>
          <w:trHeight w:val="315"/>
        </w:trPr>
        <w:tc>
          <w:tcPr>
            <w:tcW w:w="1759" w:type="pct"/>
            <w:tcBorders>
              <w:top w:val="nil"/>
              <w:left w:val="single" w:sz="4" w:space="0" w:color="auto"/>
              <w:bottom w:val="single" w:sz="4" w:space="0" w:color="auto"/>
              <w:right w:val="single" w:sz="4" w:space="0" w:color="auto"/>
            </w:tcBorders>
            <w:shd w:val="clear" w:color="auto" w:fill="auto"/>
            <w:vAlign w:val="bottom"/>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Организации бюджетной сферы</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-49,5</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-47,1</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-35,7</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-20,7</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-16,1</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-15,1</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-17,7</w:t>
            </w:r>
          </w:p>
        </w:tc>
      </w:tr>
      <w:tr w:rsidR="00153E07" w:rsidRPr="00153E07" w:rsidTr="00153E07">
        <w:trPr>
          <w:trHeight w:val="315"/>
        </w:trPr>
        <w:tc>
          <w:tcPr>
            <w:tcW w:w="1759" w:type="pct"/>
            <w:tcBorders>
              <w:top w:val="nil"/>
              <w:left w:val="single" w:sz="4" w:space="0" w:color="auto"/>
              <w:bottom w:val="single" w:sz="4" w:space="0" w:color="auto"/>
              <w:right w:val="single" w:sz="4" w:space="0" w:color="auto"/>
            </w:tcBorders>
            <w:shd w:val="clear" w:color="auto" w:fill="auto"/>
            <w:vAlign w:val="bottom"/>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Организации образования</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-53,1</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-45,4</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-32,5</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-91,6</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-16,9</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-18,5</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-21,0</w:t>
            </w:r>
          </w:p>
        </w:tc>
      </w:tr>
      <w:tr w:rsidR="00153E07" w:rsidRPr="00153E07" w:rsidTr="00153E07">
        <w:trPr>
          <w:trHeight w:val="315"/>
        </w:trPr>
        <w:tc>
          <w:tcPr>
            <w:tcW w:w="1759" w:type="pct"/>
            <w:tcBorders>
              <w:top w:val="nil"/>
              <w:left w:val="single" w:sz="4" w:space="0" w:color="auto"/>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Организации прочих отраслей</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-62,4</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-60,4</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-56,7</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-44,5</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-42,3</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-38,2</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-40,1</w:t>
            </w:r>
          </w:p>
        </w:tc>
      </w:tr>
      <w:tr w:rsidR="00153E07" w:rsidRPr="00153E07" w:rsidTr="00153E07">
        <w:trPr>
          <w:trHeight w:val="315"/>
        </w:trPr>
        <w:tc>
          <w:tcPr>
            <w:tcW w:w="1759" w:type="pct"/>
            <w:tcBorders>
              <w:top w:val="nil"/>
              <w:left w:val="single" w:sz="4" w:space="0" w:color="auto"/>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Сельскохозяйственные организации</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-59,5</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-73,5</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-73,6</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-55,3</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-43,1</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-47,0</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-51,1</w:t>
            </w:r>
          </w:p>
        </w:tc>
      </w:tr>
    </w:tbl>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Для понимания причин данных отклонений проведен динамический и корреляционный анализ среднемесячной номинальной начисленной заработной платы работников всех отраслей и среднесписочного числа работников предприятий и организаций Бардымского муниципального района (таблица 1.1</w:t>
      </w:r>
      <w:r w:rsidR="00A32DD4">
        <w:rPr>
          <w:rFonts w:ascii="Times New Roman" w:eastAsia="Times New Roman" w:hAnsi="Times New Roman" w:cs="Times New Roman"/>
          <w:sz w:val="28"/>
          <w:szCs w:val="28"/>
        </w:rPr>
        <w:t>3</w:t>
      </w:r>
      <w:r w:rsidRPr="00153E07">
        <w:rPr>
          <w:rFonts w:ascii="Times New Roman" w:eastAsia="Times New Roman" w:hAnsi="Times New Roman" w:cs="Times New Roman"/>
          <w:sz w:val="28"/>
          <w:szCs w:val="28"/>
        </w:rPr>
        <w:t>).</w:t>
      </w:r>
    </w:p>
    <w:p w:rsidR="00443EEA" w:rsidRDefault="00443EEA" w:rsidP="00633809">
      <w:pPr>
        <w:spacing w:after="0"/>
        <w:ind w:firstLine="709"/>
        <w:jc w:val="right"/>
        <w:rPr>
          <w:rFonts w:ascii="Times New Roman" w:eastAsia="Times New Roman" w:hAnsi="Times New Roman" w:cs="Times New Roman"/>
          <w:sz w:val="28"/>
          <w:szCs w:val="28"/>
        </w:rPr>
      </w:pPr>
    </w:p>
    <w:p w:rsidR="00153E07" w:rsidRPr="00153E07" w:rsidRDefault="00153E07" w:rsidP="00633809">
      <w:pPr>
        <w:spacing w:after="0"/>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1.1</w:t>
      </w:r>
      <w:r w:rsidR="00A32DD4">
        <w:rPr>
          <w:rFonts w:ascii="Times New Roman" w:eastAsia="Times New Roman" w:hAnsi="Times New Roman" w:cs="Times New Roman"/>
          <w:sz w:val="28"/>
          <w:szCs w:val="28"/>
        </w:rPr>
        <w:t>3</w:t>
      </w:r>
    </w:p>
    <w:p w:rsidR="00153E07" w:rsidRPr="00633809" w:rsidRDefault="00153E07" w:rsidP="00633809">
      <w:pPr>
        <w:spacing w:after="0"/>
        <w:jc w:val="center"/>
        <w:rPr>
          <w:rFonts w:ascii="Times New Roman" w:eastAsia="Times New Roman" w:hAnsi="Times New Roman" w:cs="Times New Roman"/>
          <w:b/>
          <w:sz w:val="28"/>
          <w:szCs w:val="28"/>
        </w:rPr>
      </w:pPr>
      <w:r w:rsidRPr="00633809">
        <w:rPr>
          <w:rFonts w:ascii="Times New Roman" w:eastAsia="Times New Roman" w:hAnsi="Times New Roman" w:cs="Times New Roman"/>
          <w:b/>
          <w:sz w:val="28"/>
          <w:szCs w:val="28"/>
        </w:rPr>
        <w:t>Динамика среднесписочного числа работников предприятий и организаций, среднемесячной номинальной начисленной заработной платы работников всех отраслей и среднего фонда заработной платы в Бардымском муниципальном районе в 01.01.2011 – 01.01.2017</w:t>
      </w:r>
      <w:r w:rsidR="00A32DD4">
        <w:rPr>
          <w:rFonts w:ascii="Times New Roman" w:eastAsia="Times New Roman" w:hAnsi="Times New Roman" w:cs="Times New Roman"/>
          <w:b/>
          <w:sz w:val="28"/>
          <w:szCs w:val="28"/>
        </w:rPr>
        <w:t xml:space="preserve"> </w:t>
      </w:r>
      <w:r w:rsidRPr="00633809">
        <w:rPr>
          <w:rFonts w:ascii="Times New Roman" w:eastAsia="Times New Roman" w:hAnsi="Times New Roman" w:cs="Times New Roman"/>
          <w:b/>
          <w:sz w:val="28"/>
          <w:szCs w:val="28"/>
        </w:rPr>
        <w:t>гг.</w:t>
      </w:r>
    </w:p>
    <w:tbl>
      <w:tblPr>
        <w:tblW w:w="5000" w:type="pct"/>
        <w:tblLayout w:type="fixed"/>
        <w:tblLook w:val="04A0"/>
      </w:tblPr>
      <w:tblGrid>
        <w:gridCol w:w="2286"/>
        <w:gridCol w:w="1122"/>
        <w:gridCol w:w="1122"/>
        <w:gridCol w:w="1122"/>
        <w:gridCol w:w="1122"/>
        <w:gridCol w:w="1121"/>
        <w:gridCol w:w="1121"/>
        <w:gridCol w:w="1121"/>
      </w:tblGrid>
      <w:tr w:rsidR="00153E07" w:rsidRPr="00153E07" w:rsidTr="00153E07">
        <w:trPr>
          <w:trHeight w:val="315"/>
        </w:trPr>
        <w:tc>
          <w:tcPr>
            <w:tcW w:w="11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Показатель</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A32DD4"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2011 г.</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A32DD4"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2012 г.</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A32DD4"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2013 г.</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A32DD4"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2014 г.</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 2015 г.</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A32DD4"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2016 г.</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A32DD4"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2017 г.</w:t>
            </w:r>
          </w:p>
        </w:tc>
      </w:tr>
      <w:tr w:rsidR="00153E07" w:rsidRPr="00153E07" w:rsidTr="00153E07">
        <w:trPr>
          <w:trHeight w:val="630"/>
        </w:trPr>
        <w:tc>
          <w:tcPr>
            <w:tcW w:w="1127" w:type="pct"/>
            <w:tcBorders>
              <w:top w:val="nil"/>
              <w:left w:val="single" w:sz="4" w:space="0" w:color="auto"/>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Среднесписочное число работников предприятий и организаций, чел.</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4 271</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4 028</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3 874</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3 767</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3 546</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3 338</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3 167</w:t>
            </w:r>
          </w:p>
        </w:tc>
      </w:tr>
      <w:tr w:rsidR="00153E07" w:rsidRPr="00153E07" w:rsidTr="00153E07">
        <w:trPr>
          <w:trHeight w:val="945"/>
        </w:trPr>
        <w:tc>
          <w:tcPr>
            <w:tcW w:w="1127" w:type="pct"/>
            <w:tcBorders>
              <w:top w:val="nil"/>
              <w:left w:val="single" w:sz="4" w:space="0" w:color="auto"/>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Среднемесячная номинальная начисленная ЗП работников предприятий и организаций, рублей</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16 850,0</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17 956,0</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18 400,0</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19 038,9</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21 290,3</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23 006,1</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25 060,2</w:t>
            </w:r>
          </w:p>
        </w:tc>
      </w:tr>
      <w:tr w:rsidR="00153E07" w:rsidRPr="00153E07" w:rsidTr="00153E07">
        <w:trPr>
          <w:trHeight w:val="945"/>
        </w:trPr>
        <w:tc>
          <w:tcPr>
            <w:tcW w:w="1127" w:type="pct"/>
            <w:tcBorders>
              <w:top w:val="nil"/>
              <w:left w:val="single" w:sz="4" w:space="0" w:color="auto"/>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Средний фонд заработной платы работников предприятий и организаций, тыс.руб.</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71 966</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72 327</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71 282</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71 720</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75 495</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76 794</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79 366</w:t>
            </w:r>
          </w:p>
        </w:tc>
      </w:tr>
      <w:tr w:rsidR="00153E07" w:rsidRPr="00153E07" w:rsidTr="00153E07">
        <w:trPr>
          <w:trHeight w:val="315"/>
        </w:trPr>
        <w:tc>
          <w:tcPr>
            <w:tcW w:w="1127" w:type="pct"/>
            <w:tcBorders>
              <w:top w:val="nil"/>
              <w:left w:val="single" w:sz="4" w:space="0" w:color="auto"/>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lastRenderedPageBreak/>
              <w:t>Динамика с/с числа работников, %</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0,94</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0,96</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0,97</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0,94</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0,94</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0,95</w:t>
            </w:r>
          </w:p>
        </w:tc>
      </w:tr>
      <w:tr w:rsidR="00153E07" w:rsidRPr="00153E07" w:rsidTr="00153E07">
        <w:trPr>
          <w:trHeight w:val="630"/>
        </w:trPr>
        <w:tc>
          <w:tcPr>
            <w:tcW w:w="1127" w:type="pct"/>
            <w:tcBorders>
              <w:top w:val="nil"/>
              <w:left w:val="single" w:sz="4" w:space="0" w:color="auto"/>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Динамика средней номинальной начисленной ЗП, %</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1,07</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1,02</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1,03</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1,12</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1,08</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1,09</w:t>
            </w:r>
          </w:p>
        </w:tc>
      </w:tr>
    </w:tbl>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Абсолютные показатели характеризуют сокращение среднесписочной численности работников предприятий и организаций в Бардымском муниципальном районе в течение анализируемого периода с 4271 человека до 3167 человек и увеличение среднемесячной номинальной начисленной заработной платы работников всех отраслей с 16850 руб. до 25060,2 руб.</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Коэффициент корреляции Пирсона, рассчитанный на основе динамик темпов роста среднемесячной номинальной начисленной заработной платы работников всех отраслей и среднесписочного числа работников предприятий и организаций показал высокий уровень обратной взаимосвязи: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0,807</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т.е. сокращение численности персонала ведет к увеличению средней величины заработной платы работников. Таким образом, не имея финансовой возможности для увеличения оплаты труда всех сотрудников, менеджмент организаций проводит политику оптимизации фонда оплаты труда и перераспределения финансовых ресурсов.</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Обратную взаимосвязь данных показателей наглядно видно на рисунке 1.5</w:t>
      </w:r>
      <w:r w:rsidR="00BC765E">
        <w:rPr>
          <w:rFonts w:ascii="Times New Roman" w:eastAsia="Times New Roman" w:hAnsi="Times New Roman" w:cs="Times New Roman"/>
          <w:sz w:val="28"/>
          <w:szCs w:val="28"/>
        </w:rPr>
        <w:t>4</w:t>
      </w:r>
      <w:r w:rsidRPr="00153E07">
        <w:rPr>
          <w:rFonts w:ascii="Times New Roman" w:eastAsia="Times New Roman" w:hAnsi="Times New Roman" w:cs="Times New Roman"/>
          <w:sz w:val="28"/>
          <w:szCs w:val="28"/>
        </w:rPr>
        <w:t>.</w:t>
      </w:r>
    </w:p>
    <w:p w:rsidR="00153E07" w:rsidRPr="00BC765E" w:rsidRDefault="00153E07" w:rsidP="006D2568">
      <w:pPr>
        <w:spacing w:after="0" w:line="240" w:lineRule="auto"/>
        <w:jc w:val="both"/>
        <w:rPr>
          <w:rFonts w:ascii="Times New Roman" w:eastAsia="Times New Roman" w:hAnsi="Times New Roman" w:cs="Times New Roman"/>
          <w:b/>
          <w:sz w:val="28"/>
          <w:szCs w:val="28"/>
        </w:rPr>
      </w:pPr>
      <w:r w:rsidRPr="00153E07">
        <w:rPr>
          <w:rFonts w:ascii="Times New Roman" w:eastAsia="Times New Roman" w:hAnsi="Times New Roman" w:cs="Times New Roman"/>
          <w:sz w:val="28"/>
          <w:szCs w:val="28"/>
        </w:rPr>
        <w:object w:dxaOrig="11337" w:dyaOrig="8014">
          <v:shape id="_x0000_i1026" type="#_x0000_t75" style="width:485.55pt;height:312.75pt" o:ole="">
            <v:imagedata r:id="rId62" o:title=""/>
          </v:shape>
          <o:OLEObject Type="Embed" ProgID="Excel.Sheet.12" ShapeID="_x0000_i1026" DrawAspect="Content" ObjectID="_1589347246" r:id="rId63"/>
        </w:object>
      </w:r>
      <w:r w:rsidRPr="00BC765E">
        <w:rPr>
          <w:rFonts w:ascii="Times New Roman" w:eastAsia="Times New Roman" w:hAnsi="Times New Roman" w:cs="Times New Roman"/>
          <w:b/>
          <w:sz w:val="28"/>
          <w:szCs w:val="28"/>
        </w:rPr>
        <w:t>Рисунок 1.5</w:t>
      </w:r>
      <w:r w:rsidR="00BC765E" w:rsidRPr="00BC765E">
        <w:rPr>
          <w:rFonts w:ascii="Times New Roman" w:eastAsia="Times New Roman" w:hAnsi="Times New Roman" w:cs="Times New Roman"/>
          <w:b/>
          <w:sz w:val="28"/>
          <w:szCs w:val="28"/>
        </w:rPr>
        <w:t>4</w:t>
      </w:r>
      <w:r w:rsidRPr="00BC765E">
        <w:rPr>
          <w:rFonts w:ascii="Times New Roman" w:eastAsia="Times New Roman" w:hAnsi="Times New Roman" w:cs="Times New Roman"/>
          <w:b/>
          <w:sz w:val="28"/>
          <w:szCs w:val="28"/>
        </w:rPr>
        <w:t>. Сравнение динамики среднесписочного числа работников предприятий и организаций с динамикой средней номинальной начисленной заработной платой работников всех отраслей Бардымского муниципального района в 01.01.2011 – 01.01.2017</w:t>
      </w:r>
      <w:r w:rsidR="00BC765E" w:rsidRPr="00BC765E">
        <w:rPr>
          <w:rFonts w:ascii="Times New Roman" w:eastAsia="Times New Roman" w:hAnsi="Times New Roman" w:cs="Times New Roman"/>
          <w:b/>
          <w:sz w:val="28"/>
          <w:szCs w:val="28"/>
        </w:rPr>
        <w:t xml:space="preserve"> </w:t>
      </w:r>
      <w:r w:rsidRPr="00BC765E">
        <w:rPr>
          <w:rFonts w:ascii="Times New Roman" w:eastAsia="Times New Roman" w:hAnsi="Times New Roman" w:cs="Times New Roman"/>
          <w:b/>
          <w:sz w:val="28"/>
          <w:szCs w:val="28"/>
        </w:rPr>
        <w:t>г.</w:t>
      </w:r>
    </w:p>
    <w:p w:rsidR="00980ED1" w:rsidRDefault="00980ED1" w:rsidP="006D2568">
      <w:pPr>
        <w:spacing w:after="0" w:line="240" w:lineRule="auto"/>
        <w:ind w:firstLine="709"/>
        <w:jc w:val="both"/>
        <w:rPr>
          <w:rFonts w:ascii="Times New Roman" w:eastAsia="Times New Roman" w:hAnsi="Times New Roman" w:cs="Times New Roman"/>
          <w:b/>
          <w:sz w:val="28"/>
          <w:szCs w:val="28"/>
        </w:rPr>
      </w:pPr>
    </w:p>
    <w:p w:rsidR="00153E07" w:rsidRPr="00153E07" w:rsidRDefault="00153E07" w:rsidP="00980ED1">
      <w:pPr>
        <w:spacing w:after="0" w:line="240" w:lineRule="auto"/>
        <w:jc w:val="both"/>
        <w:rPr>
          <w:rFonts w:ascii="Times New Roman" w:eastAsiaTheme="majorEastAsia" w:hAnsi="Times New Roman" w:cs="Times New Roman"/>
          <w:b/>
          <w:bCs/>
          <w:sz w:val="28"/>
          <w:szCs w:val="28"/>
        </w:rPr>
      </w:pPr>
      <w:r w:rsidRPr="00153E07">
        <w:rPr>
          <w:rFonts w:ascii="Times New Roman" w:eastAsiaTheme="majorEastAsia" w:hAnsi="Times New Roman" w:cs="Times New Roman"/>
          <w:b/>
          <w:bCs/>
          <w:sz w:val="28"/>
          <w:szCs w:val="28"/>
        </w:rPr>
        <w:lastRenderedPageBreak/>
        <w:t xml:space="preserve">1.2.16 Бюджет Бардымского муниципального района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таблице 1.1</w:t>
      </w:r>
      <w:r w:rsidR="00BC765E">
        <w:rPr>
          <w:rFonts w:ascii="Times New Roman" w:eastAsia="Times New Roman" w:hAnsi="Times New Roman" w:cs="Times New Roman"/>
          <w:sz w:val="28"/>
          <w:szCs w:val="28"/>
        </w:rPr>
        <w:t>4</w:t>
      </w:r>
      <w:r w:rsidRPr="00153E07">
        <w:rPr>
          <w:rFonts w:ascii="Times New Roman" w:eastAsia="Times New Roman" w:hAnsi="Times New Roman" w:cs="Times New Roman"/>
          <w:sz w:val="28"/>
          <w:szCs w:val="28"/>
        </w:rPr>
        <w:t xml:space="preserve"> представлены данные о доходах бюджета Бардымского муниципального района в 2011-2016 гг.</w:t>
      </w:r>
    </w:p>
    <w:p w:rsidR="00153E07" w:rsidRPr="00153E07" w:rsidRDefault="00BC765E" w:rsidP="006D2568">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1.14</w:t>
      </w:r>
    </w:p>
    <w:p w:rsidR="00633809" w:rsidRDefault="00153E07" w:rsidP="006D2568">
      <w:pPr>
        <w:spacing w:after="0" w:line="240" w:lineRule="auto"/>
        <w:jc w:val="center"/>
        <w:rPr>
          <w:rFonts w:ascii="Times New Roman" w:eastAsia="Times New Roman" w:hAnsi="Times New Roman" w:cs="Times New Roman"/>
          <w:b/>
          <w:sz w:val="28"/>
          <w:szCs w:val="28"/>
        </w:rPr>
      </w:pPr>
      <w:r w:rsidRPr="00633809">
        <w:rPr>
          <w:rFonts w:ascii="Times New Roman" w:eastAsia="Times New Roman" w:hAnsi="Times New Roman" w:cs="Times New Roman"/>
          <w:b/>
          <w:sz w:val="28"/>
          <w:szCs w:val="28"/>
        </w:rPr>
        <w:t xml:space="preserve">Доходы бюджета Бардымского муниципального района </w:t>
      </w:r>
    </w:p>
    <w:p w:rsidR="00153E07" w:rsidRPr="00633809" w:rsidRDefault="00153E07" w:rsidP="006D2568">
      <w:pPr>
        <w:spacing w:after="0" w:line="240" w:lineRule="auto"/>
        <w:jc w:val="center"/>
        <w:rPr>
          <w:rFonts w:ascii="Times New Roman" w:eastAsia="Times New Roman" w:hAnsi="Times New Roman" w:cs="Times New Roman"/>
          <w:b/>
          <w:sz w:val="28"/>
          <w:szCs w:val="28"/>
        </w:rPr>
      </w:pPr>
      <w:r w:rsidRPr="00633809">
        <w:rPr>
          <w:rFonts w:ascii="Times New Roman" w:eastAsia="Times New Roman" w:hAnsi="Times New Roman" w:cs="Times New Roman"/>
          <w:b/>
          <w:sz w:val="28"/>
          <w:szCs w:val="28"/>
        </w:rPr>
        <w:t>в 2011-2016 гг., тыс.руб.</w:t>
      </w:r>
    </w:p>
    <w:tbl>
      <w:tblPr>
        <w:tblW w:w="5000" w:type="pct"/>
        <w:tblLook w:val="04A0"/>
      </w:tblPr>
      <w:tblGrid>
        <w:gridCol w:w="3753"/>
        <w:gridCol w:w="1064"/>
        <w:gridCol w:w="1064"/>
        <w:gridCol w:w="1064"/>
        <w:gridCol w:w="1064"/>
        <w:gridCol w:w="1064"/>
        <w:gridCol w:w="1064"/>
      </w:tblGrid>
      <w:tr w:rsidR="00153E07" w:rsidRPr="00153E07" w:rsidTr="00153E07">
        <w:trPr>
          <w:trHeight w:val="300"/>
        </w:trPr>
        <w:tc>
          <w:tcPr>
            <w:tcW w:w="1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Вид дохода</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2011 год</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2012 год</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2013 год</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2014 год</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2015 год</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2016 год</w:t>
            </w:r>
          </w:p>
        </w:tc>
      </w:tr>
      <w:tr w:rsidR="00153E07" w:rsidRPr="00153E07" w:rsidTr="00153E07">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Налоговые доходы</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100 080</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84 738</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120 345</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111 023</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115 624</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130 142</w:t>
            </w:r>
          </w:p>
        </w:tc>
      </w:tr>
      <w:tr w:rsidR="00153E07" w:rsidRPr="00153E07" w:rsidTr="00153E07">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Неналоговые доходы</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33 523</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36 190</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42 440</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63 364</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46 750</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53 890</w:t>
            </w:r>
          </w:p>
        </w:tc>
      </w:tr>
      <w:tr w:rsidR="00153E07" w:rsidRPr="00153E07" w:rsidTr="00153E07">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Межбюджетные трансферты</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547 854</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754 246</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743 980</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621 087</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576 752</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560 684</w:t>
            </w:r>
          </w:p>
        </w:tc>
      </w:tr>
      <w:tr w:rsidR="00153E07" w:rsidRPr="00153E07" w:rsidTr="00153E07">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Прочие безвозмездные поступления</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19 198</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21 543</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20678</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7 453</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2 956</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23 397</w:t>
            </w:r>
          </w:p>
        </w:tc>
      </w:tr>
      <w:tr w:rsidR="00153E07" w:rsidRPr="00153E07" w:rsidTr="00153E07">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Итого</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700 655</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896 717</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927 443</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802 927</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742 082</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768 113</w:t>
            </w:r>
          </w:p>
        </w:tc>
      </w:tr>
    </w:tbl>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Доходы бюджета Бардымского муниципального района в течение анализируемого периода времени сократились в результате уменьшения суммы межбюджетных трансфертов. В то же время имеет место рост налоговых и неналоговых поступлений </w:t>
      </w:r>
      <w:r w:rsidR="00BC765E">
        <w:rPr>
          <w:rFonts w:ascii="Times New Roman" w:eastAsia="Times New Roman" w:hAnsi="Times New Roman" w:cs="Times New Roman"/>
          <w:sz w:val="28"/>
          <w:szCs w:val="28"/>
        </w:rPr>
        <w:t>в доход бюджета. На рисунке 1.55</w:t>
      </w:r>
      <w:r w:rsidRPr="00153E07">
        <w:rPr>
          <w:rFonts w:ascii="Times New Roman" w:eastAsia="Times New Roman" w:hAnsi="Times New Roman" w:cs="Times New Roman"/>
          <w:sz w:val="28"/>
          <w:szCs w:val="28"/>
        </w:rPr>
        <w:t xml:space="preserve"> представлена структура доходов бюджета Бардымского муниципального района в 2011-2016</w:t>
      </w:r>
      <w:r w:rsidR="00BC765E">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гг.</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791200" cy="2857500"/>
            <wp:effectExtent l="19050" t="0" r="0" b="0"/>
            <wp:docPr id="218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53E07" w:rsidRPr="00BC765E" w:rsidRDefault="00BC765E"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1.55</w:t>
      </w:r>
      <w:r w:rsidR="00153E07" w:rsidRPr="00BC765E">
        <w:rPr>
          <w:rFonts w:ascii="Times New Roman" w:eastAsia="Times New Roman" w:hAnsi="Times New Roman" w:cs="Times New Roman"/>
          <w:b/>
          <w:sz w:val="28"/>
          <w:szCs w:val="28"/>
        </w:rPr>
        <w:t>. Структура доходов бюджета Бардымского муниципального района в 2011-2016гг.,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структуре доходов бюджета в течение анализируемого периода времени преобладают межбюджетные трансферты, занимающие в среднем 80% в общей сумме доходов бюджета. Их доля незначительно снизилась к 2016 году до 73% благодаря увеличению доли налоговых и неналоговых доходов. Т.е. бюджет Бардымского муниципального района является высокодотационным.</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Динамика доходов бюджета Бардымского муниципального района в 2011-2016</w:t>
      </w:r>
      <w:r w:rsidR="00BC765E">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гг., представлена на рисунке 1.</w:t>
      </w:r>
      <w:r w:rsidR="00BC765E">
        <w:rPr>
          <w:rFonts w:ascii="Times New Roman" w:eastAsia="Times New Roman" w:hAnsi="Times New Roman" w:cs="Times New Roman"/>
          <w:sz w:val="28"/>
          <w:szCs w:val="28"/>
        </w:rPr>
        <w:t>56</w:t>
      </w:r>
      <w:r w:rsidRPr="00153E07">
        <w:rPr>
          <w:rFonts w:ascii="Times New Roman" w:eastAsia="Times New Roman" w:hAnsi="Times New Roman" w:cs="Times New Roman"/>
          <w:sz w:val="28"/>
          <w:szCs w:val="28"/>
        </w:rPr>
        <w:t>.</w:t>
      </w: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6238875" cy="3382645"/>
            <wp:effectExtent l="19050" t="0" r="9525" b="8255"/>
            <wp:docPr id="218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53E07" w:rsidRPr="00BC765E" w:rsidRDefault="00153E07"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w:t>
      </w:r>
      <w:r w:rsidR="00BC765E" w:rsidRPr="00BC765E">
        <w:rPr>
          <w:rFonts w:ascii="Times New Roman" w:eastAsia="Times New Roman" w:hAnsi="Times New Roman" w:cs="Times New Roman"/>
          <w:b/>
          <w:sz w:val="28"/>
          <w:szCs w:val="28"/>
        </w:rPr>
        <w:t>56</w:t>
      </w:r>
      <w:r w:rsidRPr="00BC765E">
        <w:rPr>
          <w:rFonts w:ascii="Times New Roman" w:eastAsia="Times New Roman" w:hAnsi="Times New Roman" w:cs="Times New Roman"/>
          <w:b/>
          <w:sz w:val="28"/>
          <w:szCs w:val="28"/>
        </w:rPr>
        <w:t>. Динамика доходов бюджета Бардымского муниципального района в 2011-2016</w:t>
      </w:r>
      <w:r w:rsidR="00BC765E">
        <w:rPr>
          <w:rFonts w:ascii="Times New Roman" w:eastAsia="Times New Roman" w:hAnsi="Times New Roman" w:cs="Times New Roman"/>
          <w:b/>
          <w:sz w:val="28"/>
          <w:szCs w:val="28"/>
        </w:rPr>
        <w:t xml:space="preserve"> </w:t>
      </w:r>
      <w:r w:rsidRPr="00BC765E">
        <w:rPr>
          <w:rFonts w:ascii="Times New Roman" w:eastAsia="Times New Roman" w:hAnsi="Times New Roman" w:cs="Times New Roman"/>
          <w:b/>
          <w:sz w:val="28"/>
          <w:szCs w:val="28"/>
        </w:rPr>
        <w:t>гг., тыс. руб.</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таблице 1.1</w:t>
      </w:r>
      <w:r w:rsidR="00BC765E">
        <w:rPr>
          <w:rFonts w:ascii="Times New Roman" w:eastAsia="Times New Roman" w:hAnsi="Times New Roman" w:cs="Times New Roman"/>
          <w:sz w:val="28"/>
          <w:szCs w:val="28"/>
        </w:rPr>
        <w:t>5</w:t>
      </w:r>
      <w:r w:rsidRPr="00153E07">
        <w:rPr>
          <w:rFonts w:ascii="Times New Roman" w:eastAsia="Times New Roman" w:hAnsi="Times New Roman" w:cs="Times New Roman"/>
          <w:sz w:val="28"/>
          <w:szCs w:val="28"/>
        </w:rPr>
        <w:t xml:space="preserve"> рассмотрим состав налоговых доходов бюджета Бардымского муниципального района в 2011-2016 гг.</w:t>
      </w:r>
    </w:p>
    <w:p w:rsidR="00443EEA" w:rsidRDefault="00443EEA" w:rsidP="006D2568">
      <w:pPr>
        <w:spacing w:after="0" w:line="240" w:lineRule="auto"/>
        <w:ind w:firstLine="709"/>
        <w:jc w:val="right"/>
        <w:rPr>
          <w:rFonts w:ascii="Times New Roman" w:eastAsia="Times New Roman" w:hAnsi="Times New Roman" w:cs="Times New Roman"/>
          <w:sz w:val="28"/>
          <w:szCs w:val="28"/>
        </w:rPr>
      </w:pPr>
    </w:p>
    <w:p w:rsidR="00153E07" w:rsidRPr="00153E07" w:rsidRDefault="00BC765E" w:rsidP="006D2568">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1.15</w:t>
      </w:r>
    </w:p>
    <w:p w:rsidR="00153E07" w:rsidRPr="00633809" w:rsidRDefault="00153E07" w:rsidP="006D2568">
      <w:pPr>
        <w:spacing w:after="0" w:line="240" w:lineRule="auto"/>
        <w:jc w:val="center"/>
        <w:rPr>
          <w:rFonts w:ascii="Times New Roman" w:eastAsia="Times New Roman" w:hAnsi="Times New Roman" w:cs="Times New Roman"/>
          <w:b/>
          <w:sz w:val="28"/>
          <w:szCs w:val="28"/>
        </w:rPr>
      </w:pPr>
      <w:r w:rsidRPr="00633809">
        <w:rPr>
          <w:rFonts w:ascii="Times New Roman" w:eastAsia="Times New Roman" w:hAnsi="Times New Roman" w:cs="Times New Roman"/>
          <w:b/>
          <w:sz w:val="28"/>
          <w:szCs w:val="28"/>
        </w:rPr>
        <w:t>Структура налоговых доходов бюджета Бардымского муниципального района в 2011-2016гг., %</w:t>
      </w:r>
    </w:p>
    <w:tbl>
      <w:tblPr>
        <w:tblW w:w="9928" w:type="dxa"/>
        <w:tblInd w:w="103" w:type="dxa"/>
        <w:tblLook w:val="04A0"/>
      </w:tblPr>
      <w:tblGrid>
        <w:gridCol w:w="2840"/>
        <w:gridCol w:w="1222"/>
        <w:gridCol w:w="1276"/>
        <w:gridCol w:w="1134"/>
        <w:gridCol w:w="1134"/>
        <w:gridCol w:w="1134"/>
        <w:gridCol w:w="1188"/>
      </w:tblGrid>
      <w:tr w:rsidR="00153E07" w:rsidRPr="00D922B3" w:rsidTr="00BC765E">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Наименование налога</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2011 год</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2012 год</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2013 год</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2014 год</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2015 год</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2016 год</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Акцизы</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10,9%</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10,4%</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12,9%</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Госпошлина</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6,2%</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1,9%</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1,6%</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2,1%</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2,8%</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2,1%</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ЕНВД</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6,4%</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8,7%</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6,3%</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6,9%</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7,4%</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6,2%</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ЕСХН</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0,2%</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0,3%</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0,1%</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0,2%</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0,1%</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0,1%</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Земельный налог</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1,1%</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2,8%</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5,0%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8,4%</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8,1%</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8,1%</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Налог на имущество организаций</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26,5%</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Налог на имущество физических лиц</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0,5%</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4,5%</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3,6%</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4,2%</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4,1%</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4,2%</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НДФЛ</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49,5%</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59,4%</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65,2%</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49,1%</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46,9%</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48,6%</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Патент</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0,01%</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0,01%</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0,01%</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0,03%</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Прочие местные налоги</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0,1%</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0,1%</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0,1%</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Транспортный налог</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9,7%</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22,3%</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18,3%</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18,2%</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20,1%</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17,7%</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Итого</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100,0%</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100,0%</w:t>
            </w:r>
          </w:p>
        </w:tc>
      </w:tr>
    </w:tbl>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структуре налоговых доходов бюджета Бардымского района преобладает налог на доходы физических лиц. Благодаря НДФЛ бюджет района пополняется почти наполовину. Почти пятую часть налоговых доходов муниципального бюджета составляет транспортный налог. В течение анализируемого периода времени увеличилась и в последние 3 года практически не меняется доля </w:t>
      </w:r>
      <w:r w:rsidRPr="00153E07">
        <w:rPr>
          <w:rFonts w:ascii="Times New Roman" w:eastAsia="Times New Roman" w:hAnsi="Times New Roman" w:cs="Times New Roman"/>
          <w:sz w:val="28"/>
          <w:szCs w:val="28"/>
        </w:rPr>
        <w:lastRenderedPageBreak/>
        <w:t xml:space="preserve">земельного налога (8,4% - 8,1%). Доля налога на имущество физических лиц также относительно неизменна (4,2%).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Изменения в структуре налоговых доходов бюджета коснулись налога на имущество организаций. Начиная с 2012 года, данный налог зачисляется в региональный бюджет в объеме 100%.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 2014 года в бюджет муниципального района зачисляются акцизные платежи. В 2016 году доля акцизов в налоговых доходах бюджета Бардымского района составляет 12,9%.</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Динамика налоговых доходов бюджета Бардымского муниципального района в 2011-2016</w:t>
      </w:r>
      <w:r w:rsidR="00BC765E">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гг. представлена на рисунке 1.</w:t>
      </w:r>
      <w:r w:rsidR="00BC765E">
        <w:rPr>
          <w:rFonts w:ascii="Times New Roman" w:eastAsia="Times New Roman" w:hAnsi="Times New Roman" w:cs="Times New Roman"/>
          <w:sz w:val="28"/>
          <w:szCs w:val="28"/>
        </w:rPr>
        <w:t>57</w:t>
      </w:r>
      <w:r w:rsidRPr="00153E07">
        <w:rPr>
          <w:rFonts w:ascii="Times New Roman" w:eastAsia="Times New Roman" w:hAnsi="Times New Roman" w:cs="Times New Roman"/>
          <w:sz w:val="28"/>
          <w:szCs w:val="28"/>
        </w:rPr>
        <w:t xml:space="preserve">. </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67400" cy="2838450"/>
            <wp:effectExtent l="19050" t="0" r="0" b="0"/>
            <wp:docPr id="218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53E07" w:rsidRPr="00BC765E" w:rsidRDefault="00153E07"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w:t>
      </w:r>
      <w:r w:rsidR="00BC765E" w:rsidRPr="00BC765E">
        <w:rPr>
          <w:rFonts w:ascii="Times New Roman" w:eastAsia="Times New Roman" w:hAnsi="Times New Roman" w:cs="Times New Roman"/>
          <w:b/>
          <w:sz w:val="28"/>
          <w:szCs w:val="28"/>
        </w:rPr>
        <w:t>57</w:t>
      </w:r>
      <w:r w:rsidRPr="00BC765E">
        <w:rPr>
          <w:rFonts w:ascii="Times New Roman" w:eastAsia="Times New Roman" w:hAnsi="Times New Roman" w:cs="Times New Roman"/>
          <w:b/>
          <w:sz w:val="28"/>
          <w:szCs w:val="28"/>
        </w:rPr>
        <w:t>. Динамика налоговых доходов бюджета Бардымского муниципального района в 2011-2016</w:t>
      </w:r>
      <w:r w:rsidR="00BC765E">
        <w:rPr>
          <w:rFonts w:ascii="Times New Roman" w:eastAsia="Times New Roman" w:hAnsi="Times New Roman" w:cs="Times New Roman"/>
          <w:b/>
          <w:sz w:val="28"/>
          <w:szCs w:val="28"/>
        </w:rPr>
        <w:t xml:space="preserve"> </w:t>
      </w:r>
      <w:r w:rsidRPr="00BC765E">
        <w:rPr>
          <w:rFonts w:ascii="Times New Roman" w:eastAsia="Times New Roman" w:hAnsi="Times New Roman" w:cs="Times New Roman"/>
          <w:b/>
          <w:sz w:val="28"/>
          <w:szCs w:val="28"/>
        </w:rPr>
        <w:t>гг.</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Структура неналоговых доходов бюджета Бардымского муниципального района в 2011-2016</w:t>
      </w:r>
      <w:r w:rsidR="00BC765E">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гг. представлена в таблице 1.1</w:t>
      </w:r>
      <w:r w:rsidR="00BC765E">
        <w:rPr>
          <w:rFonts w:ascii="Times New Roman" w:eastAsia="Times New Roman" w:hAnsi="Times New Roman" w:cs="Times New Roman"/>
          <w:sz w:val="28"/>
          <w:szCs w:val="28"/>
        </w:rPr>
        <w:t>6</w:t>
      </w:r>
      <w:r w:rsidRPr="00153E07">
        <w:rPr>
          <w:rFonts w:ascii="Times New Roman" w:eastAsia="Times New Roman" w:hAnsi="Times New Roman" w:cs="Times New Roman"/>
          <w:sz w:val="28"/>
          <w:szCs w:val="28"/>
        </w:rPr>
        <w:t>.</w:t>
      </w:r>
    </w:p>
    <w:p w:rsidR="00153E07" w:rsidRPr="00153E07" w:rsidRDefault="00BC765E" w:rsidP="006D2568">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1.16</w:t>
      </w:r>
    </w:p>
    <w:p w:rsidR="00153E07" w:rsidRPr="00633809" w:rsidRDefault="00153E07" w:rsidP="006D2568">
      <w:pPr>
        <w:spacing w:after="0" w:line="240" w:lineRule="auto"/>
        <w:jc w:val="center"/>
        <w:rPr>
          <w:rFonts w:ascii="Times New Roman" w:eastAsia="Times New Roman" w:hAnsi="Times New Roman" w:cs="Times New Roman"/>
          <w:b/>
          <w:sz w:val="28"/>
          <w:szCs w:val="28"/>
        </w:rPr>
      </w:pPr>
      <w:r w:rsidRPr="00633809">
        <w:rPr>
          <w:rFonts w:ascii="Times New Roman" w:eastAsia="Times New Roman" w:hAnsi="Times New Roman" w:cs="Times New Roman"/>
          <w:b/>
          <w:sz w:val="28"/>
          <w:szCs w:val="28"/>
        </w:rPr>
        <w:t>Структура неналоговых доходов бюджета Бардымского муниципального района в 2011-2016</w:t>
      </w:r>
      <w:r w:rsidR="00BC765E">
        <w:rPr>
          <w:rFonts w:ascii="Times New Roman" w:eastAsia="Times New Roman" w:hAnsi="Times New Roman" w:cs="Times New Roman"/>
          <w:b/>
          <w:sz w:val="28"/>
          <w:szCs w:val="28"/>
        </w:rPr>
        <w:t xml:space="preserve"> </w:t>
      </w:r>
      <w:r w:rsidRPr="00633809">
        <w:rPr>
          <w:rFonts w:ascii="Times New Roman" w:eastAsia="Times New Roman" w:hAnsi="Times New Roman" w:cs="Times New Roman"/>
          <w:b/>
          <w:sz w:val="28"/>
          <w:szCs w:val="28"/>
        </w:rPr>
        <w:t>гг., %</w:t>
      </w:r>
    </w:p>
    <w:tbl>
      <w:tblPr>
        <w:tblW w:w="5000" w:type="pct"/>
        <w:tblLook w:val="04A0"/>
      </w:tblPr>
      <w:tblGrid>
        <w:gridCol w:w="3579"/>
        <w:gridCol w:w="1093"/>
        <w:gridCol w:w="1093"/>
        <w:gridCol w:w="1093"/>
        <w:gridCol w:w="1093"/>
        <w:gridCol w:w="1093"/>
        <w:gridCol w:w="1093"/>
      </w:tblGrid>
      <w:tr w:rsidR="00153E07" w:rsidRPr="00153E07" w:rsidTr="00153E07">
        <w:trPr>
          <w:trHeight w:val="300"/>
        </w:trPr>
        <w:tc>
          <w:tcPr>
            <w:tcW w:w="17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Вид дохода</w:t>
            </w:r>
          </w:p>
        </w:tc>
        <w:tc>
          <w:tcPr>
            <w:tcW w:w="539" w:type="pct"/>
            <w:tcBorders>
              <w:top w:val="single" w:sz="4" w:space="0" w:color="auto"/>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2011 год</w:t>
            </w:r>
          </w:p>
        </w:tc>
        <w:tc>
          <w:tcPr>
            <w:tcW w:w="539" w:type="pct"/>
            <w:tcBorders>
              <w:top w:val="single" w:sz="4" w:space="0" w:color="auto"/>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2012 год</w:t>
            </w:r>
          </w:p>
        </w:tc>
        <w:tc>
          <w:tcPr>
            <w:tcW w:w="539" w:type="pct"/>
            <w:tcBorders>
              <w:top w:val="single" w:sz="4" w:space="0" w:color="auto"/>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2013 год</w:t>
            </w:r>
          </w:p>
        </w:tc>
        <w:tc>
          <w:tcPr>
            <w:tcW w:w="539" w:type="pct"/>
            <w:tcBorders>
              <w:top w:val="single" w:sz="4" w:space="0" w:color="auto"/>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2014 год</w:t>
            </w:r>
          </w:p>
        </w:tc>
        <w:tc>
          <w:tcPr>
            <w:tcW w:w="539" w:type="pct"/>
            <w:tcBorders>
              <w:top w:val="single" w:sz="4" w:space="0" w:color="auto"/>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2015 год</w:t>
            </w:r>
          </w:p>
        </w:tc>
        <w:tc>
          <w:tcPr>
            <w:tcW w:w="539" w:type="pct"/>
            <w:tcBorders>
              <w:top w:val="single" w:sz="4" w:space="0" w:color="auto"/>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b/>
                <w:color w:val="000000"/>
                <w:szCs w:val="28"/>
              </w:rPr>
            </w:pPr>
            <w:r w:rsidRPr="00E444CA">
              <w:rPr>
                <w:rFonts w:ascii="Times New Roman" w:eastAsia="Times New Roman" w:hAnsi="Times New Roman" w:cs="Times New Roman"/>
                <w:b/>
                <w:color w:val="000000"/>
                <w:szCs w:val="28"/>
              </w:rPr>
              <w:t>2016 год</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Аренда земли</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86,0%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85,4%</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84,1%</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59,6%</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80,0%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83,4%</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Аренда имущества</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3,8%</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2,0%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3,7%</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3,1%</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3,1%</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Доходы от продажи земли</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1,3%</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1,8%</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0,8%</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1,5%</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7,6%</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5,2%</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Компенсация затрат</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0,3%</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1,4%</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3,8%</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0,8%</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1,2%</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1,8%</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Невыясненные</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-0,4%</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-0,2%</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-0,2%</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-0,1%</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0,0%</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Плата за негативное воздействие</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2,3%</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1,6%</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2,2%</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1,3%</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1,2%</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1,8%</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Продажа имущества</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0,4%</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0,6%</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1,1%</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29,2%</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3,1%</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0,4%</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Прочие неналоговые доходы</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3,7%</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0,1%</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0,1%</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0,1%</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0,0%</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Средства самообложения</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0,3%</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1,2%</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0,4%</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0,6%</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Часть прибыли МУП</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0,1%</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0,0%</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Штрафы</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6,3%</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3,8%</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4,0%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3,3%</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3,2%</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E444CA" w:rsidRDefault="00153E07" w:rsidP="006D2568">
            <w:pPr>
              <w:spacing w:after="0" w:line="240" w:lineRule="auto"/>
              <w:jc w:val="both"/>
              <w:rPr>
                <w:rFonts w:ascii="Times New Roman" w:eastAsia="Times New Roman" w:hAnsi="Times New Roman" w:cs="Times New Roman"/>
                <w:color w:val="000000"/>
                <w:szCs w:val="28"/>
              </w:rPr>
            </w:pPr>
            <w:r w:rsidRPr="00E444CA">
              <w:rPr>
                <w:rFonts w:ascii="Times New Roman" w:eastAsia="Times New Roman" w:hAnsi="Times New Roman" w:cs="Times New Roman"/>
                <w:color w:val="000000"/>
                <w:szCs w:val="28"/>
              </w:rPr>
              <w:t>3,7%</w:t>
            </w:r>
          </w:p>
        </w:tc>
      </w:tr>
    </w:tbl>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В структуре неналоговых доходов бюджета Бардымского муниципального района преобладают платежи за аренду земли, которые составляют более 80%.</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Снижение данного показателя наблюдается в 2014 году в связи с окончанием и вводом новых муниципальных программ, и как следствие, приоритетами, определяемыми в данных программах. В 2015 году начала действие муниципальная программа Бардымского района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Управление имуществом и земельными ресурсами Бардымского муниципального района Пермского края</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утвержденная постановлением Администрации Бардымского муниципального района от 23.10.2014 №795. Первым этапом программы стало проведение инвентаризации земель муниципального района, в результате чего были выявлены правонарушения в части использования муниципального имущества и земельных ресурсов, а также отсутствие точных границ некоторых земельных участков.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составе неналоговых доходов муниципального района также увеличивается доля доходов от продажи земли (5,2% в 2016г.).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Таким образом, неналоговыми доходами Бардымского муниципального района преимущественно являются доходы от управления имуществом и земельными ресурсами.</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Динамика неналоговых доходов бюджета Бардымского муниципального района в 2011-2016</w:t>
      </w:r>
      <w:r w:rsidR="00BC765E">
        <w:rPr>
          <w:rFonts w:ascii="Times New Roman" w:eastAsia="Times New Roman" w:hAnsi="Times New Roman" w:cs="Times New Roman"/>
          <w:sz w:val="28"/>
          <w:szCs w:val="28"/>
        </w:rPr>
        <w:t xml:space="preserve"> гг. представлена на рисунке 1.58</w:t>
      </w:r>
      <w:r w:rsidRPr="00153E07">
        <w:rPr>
          <w:rFonts w:ascii="Times New Roman" w:eastAsia="Times New Roman" w:hAnsi="Times New Roman" w:cs="Times New Roman"/>
          <w:sz w:val="28"/>
          <w:szCs w:val="28"/>
        </w:rPr>
        <w:t>.</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10250" cy="3390900"/>
            <wp:effectExtent l="19050" t="0" r="0" b="0"/>
            <wp:docPr id="218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53E07" w:rsidRPr="00BC765E" w:rsidRDefault="00BC765E"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1.58</w:t>
      </w:r>
      <w:r w:rsidR="00153E07" w:rsidRPr="00BC765E">
        <w:rPr>
          <w:rFonts w:ascii="Times New Roman" w:eastAsia="Times New Roman" w:hAnsi="Times New Roman" w:cs="Times New Roman"/>
          <w:b/>
          <w:sz w:val="28"/>
          <w:szCs w:val="28"/>
        </w:rPr>
        <w:t>. Динамика неналоговых доходов бюджета Бардымского муниципального района в 2011-2016</w:t>
      </w:r>
      <w:r w:rsidRPr="00BC765E">
        <w:rPr>
          <w:rFonts w:ascii="Times New Roman" w:eastAsia="Times New Roman" w:hAnsi="Times New Roman" w:cs="Times New Roman"/>
          <w:b/>
          <w:sz w:val="28"/>
          <w:szCs w:val="28"/>
        </w:rPr>
        <w:t xml:space="preserve"> </w:t>
      </w:r>
      <w:r w:rsidR="00153E07" w:rsidRPr="00BC765E">
        <w:rPr>
          <w:rFonts w:ascii="Times New Roman" w:eastAsia="Times New Roman" w:hAnsi="Times New Roman" w:cs="Times New Roman"/>
          <w:b/>
          <w:sz w:val="28"/>
          <w:szCs w:val="28"/>
        </w:rPr>
        <w:t>гг.</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Межбюджетные трансферты бюджета Бардымского муниципального района имеют в своем составе дотации, субсидии и субвенции, среди которых преобладают субвенции (62,5</w:t>
      </w:r>
      <w:r w:rsidR="00BC765E">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на конец 2016 г.). Дотации в структуре межбюджетных трансфертов составляют 31,0</w:t>
      </w:r>
      <w:r w:rsidR="00BC765E">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xml:space="preserve">%, субсидии – 6,8% </w:t>
      </w:r>
      <w:r w:rsidR="00BC765E">
        <w:rPr>
          <w:rFonts w:ascii="Times New Roman" w:eastAsia="Times New Roman" w:hAnsi="Times New Roman" w:cs="Times New Roman"/>
          <w:sz w:val="28"/>
          <w:szCs w:val="28"/>
        </w:rPr>
        <w:t>на конец 2016 года (таблица 1.17</w:t>
      </w:r>
      <w:r w:rsidRPr="00153E07">
        <w:rPr>
          <w:rFonts w:ascii="Times New Roman" w:eastAsia="Times New Roman" w:hAnsi="Times New Roman" w:cs="Times New Roman"/>
          <w:sz w:val="28"/>
          <w:szCs w:val="28"/>
        </w:rPr>
        <w:t>).</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BC765E" w:rsidP="006D2568">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1.17</w:t>
      </w:r>
    </w:p>
    <w:p w:rsidR="00153E07" w:rsidRPr="00633809" w:rsidRDefault="00153E07" w:rsidP="006D2568">
      <w:pPr>
        <w:spacing w:after="0" w:line="240" w:lineRule="auto"/>
        <w:jc w:val="center"/>
        <w:rPr>
          <w:rFonts w:ascii="Times New Roman" w:eastAsia="Times New Roman" w:hAnsi="Times New Roman" w:cs="Times New Roman"/>
          <w:b/>
          <w:sz w:val="28"/>
          <w:szCs w:val="28"/>
        </w:rPr>
      </w:pPr>
      <w:r w:rsidRPr="00633809">
        <w:rPr>
          <w:rFonts w:ascii="Times New Roman" w:eastAsia="Times New Roman" w:hAnsi="Times New Roman" w:cs="Times New Roman"/>
          <w:b/>
          <w:sz w:val="28"/>
          <w:szCs w:val="28"/>
        </w:rPr>
        <w:t>Структура межбюджетных трансфертов бюджета Бардымского муниципального района в 2011-2016гг.</w:t>
      </w:r>
    </w:p>
    <w:tbl>
      <w:tblPr>
        <w:tblW w:w="5000" w:type="pct"/>
        <w:tblLook w:val="04A0"/>
      </w:tblPr>
      <w:tblGrid>
        <w:gridCol w:w="3241"/>
        <w:gridCol w:w="1148"/>
        <w:gridCol w:w="1150"/>
        <w:gridCol w:w="1150"/>
        <w:gridCol w:w="1150"/>
        <w:gridCol w:w="1150"/>
        <w:gridCol w:w="1148"/>
      </w:tblGrid>
      <w:tr w:rsidR="00153E07" w:rsidRPr="00153E07" w:rsidTr="00153E07">
        <w:trPr>
          <w:trHeight w:val="300"/>
        </w:trPr>
        <w:tc>
          <w:tcPr>
            <w:tcW w:w="15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Вид трансферта</w:t>
            </w:r>
          </w:p>
        </w:tc>
        <w:tc>
          <w:tcPr>
            <w:tcW w:w="566"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2011 год</w:t>
            </w:r>
          </w:p>
        </w:tc>
        <w:tc>
          <w:tcPr>
            <w:tcW w:w="567"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2012 год</w:t>
            </w:r>
          </w:p>
        </w:tc>
        <w:tc>
          <w:tcPr>
            <w:tcW w:w="567"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2013 год</w:t>
            </w:r>
          </w:p>
        </w:tc>
        <w:tc>
          <w:tcPr>
            <w:tcW w:w="567"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2014 год</w:t>
            </w:r>
          </w:p>
        </w:tc>
        <w:tc>
          <w:tcPr>
            <w:tcW w:w="567"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2015 год</w:t>
            </w:r>
          </w:p>
        </w:tc>
        <w:tc>
          <w:tcPr>
            <w:tcW w:w="566"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2016 год</w:t>
            </w:r>
          </w:p>
        </w:tc>
      </w:tr>
      <w:tr w:rsidR="00153E07" w:rsidRPr="00153E07" w:rsidTr="00153E07">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дотации</w:t>
            </w:r>
          </w:p>
        </w:tc>
        <w:tc>
          <w:tcPr>
            <w:tcW w:w="56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lang w:val="en-US"/>
              </w:rPr>
            </w:pPr>
            <w:r w:rsidRPr="00BC765E">
              <w:rPr>
                <w:rFonts w:ascii="Times New Roman" w:eastAsia="Times New Roman" w:hAnsi="Times New Roman" w:cs="Times New Roman"/>
                <w:color w:val="000000"/>
                <w:sz w:val="24"/>
                <w:szCs w:val="28"/>
              </w:rPr>
              <w:t>38,7%</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30,2%</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31,1%</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35,0%</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31,1%</w:t>
            </w:r>
          </w:p>
        </w:tc>
        <w:tc>
          <w:tcPr>
            <w:tcW w:w="56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31,0%</w:t>
            </w:r>
          </w:p>
        </w:tc>
      </w:tr>
      <w:tr w:rsidR="00153E07" w:rsidRPr="00153E07" w:rsidTr="00153E07">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субвенции</w:t>
            </w:r>
          </w:p>
        </w:tc>
        <w:tc>
          <w:tcPr>
            <w:tcW w:w="56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47,8%</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47,4%</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54,7%</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56,5%</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60,4%</w:t>
            </w:r>
          </w:p>
        </w:tc>
        <w:tc>
          <w:tcPr>
            <w:tcW w:w="56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62,5%</w:t>
            </w:r>
          </w:p>
        </w:tc>
      </w:tr>
      <w:tr w:rsidR="00153E07" w:rsidRPr="00153E07" w:rsidTr="00153E07">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субсидии</w:t>
            </w:r>
          </w:p>
        </w:tc>
        <w:tc>
          <w:tcPr>
            <w:tcW w:w="56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7,8%</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16,7%</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5,7%</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7,9%</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8,6%</w:t>
            </w:r>
          </w:p>
        </w:tc>
        <w:tc>
          <w:tcPr>
            <w:tcW w:w="56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6,8%</w:t>
            </w:r>
          </w:p>
        </w:tc>
      </w:tr>
      <w:tr w:rsidR="00153E07" w:rsidRPr="00153E07" w:rsidTr="00153E07">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доходы от возврата</w:t>
            </w:r>
          </w:p>
        </w:tc>
        <w:tc>
          <w:tcPr>
            <w:tcW w:w="56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0,3%</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1,2%</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w:t>
            </w:r>
          </w:p>
        </w:tc>
        <w:tc>
          <w:tcPr>
            <w:tcW w:w="56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w:t>
            </w:r>
          </w:p>
        </w:tc>
      </w:tr>
      <w:tr w:rsidR="00153E07" w:rsidRPr="00153E07" w:rsidTr="00153E07">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прочие трансферты</w:t>
            </w:r>
          </w:p>
        </w:tc>
        <w:tc>
          <w:tcPr>
            <w:tcW w:w="56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7,1%</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6,2%</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10,5%</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0,2%</w:t>
            </w:r>
          </w:p>
        </w:tc>
        <w:tc>
          <w:tcPr>
            <w:tcW w:w="56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0,1%</w:t>
            </w:r>
          </w:p>
        </w:tc>
      </w:tr>
      <w:tr w:rsidR="00153E07" w:rsidRPr="00153E07" w:rsidTr="00153E07">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возврат остатков</w:t>
            </w:r>
          </w:p>
        </w:tc>
        <w:tc>
          <w:tcPr>
            <w:tcW w:w="56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-1,4%</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-0,5%</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-2,2%</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-1,6%</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-0,3%</w:t>
            </w:r>
          </w:p>
        </w:tc>
        <w:tc>
          <w:tcPr>
            <w:tcW w:w="56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-0,4%</w:t>
            </w:r>
          </w:p>
        </w:tc>
      </w:tr>
      <w:tr w:rsidR="00153E07" w:rsidRPr="00153E07" w:rsidTr="00153E07">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Итого</w:t>
            </w:r>
          </w:p>
        </w:tc>
        <w:tc>
          <w:tcPr>
            <w:tcW w:w="56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w:t>
            </w:r>
          </w:p>
        </w:tc>
        <w:tc>
          <w:tcPr>
            <w:tcW w:w="56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w:t>
            </w:r>
          </w:p>
        </w:tc>
      </w:tr>
    </w:tbl>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рисунке 1.</w:t>
      </w:r>
      <w:r w:rsidR="00BC765E">
        <w:rPr>
          <w:rFonts w:ascii="Times New Roman" w:eastAsia="Times New Roman" w:hAnsi="Times New Roman" w:cs="Times New Roman"/>
          <w:sz w:val="28"/>
          <w:szCs w:val="28"/>
        </w:rPr>
        <w:t>59</w:t>
      </w:r>
      <w:r w:rsidRPr="00153E07">
        <w:rPr>
          <w:rFonts w:ascii="Times New Roman" w:eastAsia="Times New Roman" w:hAnsi="Times New Roman" w:cs="Times New Roman"/>
          <w:sz w:val="28"/>
          <w:szCs w:val="28"/>
        </w:rPr>
        <w:t xml:space="preserve"> представлена динамика межбюджетных трансфертов бюджета Бардымского муниципального района в 2011-2016</w:t>
      </w:r>
      <w:r w:rsidR="00BC765E">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гг.</w:t>
      </w: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315075" cy="3228975"/>
            <wp:effectExtent l="19050" t="0" r="0" b="0"/>
            <wp:docPr id="218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53E07" w:rsidRPr="006D2568" w:rsidRDefault="00153E07" w:rsidP="006D2568">
      <w:pPr>
        <w:spacing w:after="0" w:line="240" w:lineRule="auto"/>
        <w:jc w:val="both"/>
        <w:rPr>
          <w:rFonts w:ascii="Times New Roman" w:eastAsia="Times New Roman" w:hAnsi="Times New Roman" w:cs="Times New Roman"/>
          <w:b/>
          <w:sz w:val="28"/>
          <w:szCs w:val="28"/>
        </w:rPr>
      </w:pPr>
      <w:r w:rsidRPr="006D2568">
        <w:rPr>
          <w:rFonts w:ascii="Times New Roman" w:eastAsia="Times New Roman" w:hAnsi="Times New Roman" w:cs="Times New Roman"/>
          <w:b/>
          <w:sz w:val="28"/>
          <w:szCs w:val="28"/>
        </w:rPr>
        <w:t>Рисунок 1.</w:t>
      </w:r>
      <w:r w:rsidR="00BC765E" w:rsidRPr="006D2568">
        <w:rPr>
          <w:rFonts w:ascii="Times New Roman" w:eastAsia="Times New Roman" w:hAnsi="Times New Roman" w:cs="Times New Roman"/>
          <w:b/>
          <w:sz w:val="28"/>
          <w:szCs w:val="28"/>
        </w:rPr>
        <w:t>59</w:t>
      </w:r>
      <w:r w:rsidRPr="006D2568">
        <w:rPr>
          <w:rFonts w:ascii="Times New Roman" w:eastAsia="Times New Roman" w:hAnsi="Times New Roman" w:cs="Times New Roman"/>
          <w:b/>
          <w:sz w:val="28"/>
          <w:szCs w:val="28"/>
        </w:rPr>
        <w:t>. Динамика межбюджетных трансфертов бюджета Бардымского муниципального района в 2011-2016</w:t>
      </w:r>
      <w:r w:rsidR="00BC765E" w:rsidRPr="006D2568">
        <w:rPr>
          <w:rFonts w:ascii="Times New Roman" w:eastAsia="Times New Roman" w:hAnsi="Times New Roman" w:cs="Times New Roman"/>
          <w:b/>
          <w:sz w:val="28"/>
          <w:szCs w:val="28"/>
        </w:rPr>
        <w:t xml:space="preserve"> </w:t>
      </w:r>
      <w:r w:rsidRPr="006D2568">
        <w:rPr>
          <w:rFonts w:ascii="Times New Roman" w:eastAsia="Times New Roman" w:hAnsi="Times New Roman" w:cs="Times New Roman"/>
          <w:b/>
          <w:sz w:val="28"/>
          <w:szCs w:val="28"/>
        </w:rPr>
        <w:t>гг.</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динамике видно, что имеет место рост субвенций, сокращение дотаций и субсидий в течение анализируемого периода времени, что связано с приоритетными целями и задачами муниципальных программ Бардымского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Далее представлен анализ расходов бюджета Бардымского муниципального района в 2011-2016 гг. (Таблица 1.1</w:t>
      </w:r>
      <w:r w:rsidR="00BC765E">
        <w:rPr>
          <w:rFonts w:ascii="Times New Roman" w:eastAsia="Times New Roman" w:hAnsi="Times New Roman" w:cs="Times New Roman"/>
          <w:sz w:val="28"/>
          <w:szCs w:val="28"/>
        </w:rPr>
        <w:t>8</w:t>
      </w:r>
      <w:r w:rsidRPr="00153E07">
        <w:rPr>
          <w:rFonts w:ascii="Times New Roman" w:eastAsia="Times New Roman" w:hAnsi="Times New Roman" w:cs="Times New Roman"/>
          <w:sz w:val="28"/>
          <w:szCs w:val="28"/>
        </w:rPr>
        <w:t>).</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рисунке 1.</w:t>
      </w:r>
      <w:r w:rsidR="00BC765E">
        <w:rPr>
          <w:rFonts w:ascii="Times New Roman" w:eastAsia="Times New Roman" w:hAnsi="Times New Roman" w:cs="Times New Roman"/>
          <w:sz w:val="28"/>
          <w:szCs w:val="28"/>
        </w:rPr>
        <w:t>60</w:t>
      </w:r>
      <w:r w:rsidRPr="00153E07">
        <w:rPr>
          <w:rFonts w:ascii="Times New Roman" w:eastAsia="Times New Roman" w:hAnsi="Times New Roman" w:cs="Times New Roman"/>
          <w:sz w:val="28"/>
          <w:szCs w:val="28"/>
        </w:rPr>
        <w:t xml:space="preserve"> представлена структура фактических расходов бюджета Бардымского муниципального района в 2011-2016 гг.</w:t>
      </w: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6209665" cy="7279574"/>
            <wp:effectExtent l="0" t="0" r="635" b="0"/>
            <wp:docPr id="218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53E07" w:rsidRPr="00BC765E" w:rsidRDefault="00153E07"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1.6</w:t>
      </w:r>
      <w:r w:rsidR="00BC765E" w:rsidRPr="00BC765E">
        <w:rPr>
          <w:rFonts w:ascii="Times New Roman" w:eastAsia="Times New Roman" w:hAnsi="Times New Roman" w:cs="Times New Roman"/>
          <w:b/>
          <w:sz w:val="28"/>
          <w:szCs w:val="28"/>
        </w:rPr>
        <w:t>0</w:t>
      </w:r>
      <w:r w:rsidRPr="00BC765E">
        <w:rPr>
          <w:rFonts w:ascii="Times New Roman" w:eastAsia="Times New Roman" w:hAnsi="Times New Roman" w:cs="Times New Roman"/>
          <w:b/>
          <w:sz w:val="28"/>
          <w:szCs w:val="28"/>
        </w:rPr>
        <w:t>. Структура фактических расходов бюджета Бардымского муниципального района в 2011-2016 гг., %</w:t>
      </w: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153E07">
      <w:pPr>
        <w:spacing w:after="0"/>
        <w:ind w:firstLine="709"/>
        <w:jc w:val="both"/>
        <w:rPr>
          <w:rFonts w:ascii="Times New Roman" w:eastAsia="Times New Roman" w:hAnsi="Times New Roman" w:cs="Times New Roman"/>
          <w:sz w:val="28"/>
          <w:szCs w:val="28"/>
        </w:rPr>
        <w:sectPr w:rsidR="00153E07" w:rsidRPr="00153E07" w:rsidSect="00C05E12">
          <w:footerReference w:type="default" r:id="rId70"/>
          <w:pgSz w:w="11906" w:h="16838"/>
          <w:pgMar w:top="1134" w:right="567" w:bottom="1134" w:left="1418" w:header="709" w:footer="709" w:gutter="0"/>
          <w:pgNumType w:start="1"/>
          <w:cols w:space="708"/>
          <w:titlePg/>
          <w:docGrid w:linePitch="360"/>
        </w:sectPr>
      </w:pPr>
    </w:p>
    <w:p w:rsidR="00153E07" w:rsidRPr="00153E07" w:rsidRDefault="00153E07" w:rsidP="00633809">
      <w:pPr>
        <w:spacing w:after="0"/>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Таблица 1.1</w:t>
      </w:r>
      <w:r w:rsidR="00BC765E">
        <w:rPr>
          <w:rFonts w:ascii="Times New Roman" w:eastAsia="Times New Roman" w:hAnsi="Times New Roman" w:cs="Times New Roman"/>
          <w:sz w:val="28"/>
          <w:szCs w:val="28"/>
        </w:rPr>
        <w:t>8</w:t>
      </w:r>
    </w:p>
    <w:p w:rsidR="00153E07" w:rsidRPr="00633809" w:rsidRDefault="00153E07" w:rsidP="00633809">
      <w:pPr>
        <w:spacing w:after="0"/>
        <w:jc w:val="center"/>
        <w:rPr>
          <w:rFonts w:ascii="Times New Roman" w:eastAsia="Times New Roman" w:hAnsi="Times New Roman" w:cs="Times New Roman"/>
          <w:b/>
          <w:sz w:val="28"/>
          <w:szCs w:val="28"/>
        </w:rPr>
      </w:pPr>
      <w:r w:rsidRPr="00633809">
        <w:rPr>
          <w:rFonts w:ascii="Times New Roman" w:eastAsia="Times New Roman" w:hAnsi="Times New Roman" w:cs="Times New Roman"/>
          <w:b/>
          <w:sz w:val="28"/>
          <w:szCs w:val="28"/>
        </w:rPr>
        <w:t>Расходы бюджета Бардымского муниципального района в 2011-2016 гг., тыс. руб.</w:t>
      </w:r>
    </w:p>
    <w:tbl>
      <w:tblPr>
        <w:tblW w:w="5000" w:type="pct"/>
        <w:tblLayout w:type="fixed"/>
        <w:tblLook w:val="04A0"/>
      </w:tblPr>
      <w:tblGrid>
        <w:gridCol w:w="2518"/>
        <w:gridCol w:w="1024"/>
        <w:gridCol w:w="1023"/>
        <w:gridCol w:w="1023"/>
        <w:gridCol w:w="1023"/>
        <w:gridCol w:w="1023"/>
        <w:gridCol w:w="1023"/>
        <w:gridCol w:w="1023"/>
        <w:gridCol w:w="1023"/>
        <w:gridCol w:w="1023"/>
        <w:gridCol w:w="1023"/>
        <w:gridCol w:w="1023"/>
        <w:gridCol w:w="1014"/>
      </w:tblGrid>
      <w:tr w:rsidR="00153E07" w:rsidRPr="00153E07" w:rsidTr="00153E07">
        <w:trPr>
          <w:trHeight w:val="300"/>
        </w:trPr>
        <w:tc>
          <w:tcPr>
            <w:tcW w:w="851"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Статьи расходов</w:t>
            </w:r>
          </w:p>
        </w:tc>
        <w:tc>
          <w:tcPr>
            <w:tcW w:w="692" w:type="pct"/>
            <w:gridSpan w:val="2"/>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2011 год</w:t>
            </w:r>
          </w:p>
        </w:tc>
        <w:tc>
          <w:tcPr>
            <w:tcW w:w="692" w:type="pct"/>
            <w:gridSpan w:val="2"/>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2012 год</w:t>
            </w:r>
          </w:p>
        </w:tc>
        <w:tc>
          <w:tcPr>
            <w:tcW w:w="692" w:type="pct"/>
            <w:gridSpan w:val="2"/>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2013 год</w:t>
            </w:r>
          </w:p>
        </w:tc>
        <w:tc>
          <w:tcPr>
            <w:tcW w:w="692" w:type="pct"/>
            <w:gridSpan w:val="2"/>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2014 год</w:t>
            </w:r>
          </w:p>
        </w:tc>
        <w:tc>
          <w:tcPr>
            <w:tcW w:w="692" w:type="pct"/>
            <w:gridSpan w:val="2"/>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2015 год</w:t>
            </w:r>
          </w:p>
        </w:tc>
        <w:tc>
          <w:tcPr>
            <w:tcW w:w="689" w:type="pct"/>
            <w:gridSpan w:val="2"/>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2016 год</w:t>
            </w:r>
          </w:p>
        </w:tc>
      </w:tr>
      <w:tr w:rsidR="00153E07" w:rsidRPr="00153E07" w:rsidTr="00153E07">
        <w:trPr>
          <w:trHeight w:val="300"/>
        </w:trPr>
        <w:tc>
          <w:tcPr>
            <w:tcW w:w="851" w:type="pct"/>
            <w:vMerge/>
            <w:tcBorders>
              <w:top w:val="single" w:sz="4" w:space="0" w:color="auto"/>
              <w:left w:val="single" w:sz="4" w:space="0" w:color="auto"/>
              <w:bottom w:val="single" w:sz="4" w:space="0" w:color="000000"/>
              <w:right w:val="single" w:sz="4" w:space="0" w:color="auto"/>
            </w:tcBorders>
            <w:vAlign w:val="center"/>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План</w:t>
            </w: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Факт</w:t>
            </w: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План</w:t>
            </w: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Факт</w:t>
            </w: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План</w:t>
            </w: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Факт</w:t>
            </w: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План</w:t>
            </w: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Факт</w:t>
            </w: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План</w:t>
            </w: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Факт</w:t>
            </w: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План</w:t>
            </w:r>
          </w:p>
        </w:tc>
        <w:tc>
          <w:tcPr>
            <w:tcW w:w="343"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Факт</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Жилищно-коммунальное хозяйство</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41286,7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13559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63179,3</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44184,9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50654,7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37951,1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43731,5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39716,1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24007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22674,1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27650,5</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15003,3</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Здравоохранение</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31646,4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27316,2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38025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36145,9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28604,2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25921,8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76,1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76,1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0</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0</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0</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0</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Культура</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8159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8133,4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26223,1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19547,7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20267,5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19598,3</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18533,4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18289,5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16602,8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16544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16511,9</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16502,9</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Межбюджетные трансферты</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54069,2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54069,2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80598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80598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100899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100899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67090,2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67090,2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53751,4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53751,4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52480,4</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52446,2</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Национальная экономика</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42700</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40034,7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80814,8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62943,1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79461,6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73121,5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73895,7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60846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66562,6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57057,6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55492</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53196,2</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Образование</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293065,2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286732,2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368269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366762,5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413770,7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412405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432789,1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427253,2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409907,4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404107,4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423533,1</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420275,2</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Общегосударственные вопросы</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68196,2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34555,6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43095,4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39042,3</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71748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54405,6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46605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44707,4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49587,5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48772,1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46427</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44905</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Социальная полит.</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157709,3</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106744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207296,1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182034,9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172551,8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154988,7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51642,8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37381,3</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46603,2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45010,2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50860</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50555,6</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Спорт и физ.культура</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59972,6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20701,2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47622,4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29654,7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36830,1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28695,8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24482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15688,4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17873,9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12449,7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29092,6</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25641</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СМИ</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5216,4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5216,4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6793,3</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6699,3</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8536,9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8536,9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7949,8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7949,8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7852,6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7852,6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7725,1</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7725,1</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Национальная безопасность</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28651,6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28651,6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2110,4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2077,9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1418,7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1415,5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1248,9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1248,9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1395,8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1336,9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1876,7</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1871,4</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Итого расходы бюджета</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790672,6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625713,5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964026,8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869691,1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984743,2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917935,3</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768044,5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779844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694144,2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669555,9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711649,3</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688121,9</w:t>
            </w:r>
          </w:p>
        </w:tc>
      </w:tr>
    </w:tbl>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sectPr w:rsidR="00153E07" w:rsidRPr="00153E07" w:rsidSect="00153E07">
          <w:pgSz w:w="16838" w:h="11906" w:orient="landscape"/>
          <w:pgMar w:top="1701" w:right="1134" w:bottom="851" w:left="1134" w:header="709" w:footer="709" w:gutter="0"/>
          <w:cols w:space="708"/>
          <w:docGrid w:linePitch="360"/>
        </w:sect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В структуре расходов бюджета Бардымского муниципального района преобладают расходы на образование (59,5% на конец 2016 года.). Благодаря росту доли расходов на образование сокращаются расходы на национальную экономику, социальную политику, общегосударственные вопросы, здравоохранение и ЖКХ.</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Наименьшую долю расходов в бюджете муниципального района занимают расходы на национальную безопасность, СМИ и здравоохранение.</w:t>
      </w:r>
    </w:p>
    <w:p w:rsidR="00153E07" w:rsidRPr="00153E07" w:rsidRDefault="00BC765E"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Далее на рисунках 1.61 – 1.71</w:t>
      </w:r>
      <w:r w:rsidR="00153E07" w:rsidRPr="00153E07">
        <w:rPr>
          <w:rFonts w:ascii="Times New Roman" w:eastAsia="Times New Roman" w:hAnsi="Times New Roman" w:cs="Times New Roman"/>
          <w:sz w:val="28"/>
          <w:szCs w:val="28"/>
        </w:rPr>
        <w:t xml:space="preserve"> представлено исполнение расходов бюджета Бардымского муниципального района по статьям расходов в 2011-2016 гг.</w:t>
      </w: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572290" cy="2897579"/>
            <wp:effectExtent l="0" t="0" r="0" b="0"/>
            <wp:docPr id="218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53E07" w:rsidRPr="00BC765E" w:rsidRDefault="00153E07"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1.6</w:t>
      </w:r>
      <w:r w:rsidR="00BC765E" w:rsidRPr="00BC765E">
        <w:rPr>
          <w:rFonts w:ascii="Times New Roman" w:eastAsia="Times New Roman" w:hAnsi="Times New Roman" w:cs="Times New Roman"/>
          <w:b/>
          <w:sz w:val="28"/>
          <w:szCs w:val="28"/>
        </w:rPr>
        <w:t>1</w:t>
      </w:r>
      <w:r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жилищно-коммунального хозяйства в 2011-2016 гг., тыс. руб.</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450774" cy="3075709"/>
            <wp:effectExtent l="0" t="0" r="0" b="0"/>
            <wp:docPr id="218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153E07" w:rsidRPr="00BC765E" w:rsidRDefault="00BC765E"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lastRenderedPageBreak/>
        <w:t>Рисунок 1.62</w:t>
      </w:r>
      <w:r w:rsidR="00153E07"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здравоохранения в 2011-2016 гг., тыс. руб.</w:t>
      </w: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940425" cy="3691684"/>
            <wp:effectExtent l="0" t="0" r="0" b="0"/>
            <wp:docPr id="218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53E07" w:rsidRPr="00BC765E" w:rsidRDefault="00153E07"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1.6</w:t>
      </w:r>
      <w:r w:rsidR="00BC765E" w:rsidRPr="00BC765E">
        <w:rPr>
          <w:rFonts w:ascii="Times New Roman" w:eastAsia="Times New Roman" w:hAnsi="Times New Roman" w:cs="Times New Roman"/>
          <w:b/>
          <w:sz w:val="28"/>
          <w:szCs w:val="28"/>
        </w:rPr>
        <w:t>3</w:t>
      </w:r>
      <w:r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культуры в 2011-2016 гг., тыс. руб.</w:t>
      </w:r>
    </w:p>
    <w:p w:rsidR="00153E07" w:rsidRPr="00153E07" w:rsidRDefault="00153E07" w:rsidP="00153E07">
      <w:pPr>
        <w:spacing w:after="0"/>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534025" cy="2905125"/>
            <wp:effectExtent l="0" t="0" r="0" b="0"/>
            <wp:docPr id="218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53E07" w:rsidRPr="00BC765E" w:rsidRDefault="00153E07"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1.6</w:t>
      </w:r>
      <w:r w:rsidR="00BC765E" w:rsidRPr="00BC765E">
        <w:rPr>
          <w:rFonts w:ascii="Times New Roman" w:eastAsia="Times New Roman" w:hAnsi="Times New Roman" w:cs="Times New Roman"/>
          <w:b/>
          <w:sz w:val="28"/>
          <w:szCs w:val="28"/>
        </w:rPr>
        <w:t>4</w:t>
      </w:r>
      <w:r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национальной безопасности в 2011-2016 гг., тыс. руб.</w:t>
      </w:r>
    </w:p>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5771407" cy="3123210"/>
            <wp:effectExtent l="0" t="0" r="0" b="0"/>
            <wp:docPr id="2190" name="Диаграмма 2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53E07" w:rsidRPr="00BC765E" w:rsidRDefault="00BC765E"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1.65</w:t>
      </w:r>
      <w:r w:rsidR="00153E07"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национальной экономики в 2011-2016 гг., тыс. руб.</w:t>
      </w:r>
    </w:p>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557652" cy="3241964"/>
            <wp:effectExtent l="0" t="0" r="0" b="0"/>
            <wp:docPr id="2191" name="Диаграмма 2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53E07" w:rsidRPr="00BC765E" w:rsidRDefault="00BC765E"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1.66</w:t>
      </w:r>
      <w:r w:rsidR="00153E07"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образования в 2011-2016 гг., тыс. руб.</w:t>
      </w:r>
    </w:p>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4572000" cy="2743200"/>
            <wp:effectExtent l="0" t="0" r="0" b="0"/>
            <wp:docPr id="2192" name="Диаграмма 20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53E07" w:rsidRPr="00BC765E" w:rsidRDefault="00153E07"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w:t>
      </w:r>
      <w:r w:rsidR="00BC765E" w:rsidRPr="00BC765E">
        <w:rPr>
          <w:rFonts w:ascii="Times New Roman" w:eastAsia="Times New Roman" w:hAnsi="Times New Roman" w:cs="Times New Roman"/>
          <w:b/>
          <w:sz w:val="28"/>
          <w:szCs w:val="28"/>
        </w:rPr>
        <w:t>67</w:t>
      </w:r>
      <w:r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общих вопросов в 2011-2016 гг., тыс. руб.</w:t>
      </w:r>
    </w:p>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533901" cy="3633849"/>
            <wp:effectExtent l="0" t="0" r="0" b="0"/>
            <wp:docPr id="2193" name="Диаграмма 20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53E07" w:rsidRPr="00BC765E" w:rsidRDefault="00BC765E"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1.68</w:t>
      </w:r>
      <w:r w:rsidR="00153E07"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социальной политики в 2011-2016 гг., тыс. руб.</w:t>
      </w:r>
    </w:p>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5086350" cy="2905125"/>
            <wp:effectExtent l="0" t="0" r="0" b="0"/>
            <wp:docPr id="2194" name="Диаграмма 20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153E07" w:rsidRPr="00BC765E" w:rsidRDefault="00BC765E"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1.69</w:t>
      </w:r>
      <w:r w:rsidR="00153E07"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спорта и физической культуры в 2011-2016 гг., тыс. руб.</w:t>
      </w:r>
    </w:p>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638800" cy="3200400"/>
            <wp:effectExtent l="0" t="0" r="0" b="0"/>
            <wp:docPr id="219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153E07" w:rsidRPr="00BC765E" w:rsidRDefault="00153E07"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1.7</w:t>
      </w:r>
      <w:r w:rsidR="00BC765E" w:rsidRPr="00BC765E">
        <w:rPr>
          <w:rFonts w:ascii="Times New Roman" w:eastAsia="Times New Roman" w:hAnsi="Times New Roman" w:cs="Times New Roman"/>
          <w:b/>
          <w:sz w:val="28"/>
          <w:szCs w:val="28"/>
        </w:rPr>
        <w:t>0</w:t>
      </w:r>
      <w:r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средств массовой информации в 2011-2016 гг., тыс. руб.</w:t>
      </w:r>
    </w:p>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5940425" cy="3305175"/>
            <wp:effectExtent l="0" t="0" r="0" b="0"/>
            <wp:docPr id="2196" name="Диаграмма 20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153E07" w:rsidRPr="00BC765E" w:rsidRDefault="00153E07"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1.7</w:t>
      </w:r>
      <w:r w:rsidR="00BC765E" w:rsidRPr="00BC765E">
        <w:rPr>
          <w:rFonts w:ascii="Times New Roman" w:eastAsia="Times New Roman" w:hAnsi="Times New Roman" w:cs="Times New Roman"/>
          <w:b/>
          <w:sz w:val="28"/>
          <w:szCs w:val="28"/>
        </w:rPr>
        <w:t>1</w:t>
      </w:r>
      <w:r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межбюджетных трансфертов в 2011-2016 гг., тыс. руб.</w:t>
      </w:r>
    </w:p>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2015-2016</w:t>
      </w:r>
      <w:r w:rsidR="00B86768">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гг. финансирование сферы здравоохранения было передано в краевой бюджет и, соответственно, суммы финансирования в бюджете Бардымского муниципального района в настоящее время не отражаются.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Исполненные расходы бюджета являются наиболее близкими к плановым показателям в сфере национальной безопасности и абсолютно исполненными в сфере СМИ.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Далее представлен анализ доходов и расходов бюджетов сельских поселений.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153E07">
      <w:pPr>
        <w:spacing w:after="0"/>
        <w:ind w:firstLine="709"/>
        <w:jc w:val="both"/>
        <w:rPr>
          <w:rFonts w:ascii="Times New Roman" w:eastAsia="Times New Roman" w:hAnsi="Times New Roman" w:cs="Times New Roman"/>
          <w:sz w:val="28"/>
          <w:szCs w:val="28"/>
        </w:rPr>
        <w:sectPr w:rsidR="00153E07" w:rsidRPr="00153E07" w:rsidSect="00153E07">
          <w:footerReference w:type="default" r:id="rId82"/>
          <w:pgSz w:w="11906" w:h="16838"/>
          <w:pgMar w:top="1134" w:right="850" w:bottom="1134" w:left="1701" w:header="708" w:footer="708" w:gutter="0"/>
          <w:cols w:space="708"/>
          <w:docGrid w:linePitch="360"/>
        </w:sectPr>
      </w:pPr>
    </w:p>
    <w:p w:rsidR="00153E07" w:rsidRPr="00153E07" w:rsidRDefault="00153E07" w:rsidP="003529A9">
      <w:pPr>
        <w:spacing w:after="0"/>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Таблица 1.</w:t>
      </w:r>
      <w:r w:rsidR="00B86768">
        <w:rPr>
          <w:rFonts w:ascii="Times New Roman" w:eastAsia="Times New Roman" w:hAnsi="Times New Roman" w:cs="Times New Roman"/>
          <w:sz w:val="28"/>
          <w:szCs w:val="28"/>
        </w:rPr>
        <w:t>19</w:t>
      </w:r>
    </w:p>
    <w:p w:rsidR="00153E07" w:rsidRPr="003529A9" w:rsidRDefault="00153E07" w:rsidP="003529A9">
      <w:pPr>
        <w:spacing w:after="0"/>
        <w:jc w:val="center"/>
        <w:rPr>
          <w:rFonts w:ascii="Times New Roman" w:eastAsia="Times New Roman" w:hAnsi="Times New Roman" w:cs="Times New Roman"/>
          <w:b/>
          <w:sz w:val="28"/>
          <w:szCs w:val="28"/>
        </w:rPr>
      </w:pPr>
      <w:r w:rsidRPr="003529A9">
        <w:rPr>
          <w:rFonts w:ascii="Times New Roman" w:eastAsia="Times New Roman" w:hAnsi="Times New Roman" w:cs="Times New Roman"/>
          <w:b/>
          <w:sz w:val="28"/>
          <w:szCs w:val="28"/>
        </w:rPr>
        <w:t>Доходы и расходы бюджетов сельских поселений Бардымского муниципального района в 2010-2016 гг., тыс.руб.</w:t>
      </w:r>
    </w:p>
    <w:tbl>
      <w:tblPr>
        <w:tblW w:w="5369" w:type="pct"/>
        <w:tblInd w:w="-459" w:type="dxa"/>
        <w:tblLayout w:type="fixed"/>
        <w:tblLook w:val="04A0"/>
      </w:tblPr>
      <w:tblGrid>
        <w:gridCol w:w="1985"/>
        <w:gridCol w:w="991"/>
        <w:gridCol w:w="991"/>
        <w:gridCol w:w="991"/>
        <w:gridCol w:w="994"/>
        <w:gridCol w:w="994"/>
        <w:gridCol w:w="991"/>
        <w:gridCol w:w="991"/>
        <w:gridCol w:w="994"/>
        <w:gridCol w:w="991"/>
        <w:gridCol w:w="994"/>
        <w:gridCol w:w="991"/>
        <w:gridCol w:w="994"/>
        <w:gridCol w:w="991"/>
        <w:gridCol w:w="994"/>
      </w:tblGrid>
      <w:tr w:rsidR="00153E07" w:rsidRPr="00153E07" w:rsidTr="00153E07">
        <w:trPr>
          <w:trHeight w:val="300"/>
        </w:trPr>
        <w:tc>
          <w:tcPr>
            <w:tcW w:w="625"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Сельское поселение</w:t>
            </w:r>
          </w:p>
        </w:tc>
        <w:tc>
          <w:tcPr>
            <w:tcW w:w="624" w:type="pct"/>
            <w:gridSpan w:val="2"/>
            <w:tcBorders>
              <w:top w:val="single" w:sz="4" w:space="0" w:color="auto"/>
              <w:left w:val="nil"/>
              <w:bottom w:val="single" w:sz="4" w:space="0" w:color="auto"/>
              <w:right w:val="single" w:sz="4" w:space="0" w:color="000000"/>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2010 год</w:t>
            </w:r>
          </w:p>
        </w:tc>
        <w:tc>
          <w:tcPr>
            <w:tcW w:w="625" w:type="pct"/>
            <w:gridSpan w:val="2"/>
            <w:tcBorders>
              <w:top w:val="single" w:sz="4" w:space="0" w:color="auto"/>
              <w:left w:val="nil"/>
              <w:bottom w:val="single" w:sz="4" w:space="0" w:color="auto"/>
              <w:right w:val="single" w:sz="4" w:space="0" w:color="000000"/>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2011 год</w:t>
            </w:r>
          </w:p>
        </w:tc>
        <w:tc>
          <w:tcPr>
            <w:tcW w:w="625" w:type="pct"/>
            <w:gridSpan w:val="2"/>
            <w:tcBorders>
              <w:top w:val="single" w:sz="4" w:space="0" w:color="auto"/>
              <w:left w:val="nil"/>
              <w:bottom w:val="single" w:sz="4" w:space="0" w:color="auto"/>
              <w:right w:val="single" w:sz="4" w:space="0" w:color="000000"/>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2012 год</w:t>
            </w:r>
          </w:p>
        </w:tc>
        <w:tc>
          <w:tcPr>
            <w:tcW w:w="625" w:type="pct"/>
            <w:gridSpan w:val="2"/>
            <w:tcBorders>
              <w:top w:val="single" w:sz="4" w:space="0" w:color="auto"/>
              <w:left w:val="nil"/>
              <w:bottom w:val="single" w:sz="4" w:space="0" w:color="auto"/>
              <w:right w:val="single" w:sz="4" w:space="0" w:color="000000"/>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2013 год</w:t>
            </w:r>
          </w:p>
        </w:tc>
        <w:tc>
          <w:tcPr>
            <w:tcW w:w="625" w:type="pct"/>
            <w:gridSpan w:val="2"/>
            <w:tcBorders>
              <w:top w:val="single" w:sz="4" w:space="0" w:color="auto"/>
              <w:left w:val="nil"/>
              <w:bottom w:val="single" w:sz="4" w:space="0" w:color="auto"/>
              <w:right w:val="single" w:sz="4" w:space="0" w:color="000000"/>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2014 год</w:t>
            </w:r>
          </w:p>
        </w:tc>
        <w:tc>
          <w:tcPr>
            <w:tcW w:w="625" w:type="pct"/>
            <w:gridSpan w:val="2"/>
            <w:tcBorders>
              <w:top w:val="single" w:sz="4" w:space="0" w:color="auto"/>
              <w:left w:val="nil"/>
              <w:bottom w:val="single" w:sz="4" w:space="0" w:color="auto"/>
              <w:right w:val="single" w:sz="4" w:space="0" w:color="000000"/>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2015 год</w:t>
            </w:r>
          </w:p>
        </w:tc>
        <w:tc>
          <w:tcPr>
            <w:tcW w:w="625" w:type="pct"/>
            <w:gridSpan w:val="2"/>
            <w:tcBorders>
              <w:top w:val="single" w:sz="4" w:space="0" w:color="auto"/>
              <w:left w:val="nil"/>
              <w:bottom w:val="single" w:sz="4" w:space="0" w:color="auto"/>
              <w:right w:val="single" w:sz="4" w:space="0" w:color="000000"/>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2016 год</w:t>
            </w:r>
          </w:p>
        </w:tc>
      </w:tr>
      <w:tr w:rsidR="00153E07" w:rsidRPr="00153E07" w:rsidTr="00153E07">
        <w:trPr>
          <w:trHeight w:val="300"/>
        </w:trPr>
        <w:tc>
          <w:tcPr>
            <w:tcW w:w="625" w:type="pct"/>
            <w:vMerge/>
            <w:tcBorders>
              <w:top w:val="single" w:sz="4" w:space="0" w:color="auto"/>
              <w:left w:val="single" w:sz="4" w:space="0" w:color="auto"/>
              <w:bottom w:val="single" w:sz="4" w:space="0" w:color="000000"/>
              <w:right w:val="single" w:sz="4" w:space="0" w:color="auto"/>
            </w:tcBorders>
            <w:vAlign w:val="center"/>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доходы</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расходы</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доходы</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расходы</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доходы</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расходы</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доходы</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расходы</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доходы</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расходы</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доходы</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расходы</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доходы</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расходы</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Бардымское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18 586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16 112,5</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18 379,9</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17 312,3</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29 798,4</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32 832,2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31 091,1</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33 110,2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42 536,9</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37 371,8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30 146,7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34 371,9</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32 360,9</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32 322,5</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Березниковское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6 488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6 212,3</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6 899,3</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6 489,2</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7 373,2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6 782,1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8 478,7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8 326,8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7 622,6</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6 948,8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7 870,4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7 788,8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8 892,5</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8 800,6</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Бичуринское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5 669</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5 238,7</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5 245,8</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4 564,7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5 646,2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5 639,4</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6 738,1</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6 629,8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6 504,7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6 446,6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7 611,4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6 637,8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8 023,2</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7 695,7</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Брюзлинское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3 501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3 463,4</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3 941,6</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3 812,3</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9 490,7</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9 425,9</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5 174,1</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5 076,5</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5 422,4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5 118,3</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4 857,8</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4 828,8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4 992,4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5 448,6</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Елпачихинское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5 541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5 498,9</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5 836,8</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5 556,0</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7 454,7</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6 945,8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7 467,1</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7 887,0</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5 392,7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5 411,8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7 463,8</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7 263,2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8 716,2</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8 668,5</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Красноярское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5 822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5 240,8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5 311,4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5 163,6</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6 360,5</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5 608,9</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5 711,3</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6 302,7</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7 602,6</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8 513,4</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8 321,4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7 443,6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8 714,4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8 669,4</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Новоашапское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4 037</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3 732,0</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4 186,5</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4 065,5</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5 575,3</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3 935,6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4 214,8</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5 982,2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3 944,8</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4 011,6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3 758,2</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3 966,7</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4 451,1</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4 232,3</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Печменское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10 058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14 405,0</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11 147,0</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10 240,3</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10 956,2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11 252,5</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11 921,2</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13 422,2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14 816,1</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12 902,2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8 109,8</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10 331,0</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9 230,7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10 180,0</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Сарашевское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12 155</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13 099,5</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15 074,6</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11 598,0</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13 902,1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11 977,7</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19 384,5</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15 862,6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18 342,7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19 836,7</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12 192,7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11 415,9</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11 508,1</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10 789,4</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Тюндюковское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5 508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5 414,1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5 753,5</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5 209,0</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6 359,6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6 347,4</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7 200,0</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7 099,4</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7 060,4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7 179,6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8 161,3</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8 202,3</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9 126,7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9 015,6</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Федорковское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4 311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4 306,3</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4 781,7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4 751,0</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5 723,9</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5 690,5</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5 840,3</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6 025,6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5 607,8</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4 519,8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6 899,0</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6 864,4</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6 331,2</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6 264,9</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Шермейское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3 735</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3 810,1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3 262,4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3 213,2</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4 239,8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4 231,1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5 121,7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4 496,9</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4 361,7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5 048,2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4 938,4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4 772,7</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4 573,1</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4 569,8</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Итого</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85 411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86 533,6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89 820,5</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81 975,1</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112880,6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110669,1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118342,9</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120221,9</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129215,4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123308,8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110330,9</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113887,1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116920,5</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116657,3</w:t>
            </w:r>
          </w:p>
        </w:tc>
      </w:tr>
    </w:tbl>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3529A9">
      <w:pPr>
        <w:spacing w:after="0"/>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Таблица 1.2</w:t>
      </w:r>
      <w:r w:rsidR="00B86768">
        <w:rPr>
          <w:rFonts w:ascii="Times New Roman" w:eastAsia="Times New Roman" w:hAnsi="Times New Roman" w:cs="Times New Roman"/>
          <w:sz w:val="28"/>
          <w:szCs w:val="28"/>
        </w:rPr>
        <w:t>0</w:t>
      </w:r>
    </w:p>
    <w:p w:rsidR="00153E07" w:rsidRPr="003529A9" w:rsidRDefault="00153E07" w:rsidP="003529A9">
      <w:pPr>
        <w:spacing w:after="0"/>
        <w:jc w:val="center"/>
        <w:rPr>
          <w:rFonts w:ascii="Times New Roman" w:eastAsia="Times New Roman" w:hAnsi="Times New Roman" w:cs="Times New Roman"/>
          <w:b/>
          <w:sz w:val="28"/>
          <w:szCs w:val="28"/>
        </w:rPr>
      </w:pPr>
      <w:r w:rsidRPr="003529A9">
        <w:rPr>
          <w:rFonts w:ascii="Times New Roman" w:eastAsia="Times New Roman" w:hAnsi="Times New Roman" w:cs="Times New Roman"/>
          <w:b/>
          <w:sz w:val="28"/>
          <w:szCs w:val="28"/>
        </w:rPr>
        <w:t>Структура доходов бюджетов сельских поселений Бардымского муниципального района в 2010-2016гг., %</w:t>
      </w:r>
    </w:p>
    <w:tbl>
      <w:tblPr>
        <w:tblW w:w="5000" w:type="pct"/>
        <w:tblLook w:val="04A0"/>
      </w:tblPr>
      <w:tblGrid>
        <w:gridCol w:w="2019"/>
        <w:gridCol w:w="1064"/>
        <w:gridCol w:w="1064"/>
        <w:gridCol w:w="1064"/>
        <w:gridCol w:w="1064"/>
        <w:gridCol w:w="1065"/>
        <w:gridCol w:w="1065"/>
        <w:gridCol w:w="1065"/>
        <w:gridCol w:w="1065"/>
        <w:gridCol w:w="1065"/>
        <w:gridCol w:w="1065"/>
        <w:gridCol w:w="1065"/>
        <w:gridCol w:w="1056"/>
      </w:tblGrid>
      <w:tr w:rsidR="00153E07" w:rsidRPr="003529A9" w:rsidTr="00153E07">
        <w:trPr>
          <w:trHeight w:val="1708"/>
        </w:trPr>
        <w:tc>
          <w:tcPr>
            <w:tcW w:w="6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Доходы бюджетов</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Бардымское сельское поселение</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Березниковское сельское поселение</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Бичуринское сельское поселение</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Брюзлинское сельское поселение</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Елпачихинское сельское поселение</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Красноярское сельское поселение</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Новоашапское сельское поселение</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Печменское сельское поселение</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Сарашевское сельское поселение</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Тюндюковское сельское поселение</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Федорковское сельское поселение</w:t>
            </w:r>
          </w:p>
        </w:tc>
        <w:tc>
          <w:tcPr>
            <w:tcW w:w="357"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Шермейское сельское поселение</w:t>
            </w:r>
          </w:p>
        </w:tc>
      </w:tr>
      <w:tr w:rsidR="00153E07" w:rsidRPr="003529A9" w:rsidTr="00153E07">
        <w:trPr>
          <w:trHeight w:val="300"/>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bottom"/>
            <w:hideMark/>
          </w:tcPr>
          <w:p w:rsidR="00153E07" w:rsidRPr="00443EEA" w:rsidRDefault="00153E07" w:rsidP="00153E07">
            <w:pPr>
              <w:spacing w:after="0" w:line="240" w:lineRule="auto"/>
              <w:jc w:val="both"/>
              <w:rPr>
                <w:rFonts w:ascii="Times New Roman" w:eastAsia="Times New Roman" w:hAnsi="Times New Roman" w:cs="Times New Roman"/>
                <w:b/>
                <w:color w:val="000000"/>
                <w:sz w:val="20"/>
                <w:szCs w:val="20"/>
              </w:rPr>
            </w:pPr>
            <w:r w:rsidRPr="00443EEA">
              <w:rPr>
                <w:rFonts w:ascii="Times New Roman" w:eastAsia="Times New Roman" w:hAnsi="Times New Roman" w:cs="Times New Roman"/>
                <w:b/>
                <w:color w:val="000000"/>
                <w:sz w:val="20"/>
                <w:szCs w:val="20"/>
              </w:rPr>
              <w:t>2010 год</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Собственные</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Дотация</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59%</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52%</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Иные межбюджетные трансферты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24%</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38%</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Доходы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r>
      <w:tr w:rsidR="00153E07" w:rsidRPr="003529A9" w:rsidTr="00153E07">
        <w:trPr>
          <w:trHeight w:val="300"/>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bottom"/>
            <w:hideMark/>
          </w:tcPr>
          <w:p w:rsidR="00153E07" w:rsidRPr="00443EEA" w:rsidRDefault="00153E07" w:rsidP="00153E07">
            <w:pPr>
              <w:spacing w:after="0" w:line="240" w:lineRule="auto"/>
              <w:jc w:val="both"/>
              <w:rPr>
                <w:rFonts w:ascii="Times New Roman" w:eastAsia="Times New Roman" w:hAnsi="Times New Roman" w:cs="Times New Roman"/>
                <w:b/>
                <w:color w:val="000000"/>
                <w:sz w:val="20"/>
                <w:szCs w:val="20"/>
              </w:rPr>
            </w:pPr>
            <w:r w:rsidRPr="00443EEA">
              <w:rPr>
                <w:rFonts w:ascii="Times New Roman" w:eastAsia="Times New Roman" w:hAnsi="Times New Roman" w:cs="Times New Roman"/>
                <w:b/>
                <w:color w:val="000000"/>
                <w:sz w:val="20"/>
                <w:szCs w:val="20"/>
              </w:rPr>
              <w:t>2011 год</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Собственные</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Дотация</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67%</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62%</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Иные межбюджетные трансферты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24%</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29%</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Доходы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r>
      <w:tr w:rsidR="00153E07" w:rsidRPr="003529A9" w:rsidTr="00153E07">
        <w:trPr>
          <w:trHeight w:val="300"/>
        </w:trPr>
        <w:tc>
          <w:tcPr>
            <w:tcW w:w="5000" w:type="pct"/>
            <w:gridSpan w:val="13"/>
            <w:tcBorders>
              <w:top w:val="single" w:sz="4" w:space="0" w:color="auto"/>
              <w:left w:val="single" w:sz="4" w:space="0" w:color="auto"/>
              <w:bottom w:val="single" w:sz="4" w:space="0" w:color="auto"/>
              <w:right w:val="nil"/>
            </w:tcBorders>
            <w:shd w:val="clear" w:color="auto" w:fill="auto"/>
            <w:vAlign w:val="bottom"/>
            <w:hideMark/>
          </w:tcPr>
          <w:p w:rsidR="00153E07" w:rsidRPr="00443EEA" w:rsidRDefault="00153E07" w:rsidP="00153E07">
            <w:pPr>
              <w:spacing w:after="0" w:line="240" w:lineRule="auto"/>
              <w:jc w:val="both"/>
              <w:rPr>
                <w:rFonts w:ascii="Times New Roman" w:eastAsia="Times New Roman" w:hAnsi="Times New Roman" w:cs="Times New Roman"/>
                <w:b/>
                <w:color w:val="000000"/>
                <w:sz w:val="20"/>
                <w:szCs w:val="20"/>
              </w:rPr>
            </w:pPr>
            <w:r w:rsidRPr="00443EEA">
              <w:rPr>
                <w:rFonts w:ascii="Times New Roman" w:eastAsia="Times New Roman" w:hAnsi="Times New Roman" w:cs="Times New Roman"/>
                <w:b/>
                <w:color w:val="000000"/>
                <w:sz w:val="20"/>
                <w:szCs w:val="20"/>
              </w:rPr>
              <w:t>2012 год</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Собственные</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Дотация</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70%</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60%</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Иные межбюджетные трансферты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16%</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29%</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Доходы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r>
    </w:tbl>
    <w:p w:rsidR="00153E07" w:rsidRPr="003529A9" w:rsidRDefault="00153E07" w:rsidP="00153E07">
      <w:pPr>
        <w:jc w:val="both"/>
        <w:rPr>
          <w:rFonts w:ascii="Times New Roman" w:hAnsi="Times New Roman" w:cs="Times New Roman"/>
          <w:sz w:val="20"/>
          <w:szCs w:val="20"/>
        </w:rPr>
      </w:pPr>
      <w:r w:rsidRPr="003529A9">
        <w:rPr>
          <w:rFonts w:ascii="Times New Roman" w:hAnsi="Times New Roman" w:cs="Times New Roman"/>
          <w:sz w:val="20"/>
          <w:szCs w:val="20"/>
        </w:rPr>
        <w:br w:type="page"/>
      </w:r>
    </w:p>
    <w:tbl>
      <w:tblPr>
        <w:tblW w:w="5000" w:type="pct"/>
        <w:tblLook w:val="04A0"/>
      </w:tblPr>
      <w:tblGrid>
        <w:gridCol w:w="2019"/>
        <w:gridCol w:w="1064"/>
        <w:gridCol w:w="1064"/>
        <w:gridCol w:w="1064"/>
        <w:gridCol w:w="1064"/>
        <w:gridCol w:w="1065"/>
        <w:gridCol w:w="1065"/>
        <w:gridCol w:w="1065"/>
        <w:gridCol w:w="1065"/>
        <w:gridCol w:w="1065"/>
        <w:gridCol w:w="1065"/>
        <w:gridCol w:w="1065"/>
        <w:gridCol w:w="1056"/>
      </w:tblGrid>
      <w:tr w:rsidR="00153E07" w:rsidRPr="003529A9" w:rsidTr="00153E07">
        <w:trPr>
          <w:trHeight w:val="300"/>
        </w:trPr>
        <w:tc>
          <w:tcPr>
            <w:tcW w:w="5000" w:type="pct"/>
            <w:gridSpan w:val="13"/>
            <w:tcBorders>
              <w:top w:val="single" w:sz="4" w:space="0" w:color="auto"/>
              <w:left w:val="single" w:sz="4" w:space="0" w:color="auto"/>
              <w:bottom w:val="single" w:sz="4" w:space="0" w:color="auto"/>
              <w:right w:val="nil"/>
            </w:tcBorders>
            <w:shd w:val="clear" w:color="auto" w:fill="auto"/>
            <w:vAlign w:val="bottom"/>
            <w:hideMark/>
          </w:tcPr>
          <w:p w:rsidR="00153E07" w:rsidRPr="00443EEA" w:rsidRDefault="00153E07" w:rsidP="00153E07">
            <w:pPr>
              <w:spacing w:after="0" w:line="240" w:lineRule="auto"/>
              <w:jc w:val="both"/>
              <w:rPr>
                <w:rFonts w:ascii="Times New Roman" w:eastAsia="Times New Roman" w:hAnsi="Times New Roman" w:cs="Times New Roman"/>
                <w:b/>
                <w:color w:val="000000"/>
                <w:sz w:val="20"/>
                <w:szCs w:val="20"/>
              </w:rPr>
            </w:pPr>
            <w:r w:rsidRPr="00443EEA">
              <w:rPr>
                <w:rFonts w:ascii="Times New Roman" w:eastAsia="Times New Roman" w:hAnsi="Times New Roman" w:cs="Times New Roman"/>
                <w:b/>
                <w:color w:val="000000"/>
                <w:sz w:val="20"/>
                <w:szCs w:val="20"/>
              </w:rPr>
              <w:lastRenderedPageBreak/>
              <w:t>2013 год</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Собственные</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21%</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Дотация</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75%</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55%</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Иные межбюджетные трансферты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35%</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Доходы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r>
      <w:tr w:rsidR="00153E07" w:rsidRPr="003529A9" w:rsidTr="00153E07">
        <w:trPr>
          <w:trHeight w:val="300"/>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bottom"/>
            <w:hideMark/>
          </w:tcPr>
          <w:p w:rsidR="00153E07" w:rsidRPr="00443EEA" w:rsidRDefault="00153E07" w:rsidP="00153E07">
            <w:pPr>
              <w:spacing w:after="0" w:line="240" w:lineRule="auto"/>
              <w:jc w:val="both"/>
              <w:rPr>
                <w:rFonts w:ascii="Times New Roman" w:eastAsia="Times New Roman" w:hAnsi="Times New Roman" w:cs="Times New Roman"/>
                <w:b/>
                <w:color w:val="000000"/>
                <w:sz w:val="20"/>
                <w:szCs w:val="20"/>
              </w:rPr>
            </w:pPr>
            <w:r w:rsidRPr="00443EEA">
              <w:rPr>
                <w:rFonts w:ascii="Times New Roman" w:eastAsia="Times New Roman" w:hAnsi="Times New Roman" w:cs="Times New Roman"/>
                <w:b/>
                <w:color w:val="000000"/>
                <w:sz w:val="20"/>
                <w:szCs w:val="20"/>
              </w:rPr>
              <w:t>2014 год</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Собственные</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25%</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Дотация</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59%</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58%</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Иные межбюджетные трансферты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Доходы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r>
      <w:tr w:rsidR="00153E07" w:rsidRPr="003529A9" w:rsidTr="00153E07">
        <w:trPr>
          <w:trHeight w:val="300"/>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bottom"/>
            <w:hideMark/>
          </w:tcPr>
          <w:p w:rsidR="00153E07" w:rsidRPr="00443EEA" w:rsidRDefault="00153E07" w:rsidP="00153E07">
            <w:pPr>
              <w:spacing w:after="0" w:line="240" w:lineRule="auto"/>
              <w:jc w:val="both"/>
              <w:rPr>
                <w:rFonts w:ascii="Times New Roman" w:eastAsia="Times New Roman" w:hAnsi="Times New Roman" w:cs="Times New Roman"/>
                <w:b/>
                <w:color w:val="000000"/>
                <w:sz w:val="20"/>
                <w:szCs w:val="20"/>
              </w:rPr>
            </w:pPr>
            <w:r w:rsidRPr="00443EEA">
              <w:rPr>
                <w:rFonts w:ascii="Times New Roman" w:eastAsia="Times New Roman" w:hAnsi="Times New Roman" w:cs="Times New Roman"/>
                <w:b/>
                <w:color w:val="000000"/>
                <w:sz w:val="20"/>
                <w:szCs w:val="20"/>
              </w:rPr>
              <w:t>2015 год</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Собственные</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24%</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Дотация</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66%</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62%</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Иные межбюджетные трансферты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Доходы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r>
      <w:tr w:rsidR="00153E07" w:rsidRPr="003529A9" w:rsidTr="00153E07">
        <w:trPr>
          <w:trHeight w:val="300"/>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bottom"/>
            <w:hideMark/>
          </w:tcPr>
          <w:p w:rsidR="00153E07" w:rsidRPr="00443EEA" w:rsidRDefault="00153E07" w:rsidP="00153E07">
            <w:pPr>
              <w:spacing w:after="0" w:line="240" w:lineRule="auto"/>
              <w:jc w:val="both"/>
              <w:rPr>
                <w:rFonts w:ascii="Times New Roman" w:eastAsia="Times New Roman" w:hAnsi="Times New Roman" w:cs="Times New Roman"/>
                <w:b/>
                <w:color w:val="000000"/>
                <w:sz w:val="20"/>
                <w:szCs w:val="20"/>
              </w:rPr>
            </w:pPr>
            <w:r w:rsidRPr="00443EEA">
              <w:rPr>
                <w:rFonts w:ascii="Times New Roman" w:eastAsia="Times New Roman" w:hAnsi="Times New Roman" w:cs="Times New Roman"/>
                <w:b/>
                <w:color w:val="000000"/>
                <w:sz w:val="20"/>
                <w:szCs w:val="20"/>
              </w:rPr>
              <w:t>2016 год</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Собственные</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Дотация</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61%</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62%</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Иные межбюджетные трансферты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16%</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Доходы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r>
    </w:tbl>
    <w:p w:rsidR="00153E07" w:rsidRPr="003529A9" w:rsidRDefault="00153E07" w:rsidP="00153E07">
      <w:pPr>
        <w:spacing w:after="160" w:line="259" w:lineRule="auto"/>
        <w:jc w:val="both"/>
        <w:rPr>
          <w:rFonts w:ascii="Times New Roman" w:hAnsi="Times New Roman" w:cs="Times New Roman"/>
          <w:sz w:val="20"/>
          <w:szCs w:val="20"/>
        </w:rPr>
      </w:pPr>
    </w:p>
    <w:p w:rsidR="00153E07" w:rsidRPr="00153E07" w:rsidRDefault="00153E07" w:rsidP="00153E07">
      <w:pPr>
        <w:spacing w:after="0"/>
        <w:ind w:firstLine="709"/>
        <w:jc w:val="both"/>
        <w:rPr>
          <w:rFonts w:ascii="Times New Roman" w:eastAsiaTheme="majorEastAsia" w:hAnsi="Times New Roman" w:cs="Times New Roman"/>
          <w:b/>
          <w:bCs/>
          <w:sz w:val="28"/>
          <w:szCs w:val="28"/>
        </w:rPr>
        <w:sectPr w:rsidR="00153E07" w:rsidRPr="00153E07" w:rsidSect="00153E07">
          <w:pgSz w:w="16838" w:h="11906" w:orient="landscape"/>
          <w:pgMar w:top="1701" w:right="1134" w:bottom="851" w:left="1134" w:header="709" w:footer="709" w:gutter="0"/>
          <w:cols w:space="708"/>
          <w:docGrid w:linePitch="360"/>
        </w:sect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Структурный анализ показал, что по объему доходов бюджетов сельских поселений преобладает Бардымское сельское поселение, доля доходов которого составляет 28% от общего объема по данным 2016 года.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 За анализируемый период времени рейтинговые позиции поселений по объему доходов практически не изменялись.</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 объем доходов Сарашевского сельского поселения варьировался в интервале от 10% до 16% от общего дохода бюджетов всех поселений. В 2016 году он составил 10%.</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Доходы бюджета Печменского сельского поселения имеют динамику снижения и составляют 8% в 2016г. по сравнению с 11% в 2014 году. Аналогичная ситуация в Новоашапском сельском поселении – наблюдается тенденция сокращения доходов бюджета с 5% до 3-4% от общего объема доходов бюджетов всех поселений Бардымского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Тюндюковском, Березниковском, Елпачихинском, Красноярском, Бичуринском и Федорковском сельских поселениях наоборот наблюдается увеличение доли доходов бюджетов в общей массе, при этом их позиции в рейтинговом анализе не изменяются.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Брюзлинском и Шермейском доходы бюджетов стабильно составляют 4% от общего дохода бюджетов всех поселений. Исключением является увеличение доли доходов бюджета Брюзлинского сельского поселения в 2012 году до 8%.</w:t>
      </w: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6280150" cy="3689498"/>
            <wp:effectExtent l="0" t="0" r="0" b="0"/>
            <wp:docPr id="219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53E07" w:rsidRPr="00B86768" w:rsidRDefault="00153E07" w:rsidP="006D2568">
      <w:pPr>
        <w:spacing w:after="0" w:line="240" w:lineRule="auto"/>
        <w:jc w:val="both"/>
        <w:rPr>
          <w:rFonts w:ascii="Times New Roman" w:eastAsia="Times New Roman" w:hAnsi="Times New Roman" w:cs="Times New Roman"/>
          <w:b/>
          <w:sz w:val="28"/>
          <w:szCs w:val="28"/>
        </w:rPr>
      </w:pPr>
      <w:r w:rsidRPr="00B86768">
        <w:rPr>
          <w:rFonts w:ascii="Times New Roman" w:eastAsia="Times New Roman" w:hAnsi="Times New Roman" w:cs="Times New Roman"/>
          <w:b/>
          <w:sz w:val="28"/>
          <w:szCs w:val="28"/>
        </w:rPr>
        <w:t>Рисунок 1.7</w:t>
      </w:r>
      <w:r w:rsidR="00B86768" w:rsidRPr="00B86768">
        <w:rPr>
          <w:rFonts w:ascii="Times New Roman" w:eastAsia="Times New Roman" w:hAnsi="Times New Roman" w:cs="Times New Roman"/>
          <w:b/>
          <w:sz w:val="28"/>
          <w:szCs w:val="28"/>
        </w:rPr>
        <w:t>2</w:t>
      </w:r>
      <w:r w:rsidRPr="00B86768">
        <w:rPr>
          <w:rFonts w:ascii="Times New Roman" w:eastAsia="Times New Roman" w:hAnsi="Times New Roman" w:cs="Times New Roman"/>
          <w:b/>
          <w:sz w:val="28"/>
          <w:szCs w:val="28"/>
        </w:rPr>
        <w:t>. Структура доходов бюджетов сельских поселений Бардымского муниципального района в 2010 – 2016 годах,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структуре доходов бюджетов всех сельских поселений преобладают собственные доходы, которые складываются из налоговых и неналоговых </w:t>
      </w:r>
      <w:r w:rsidRPr="00153E07">
        <w:rPr>
          <w:rFonts w:ascii="Times New Roman" w:eastAsia="Times New Roman" w:hAnsi="Times New Roman" w:cs="Times New Roman"/>
          <w:sz w:val="28"/>
          <w:szCs w:val="28"/>
        </w:rPr>
        <w:lastRenderedPageBreak/>
        <w:t>поступлений. Собственные доходы бюджетов сельских поселений составили в 2016 году 52%, что на 10% ниже, чем в 2014 году.</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втором месте по объему доходов бюджета находятся дотации. Доля дотаций в бюджете зависит от целевых задач, предусмотренных программами развития сельских поселений. Наименьшая доля дотаций в бюджетах наблюдается в 2010 г. (28%) и в 2014г. (29%). Наибольший объем дотаций имел место в 2015 г. (43%)</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57875" cy="2733675"/>
            <wp:effectExtent l="19050" t="0" r="0" b="0"/>
            <wp:docPr id="219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53E07" w:rsidRPr="00B86768" w:rsidRDefault="00B86768" w:rsidP="006D2568">
      <w:pPr>
        <w:spacing w:after="0" w:line="240" w:lineRule="auto"/>
        <w:jc w:val="both"/>
        <w:rPr>
          <w:rFonts w:ascii="Times New Roman" w:eastAsia="Times New Roman" w:hAnsi="Times New Roman" w:cs="Times New Roman"/>
          <w:b/>
          <w:sz w:val="28"/>
          <w:szCs w:val="28"/>
        </w:rPr>
      </w:pPr>
      <w:r w:rsidRPr="00B86768">
        <w:rPr>
          <w:rFonts w:ascii="Times New Roman" w:eastAsia="Times New Roman" w:hAnsi="Times New Roman" w:cs="Times New Roman"/>
          <w:b/>
          <w:sz w:val="28"/>
          <w:szCs w:val="28"/>
        </w:rPr>
        <w:t>Рисунок 1.73</w:t>
      </w:r>
      <w:r w:rsidR="00153E07" w:rsidRPr="00B86768">
        <w:rPr>
          <w:rFonts w:ascii="Times New Roman" w:eastAsia="Times New Roman" w:hAnsi="Times New Roman" w:cs="Times New Roman"/>
          <w:b/>
          <w:sz w:val="28"/>
          <w:szCs w:val="28"/>
        </w:rPr>
        <w:t>. Структура совокупного дохода бюджетов сельских поселений Бардымского муниципального района по статьям в 2010 – 2016 годах,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разрезе сельских поселений структура дохода бюджетов приведена в таблице 1.2</w:t>
      </w:r>
      <w:r w:rsidR="00B86768">
        <w:rPr>
          <w:rFonts w:ascii="Times New Roman" w:eastAsia="Times New Roman" w:hAnsi="Times New Roman" w:cs="Times New Roman"/>
          <w:sz w:val="28"/>
          <w:szCs w:val="28"/>
        </w:rPr>
        <w:t>0</w:t>
      </w:r>
      <w:r w:rsidRPr="00153E07">
        <w:rPr>
          <w:rFonts w:ascii="Times New Roman" w:eastAsia="Times New Roman" w:hAnsi="Times New Roman" w:cs="Times New Roman"/>
          <w:sz w:val="28"/>
          <w:szCs w:val="28"/>
        </w:rPr>
        <w:t xml:space="preserve"> и в Приложении </w:t>
      </w:r>
      <w:r w:rsidR="00E97C6A">
        <w:rPr>
          <w:rFonts w:ascii="Times New Roman" w:eastAsia="Times New Roman" w:hAnsi="Times New Roman" w:cs="Times New Roman"/>
          <w:sz w:val="28"/>
          <w:szCs w:val="28"/>
        </w:rPr>
        <w:t>1</w:t>
      </w:r>
      <w:r w:rsidRPr="00153E07">
        <w:rPr>
          <w:rFonts w:ascii="Times New Roman" w:eastAsia="Times New Roman" w:hAnsi="Times New Roman" w:cs="Times New Roman"/>
          <w:sz w:val="28"/>
          <w:szCs w:val="28"/>
        </w:rPr>
        <w:t>.</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Бюджет обеспечен более, чем на 50% за счет собственных доходов у Бардымского (81%), Печменского (84%)  и Сарашевского (62) сельских поселений.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треть доходы бюджета состоят из собственных средств у Березниковского (30%), Бичуринского (36%), Елпачихинского (31%), Красноярского (37%), Тюндюковского (31%) и Федорковского (32%) сельских поселений.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Очень низкая доля собственных доходов в бюджете Новоашапского (18%) и Шермейского (22%) сельских поселений.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Высокодотационными являются бюджеты Бичуринского (58%), Брюзлинского (48%), Елпачихинского (62%), Красноярского (57%), Новоашапского (55%), Федорковского (61%) и Шермейского (62%) сельских поселений.</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lastRenderedPageBreak/>
        <w:drawing>
          <wp:inline distT="0" distB="0" distL="0" distR="0">
            <wp:extent cx="5686425" cy="3000375"/>
            <wp:effectExtent l="0" t="0" r="0" b="0"/>
            <wp:docPr id="219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53E07" w:rsidRPr="00B86768" w:rsidRDefault="00B86768" w:rsidP="006D2568">
      <w:pPr>
        <w:spacing w:after="0" w:line="240" w:lineRule="auto"/>
        <w:jc w:val="both"/>
        <w:rPr>
          <w:rFonts w:ascii="Times New Roman" w:eastAsia="Times New Roman" w:hAnsi="Times New Roman" w:cs="Times New Roman"/>
          <w:b/>
          <w:sz w:val="28"/>
          <w:szCs w:val="28"/>
        </w:rPr>
      </w:pPr>
      <w:r w:rsidRPr="00B86768">
        <w:rPr>
          <w:rFonts w:ascii="Times New Roman" w:eastAsia="Times New Roman" w:hAnsi="Times New Roman" w:cs="Times New Roman"/>
          <w:b/>
          <w:sz w:val="28"/>
          <w:szCs w:val="28"/>
        </w:rPr>
        <w:t>Рисунок 1.74</w:t>
      </w:r>
      <w:r w:rsidR="00153E07" w:rsidRPr="00B86768">
        <w:rPr>
          <w:rFonts w:ascii="Times New Roman" w:eastAsia="Times New Roman" w:hAnsi="Times New Roman" w:cs="Times New Roman"/>
          <w:b/>
          <w:sz w:val="28"/>
          <w:szCs w:val="28"/>
        </w:rPr>
        <w:t>. Динамика совокупного дохода бюджетов сельских поселений Бардымского муниципального района в 2010 – 2016 годах, тыс.руб.</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Динамика доходов бюджетов сельских поселений отражает рост дотаций, сокращение иных межбюджетных трансфертов. Также наблюдается тенденция роста собственных доходов бюджетов, даже при некотором их сокращении в 2015 – 2016</w:t>
      </w:r>
      <w:r w:rsidR="00B86768">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гг.</w:t>
      </w: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939790" cy="3895725"/>
            <wp:effectExtent l="19050" t="0" r="3810" b="0"/>
            <wp:docPr id="220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153E07" w:rsidRPr="00B86768" w:rsidRDefault="00153E07" w:rsidP="006D2568">
      <w:pPr>
        <w:spacing w:after="0" w:line="240" w:lineRule="auto"/>
        <w:jc w:val="both"/>
        <w:rPr>
          <w:rFonts w:ascii="Times New Roman" w:eastAsia="Times New Roman" w:hAnsi="Times New Roman" w:cs="Times New Roman"/>
          <w:b/>
          <w:sz w:val="28"/>
          <w:szCs w:val="28"/>
        </w:rPr>
      </w:pPr>
      <w:r w:rsidRPr="00B86768">
        <w:rPr>
          <w:rFonts w:ascii="Times New Roman" w:eastAsia="Times New Roman" w:hAnsi="Times New Roman" w:cs="Times New Roman"/>
          <w:b/>
          <w:sz w:val="28"/>
          <w:szCs w:val="28"/>
        </w:rPr>
        <w:t>Рисунок 1.7</w:t>
      </w:r>
      <w:r w:rsidR="00B86768" w:rsidRPr="00B86768">
        <w:rPr>
          <w:rFonts w:ascii="Times New Roman" w:eastAsia="Times New Roman" w:hAnsi="Times New Roman" w:cs="Times New Roman"/>
          <w:b/>
          <w:sz w:val="28"/>
          <w:szCs w:val="28"/>
        </w:rPr>
        <w:t>5</w:t>
      </w:r>
      <w:r w:rsidRPr="00B86768">
        <w:rPr>
          <w:rFonts w:ascii="Times New Roman" w:eastAsia="Times New Roman" w:hAnsi="Times New Roman" w:cs="Times New Roman"/>
          <w:b/>
          <w:sz w:val="28"/>
          <w:szCs w:val="28"/>
        </w:rPr>
        <w:t>. Структура объема расходов сельских поселений Бардымского муниципального района в 2010 – 2016 годах,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В структуре расходов совокупного бюджета района также преобладают расходы бюджетов Бардымского (27,7%) и Сарашевского (9,2%) сельских поселений. У остальных поселений доля расходов бюджета ниже 9% в общем объеме расходов бюджета района.</w:t>
      </w:r>
    </w:p>
    <w:p w:rsidR="00153E07" w:rsidRPr="00153E07" w:rsidRDefault="00153E07" w:rsidP="006D2568">
      <w:pPr>
        <w:spacing w:after="0" w:line="240" w:lineRule="auto"/>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1.2</w:t>
      </w:r>
      <w:r w:rsidR="00B86768">
        <w:rPr>
          <w:rFonts w:ascii="Times New Roman" w:eastAsia="Times New Roman" w:hAnsi="Times New Roman" w:cs="Times New Roman"/>
          <w:sz w:val="28"/>
          <w:szCs w:val="28"/>
        </w:rPr>
        <w:t>1</w:t>
      </w:r>
    </w:p>
    <w:p w:rsidR="00153E07" w:rsidRPr="003529A9" w:rsidRDefault="00153E07" w:rsidP="006D2568">
      <w:pPr>
        <w:spacing w:after="0" w:line="240" w:lineRule="auto"/>
        <w:ind w:firstLine="709"/>
        <w:jc w:val="center"/>
        <w:rPr>
          <w:rFonts w:ascii="Times New Roman" w:eastAsia="Times New Roman" w:hAnsi="Times New Roman" w:cs="Times New Roman"/>
          <w:b/>
          <w:sz w:val="28"/>
          <w:szCs w:val="28"/>
        </w:rPr>
      </w:pPr>
      <w:r w:rsidRPr="003529A9">
        <w:rPr>
          <w:rFonts w:ascii="Times New Roman" w:eastAsia="Times New Roman" w:hAnsi="Times New Roman" w:cs="Times New Roman"/>
          <w:b/>
          <w:sz w:val="28"/>
          <w:szCs w:val="28"/>
        </w:rPr>
        <w:t>Дефицит (-)/ профицит (+) бюджетов сельских поселений Бардымского муниципального района в 2010-2016гг., тыс.руб.</w:t>
      </w:r>
    </w:p>
    <w:tbl>
      <w:tblPr>
        <w:tblW w:w="9719" w:type="dxa"/>
        <w:tblInd w:w="93" w:type="dxa"/>
        <w:tblLook w:val="04A0"/>
      </w:tblPr>
      <w:tblGrid>
        <w:gridCol w:w="3322"/>
        <w:gridCol w:w="913"/>
        <w:gridCol w:w="914"/>
        <w:gridCol w:w="914"/>
        <w:gridCol w:w="914"/>
        <w:gridCol w:w="914"/>
        <w:gridCol w:w="914"/>
        <w:gridCol w:w="914"/>
      </w:tblGrid>
      <w:tr w:rsidR="00153E07" w:rsidRPr="00153E07" w:rsidTr="00153E07">
        <w:trPr>
          <w:trHeight w:val="300"/>
        </w:trPr>
        <w:tc>
          <w:tcPr>
            <w:tcW w:w="33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Сельское поселение</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2010 год</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2011 год</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2012 год</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2013 год</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2014 год</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2015 год</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2016 год</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Бардымское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2473,5</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1067,6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-3033,8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-2019,1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5165,1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-4225,2</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38,4</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Березниковское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275,7</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410,1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591,1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151,9</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673,8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81,6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91,9</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Бичуринское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430,3</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681,1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108,3</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58,1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973,6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327,5</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Брюзлинское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37,6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129,3</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64,8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97,6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304,1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29</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-456,2</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Елпачихинское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42,1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280,8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508,9</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-419,9</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200,6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47,7</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Красноярское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581,2</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147,8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751,6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-591,4</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-910,8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877,8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45</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Новоашапское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305</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1639,7</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-1767,4</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-66,8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-208,5</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218,8</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Печменское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-4347</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906,7</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-296,3</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-1501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1913,9</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-2221,2</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-949,3</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Сарашевское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-944,5</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3476,6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1924,4</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3521,9</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-1494</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776,8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718,7</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Тюндюковское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93,9</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544,5</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12,2</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-119,2</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111,1</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Федорковское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4,7</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30,7</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33,4</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-185,3</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1088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34,6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66,3</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Шермейское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-75,1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49,2</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8,7</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624,8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-686,5</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165,7</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3,3</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Итого</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-1122,6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7845,4</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2211,5</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-1879</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5906,6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-3556,2</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263,2</w:t>
            </w:r>
          </w:p>
        </w:tc>
      </w:tr>
    </w:tbl>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достаточности бюджетных средств показал, что в 2013-2014 гг. наблюдался бюджетный дефицит в половине сельских поселений.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За анализируемый период времени наихудшие показатели были отмечены в Печменском сельском поселении, на протяжении 7 лет только в 2011 и 2014 году был отмечен профицит бюджета. Лучшие показатели бюджетного планирования и администрирования за анализируемый период времени были в Березниковском и Бичуринском сельских поселениях.</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Наглядно информация о дефиците / профиците бюджетов в разрезе сельских поселений представлена в Приложении </w:t>
      </w:r>
      <w:r w:rsidR="00E97C6A">
        <w:rPr>
          <w:rFonts w:ascii="Times New Roman" w:eastAsia="Times New Roman" w:hAnsi="Times New Roman" w:cs="Times New Roman"/>
          <w:sz w:val="28"/>
          <w:szCs w:val="28"/>
        </w:rPr>
        <w:t>1</w:t>
      </w:r>
      <w:r w:rsidRPr="00153E07">
        <w:rPr>
          <w:rFonts w:ascii="Times New Roman" w:eastAsia="Times New Roman" w:hAnsi="Times New Roman" w:cs="Times New Roman"/>
          <w:sz w:val="28"/>
          <w:szCs w:val="28"/>
        </w:rPr>
        <w:t>.</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1.2</w:t>
      </w:r>
      <w:r w:rsidR="00B86768">
        <w:rPr>
          <w:rFonts w:ascii="Times New Roman" w:eastAsia="Times New Roman" w:hAnsi="Times New Roman" w:cs="Times New Roman"/>
          <w:sz w:val="28"/>
          <w:szCs w:val="28"/>
        </w:rPr>
        <w:t>2</w:t>
      </w:r>
    </w:p>
    <w:p w:rsidR="00153E07" w:rsidRPr="003529A9" w:rsidRDefault="00153E07" w:rsidP="006D2568">
      <w:pPr>
        <w:spacing w:after="0" w:line="240" w:lineRule="auto"/>
        <w:jc w:val="center"/>
        <w:rPr>
          <w:rFonts w:ascii="Times New Roman" w:eastAsia="Times New Roman" w:hAnsi="Times New Roman" w:cs="Times New Roman"/>
          <w:b/>
          <w:sz w:val="28"/>
          <w:szCs w:val="28"/>
        </w:rPr>
      </w:pPr>
      <w:r w:rsidRPr="003529A9">
        <w:rPr>
          <w:rFonts w:ascii="Times New Roman" w:eastAsia="Times New Roman" w:hAnsi="Times New Roman" w:cs="Times New Roman"/>
          <w:b/>
          <w:sz w:val="28"/>
          <w:szCs w:val="28"/>
        </w:rPr>
        <w:t>Недоимки в бюджеты сельских поселений Бардымского муниципального района в 2010-2016</w:t>
      </w:r>
      <w:r w:rsidR="00B86768">
        <w:rPr>
          <w:rFonts w:ascii="Times New Roman" w:eastAsia="Times New Roman" w:hAnsi="Times New Roman" w:cs="Times New Roman"/>
          <w:b/>
          <w:sz w:val="28"/>
          <w:szCs w:val="28"/>
        </w:rPr>
        <w:t xml:space="preserve"> </w:t>
      </w:r>
      <w:r w:rsidRPr="003529A9">
        <w:rPr>
          <w:rFonts w:ascii="Times New Roman" w:eastAsia="Times New Roman" w:hAnsi="Times New Roman" w:cs="Times New Roman"/>
          <w:b/>
          <w:sz w:val="28"/>
          <w:szCs w:val="28"/>
        </w:rPr>
        <w:t>гг.</w:t>
      </w:r>
    </w:p>
    <w:tbl>
      <w:tblPr>
        <w:tblW w:w="5000" w:type="pct"/>
        <w:tblLook w:val="04A0"/>
      </w:tblPr>
      <w:tblGrid>
        <w:gridCol w:w="3504"/>
        <w:gridCol w:w="1011"/>
        <w:gridCol w:w="1011"/>
        <w:gridCol w:w="1011"/>
        <w:gridCol w:w="1011"/>
        <w:gridCol w:w="1011"/>
        <w:gridCol w:w="1011"/>
      </w:tblGrid>
      <w:tr w:rsidR="00153E07" w:rsidRPr="00153E07" w:rsidTr="00153E07">
        <w:trPr>
          <w:trHeight w:val="300"/>
        </w:trPr>
        <w:tc>
          <w:tcPr>
            <w:tcW w:w="16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4"/>
                <w:szCs w:val="28"/>
              </w:rPr>
            </w:pPr>
            <w:r w:rsidRPr="00F405EC">
              <w:rPr>
                <w:rFonts w:ascii="Times New Roman" w:eastAsia="Times New Roman" w:hAnsi="Times New Roman" w:cs="Times New Roman"/>
                <w:b/>
                <w:color w:val="000000"/>
                <w:sz w:val="24"/>
                <w:szCs w:val="28"/>
              </w:rPr>
              <w:t>Сельское поселение</w:t>
            </w:r>
          </w:p>
        </w:tc>
        <w:tc>
          <w:tcPr>
            <w:tcW w:w="650" w:type="pct"/>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4"/>
                <w:szCs w:val="28"/>
              </w:rPr>
            </w:pPr>
            <w:r w:rsidRPr="00F405EC">
              <w:rPr>
                <w:rFonts w:ascii="Times New Roman" w:eastAsia="Times New Roman" w:hAnsi="Times New Roman" w:cs="Times New Roman"/>
                <w:b/>
                <w:color w:val="000000"/>
                <w:sz w:val="24"/>
                <w:szCs w:val="28"/>
              </w:rPr>
              <w:t>2010 год</w:t>
            </w:r>
          </w:p>
        </w:tc>
        <w:tc>
          <w:tcPr>
            <w:tcW w:w="542" w:type="pct"/>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4"/>
                <w:szCs w:val="28"/>
              </w:rPr>
            </w:pPr>
            <w:r w:rsidRPr="00F405EC">
              <w:rPr>
                <w:rFonts w:ascii="Times New Roman" w:eastAsia="Times New Roman" w:hAnsi="Times New Roman" w:cs="Times New Roman"/>
                <w:b/>
                <w:color w:val="000000"/>
                <w:sz w:val="24"/>
                <w:szCs w:val="28"/>
              </w:rPr>
              <w:t>2011 год</w:t>
            </w:r>
          </w:p>
        </w:tc>
        <w:tc>
          <w:tcPr>
            <w:tcW w:w="542" w:type="pct"/>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4"/>
                <w:szCs w:val="28"/>
              </w:rPr>
            </w:pPr>
            <w:r w:rsidRPr="00F405EC">
              <w:rPr>
                <w:rFonts w:ascii="Times New Roman" w:eastAsia="Times New Roman" w:hAnsi="Times New Roman" w:cs="Times New Roman"/>
                <w:b/>
                <w:color w:val="000000"/>
                <w:sz w:val="24"/>
                <w:szCs w:val="28"/>
              </w:rPr>
              <w:t>2012 год</w:t>
            </w:r>
          </w:p>
        </w:tc>
        <w:tc>
          <w:tcPr>
            <w:tcW w:w="567" w:type="pct"/>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4"/>
                <w:szCs w:val="28"/>
              </w:rPr>
            </w:pPr>
            <w:r w:rsidRPr="00F405EC">
              <w:rPr>
                <w:rFonts w:ascii="Times New Roman" w:eastAsia="Times New Roman" w:hAnsi="Times New Roman" w:cs="Times New Roman"/>
                <w:b/>
                <w:color w:val="000000"/>
                <w:sz w:val="24"/>
                <w:szCs w:val="28"/>
              </w:rPr>
              <w:t>2013 год</w:t>
            </w:r>
          </w:p>
        </w:tc>
        <w:tc>
          <w:tcPr>
            <w:tcW w:w="542" w:type="pct"/>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4"/>
                <w:szCs w:val="28"/>
              </w:rPr>
            </w:pPr>
            <w:r w:rsidRPr="00F405EC">
              <w:rPr>
                <w:rFonts w:ascii="Times New Roman" w:eastAsia="Times New Roman" w:hAnsi="Times New Roman" w:cs="Times New Roman"/>
                <w:b/>
                <w:color w:val="000000"/>
                <w:sz w:val="24"/>
                <w:szCs w:val="28"/>
              </w:rPr>
              <w:t>2014 год</w:t>
            </w:r>
          </w:p>
        </w:tc>
        <w:tc>
          <w:tcPr>
            <w:tcW w:w="542" w:type="pct"/>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4"/>
                <w:szCs w:val="28"/>
              </w:rPr>
            </w:pPr>
            <w:r w:rsidRPr="00F405EC">
              <w:rPr>
                <w:rFonts w:ascii="Times New Roman" w:eastAsia="Times New Roman" w:hAnsi="Times New Roman" w:cs="Times New Roman"/>
                <w:b/>
                <w:color w:val="000000"/>
                <w:sz w:val="24"/>
                <w:szCs w:val="28"/>
              </w:rPr>
              <w:t>2015 год</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Бардымское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916</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221</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857,4</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1273,9</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1776,1</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1949,1</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Березниковское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75</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46</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122,4</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188,3</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283,3</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277,5</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Бичуринское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60</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30</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92,3</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162,2</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233,6</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270,1</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Брюзлинское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22</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12</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45,1</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76,3</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119,1</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128</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 xml:space="preserve">Елпачихинское сельское </w:t>
            </w:r>
            <w:r w:rsidRPr="00B86768">
              <w:rPr>
                <w:rFonts w:ascii="Times New Roman" w:eastAsia="Times New Roman" w:hAnsi="Times New Roman" w:cs="Times New Roman"/>
                <w:color w:val="000000"/>
                <w:sz w:val="24"/>
                <w:szCs w:val="28"/>
              </w:rPr>
              <w:lastRenderedPageBreak/>
              <w:t>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lastRenderedPageBreak/>
              <w:t>443</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34</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145,7</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262,8</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436,5</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473,6</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lastRenderedPageBreak/>
              <w:t>Красноярское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89</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45</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131,3</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231,4</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327</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390,5</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Новоашапское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18</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11</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38,2</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90,9</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55,8</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67,8</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Печменское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71</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30</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97,3</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193,4</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223,6</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225,6</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Сарашевское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164</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62</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197,1</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309,3</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502,7</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451,2</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Тюндюковское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180</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138</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222,5</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197,6</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273,7</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311,7</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Федорковское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88</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59</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206,2</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324,2</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586,1</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339,3</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Шермейское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25</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5</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25,9</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43,2</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49,3</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61,9</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Итого</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2151</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693</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2181,4</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3353,5</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4866,8</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4946,3</w:t>
            </w:r>
          </w:p>
        </w:tc>
      </w:tr>
    </w:tbl>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Недоимками в бюджет сельских поселений являются неоплаченные налоговые доходы. Анализируя данные в таблице 1.2</w:t>
      </w:r>
      <w:r w:rsidR="00B86768">
        <w:rPr>
          <w:rFonts w:ascii="Times New Roman" w:eastAsia="Times New Roman" w:hAnsi="Times New Roman" w:cs="Times New Roman"/>
          <w:sz w:val="28"/>
          <w:szCs w:val="28"/>
        </w:rPr>
        <w:t>2</w:t>
      </w:r>
      <w:r w:rsidRPr="00153E07">
        <w:rPr>
          <w:rFonts w:ascii="Times New Roman" w:eastAsia="Times New Roman" w:hAnsi="Times New Roman" w:cs="Times New Roman"/>
          <w:sz w:val="28"/>
          <w:szCs w:val="28"/>
        </w:rPr>
        <w:t xml:space="preserve">, можно сделать вывод, что объем недоимок в бюджеты сельских поселений с каждым годом увеличивается, что позволяет сделать вывод об низкой рентабельности и эффективности деятельности предприятий и предпринимателей района. Наибольший объем недоимок имеет место в бюджете Бардымского сельского поселения.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таблице 1.2</w:t>
      </w:r>
      <w:r w:rsidR="00B86768">
        <w:rPr>
          <w:rFonts w:ascii="Times New Roman" w:eastAsia="Times New Roman" w:hAnsi="Times New Roman" w:cs="Times New Roman"/>
          <w:sz w:val="28"/>
          <w:szCs w:val="28"/>
        </w:rPr>
        <w:t>3</w:t>
      </w:r>
      <w:r w:rsidRPr="00153E07">
        <w:rPr>
          <w:rFonts w:ascii="Times New Roman" w:eastAsia="Times New Roman" w:hAnsi="Times New Roman" w:cs="Times New Roman"/>
          <w:sz w:val="28"/>
          <w:szCs w:val="28"/>
        </w:rPr>
        <w:t xml:space="preserve"> представлены рейтинги сельских поселений Бардымского муниципального района по показателям бюджетов.</w:t>
      </w:r>
    </w:p>
    <w:p w:rsidR="00153E07" w:rsidRPr="00153E07" w:rsidRDefault="00153E07" w:rsidP="006D2568">
      <w:pPr>
        <w:spacing w:after="0" w:line="240" w:lineRule="auto"/>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1.2</w:t>
      </w:r>
      <w:r w:rsidR="00B86768">
        <w:rPr>
          <w:rFonts w:ascii="Times New Roman" w:eastAsia="Times New Roman" w:hAnsi="Times New Roman" w:cs="Times New Roman"/>
          <w:sz w:val="28"/>
          <w:szCs w:val="28"/>
        </w:rPr>
        <w:t>3</w:t>
      </w:r>
    </w:p>
    <w:p w:rsidR="00153E07" w:rsidRPr="003529A9" w:rsidRDefault="00153E07" w:rsidP="006D2568">
      <w:pPr>
        <w:spacing w:after="0" w:line="240" w:lineRule="auto"/>
        <w:jc w:val="center"/>
        <w:rPr>
          <w:rFonts w:ascii="Times New Roman" w:eastAsia="Times New Roman" w:hAnsi="Times New Roman" w:cs="Times New Roman"/>
          <w:b/>
          <w:sz w:val="28"/>
          <w:szCs w:val="28"/>
        </w:rPr>
      </w:pPr>
      <w:r w:rsidRPr="003529A9">
        <w:rPr>
          <w:rFonts w:ascii="Times New Roman" w:eastAsia="Times New Roman" w:hAnsi="Times New Roman" w:cs="Times New Roman"/>
          <w:b/>
          <w:sz w:val="28"/>
          <w:szCs w:val="28"/>
        </w:rPr>
        <w:t>Рейтинги сельских поселений Бардымского муниципального района по доходам и расходам бюджета в 2016 году</w:t>
      </w:r>
    </w:p>
    <w:tbl>
      <w:tblPr>
        <w:tblW w:w="5167" w:type="pct"/>
        <w:tblLayout w:type="fixed"/>
        <w:tblLook w:val="04A0"/>
      </w:tblPr>
      <w:tblGrid>
        <w:gridCol w:w="1920"/>
        <w:gridCol w:w="1030"/>
        <w:gridCol w:w="1133"/>
        <w:gridCol w:w="1072"/>
        <w:gridCol w:w="1155"/>
        <w:gridCol w:w="1254"/>
        <w:gridCol w:w="1155"/>
        <w:gridCol w:w="1171"/>
      </w:tblGrid>
      <w:tr w:rsidR="00153E07" w:rsidRPr="00153E07" w:rsidTr="00F405EC">
        <w:trPr>
          <w:trHeight w:val="1200"/>
        </w:trPr>
        <w:tc>
          <w:tcPr>
            <w:tcW w:w="9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Сельское поселение</w:t>
            </w:r>
          </w:p>
        </w:tc>
        <w:tc>
          <w:tcPr>
            <w:tcW w:w="520"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Собственные доходы бюджета с/п</w:t>
            </w:r>
          </w:p>
        </w:tc>
        <w:tc>
          <w:tcPr>
            <w:tcW w:w="573"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Дотации бюджета</w:t>
            </w:r>
          </w:p>
        </w:tc>
        <w:tc>
          <w:tcPr>
            <w:tcW w:w="542"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Иные межбюджетные трансферты</w:t>
            </w:r>
          </w:p>
        </w:tc>
        <w:tc>
          <w:tcPr>
            <w:tcW w:w="584"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Все доходы бюджета сельского поселения</w:t>
            </w:r>
          </w:p>
        </w:tc>
        <w:tc>
          <w:tcPr>
            <w:tcW w:w="634"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Недоимки</w:t>
            </w:r>
          </w:p>
        </w:tc>
        <w:tc>
          <w:tcPr>
            <w:tcW w:w="584"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Расходы бюджета сельского поселения</w:t>
            </w:r>
          </w:p>
        </w:tc>
        <w:tc>
          <w:tcPr>
            <w:tcW w:w="592"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Дефицит / профицит</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Бардымское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Березниковское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Бичуринское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Брюзлинское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Елпачихинское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Красноярское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Новоашапское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Печменское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Сарашевское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lastRenderedPageBreak/>
              <w:t>Тюндюковское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Федорковское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Шермейское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r>
    </w:tbl>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6D2568" w:rsidP="006D2568">
      <w:pPr>
        <w:spacing w:after="16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153E07" w:rsidRPr="00153E07">
        <w:rPr>
          <w:rFonts w:ascii="Times New Roman" w:eastAsia="Times New Roman" w:hAnsi="Times New Roman" w:cs="Times New Roman"/>
          <w:sz w:val="28"/>
          <w:szCs w:val="28"/>
        </w:rPr>
        <w:t>аблица 1.2</w:t>
      </w:r>
      <w:r w:rsidR="00B86768">
        <w:rPr>
          <w:rFonts w:ascii="Times New Roman" w:eastAsia="Times New Roman" w:hAnsi="Times New Roman" w:cs="Times New Roman"/>
          <w:sz w:val="28"/>
          <w:szCs w:val="28"/>
        </w:rPr>
        <w:t>4</w:t>
      </w:r>
    </w:p>
    <w:p w:rsidR="00153E07" w:rsidRPr="003529A9" w:rsidRDefault="00153E07" w:rsidP="006D2568">
      <w:pPr>
        <w:spacing w:after="0" w:line="240" w:lineRule="auto"/>
        <w:jc w:val="center"/>
        <w:rPr>
          <w:rFonts w:ascii="Times New Roman" w:eastAsia="Times New Roman" w:hAnsi="Times New Roman" w:cs="Times New Roman"/>
          <w:b/>
          <w:sz w:val="28"/>
          <w:szCs w:val="28"/>
        </w:rPr>
      </w:pPr>
      <w:r w:rsidRPr="003529A9">
        <w:rPr>
          <w:rFonts w:ascii="Times New Roman" w:eastAsia="Times New Roman" w:hAnsi="Times New Roman" w:cs="Times New Roman"/>
          <w:b/>
          <w:sz w:val="28"/>
          <w:szCs w:val="28"/>
        </w:rPr>
        <w:t>Доходы и расходы бюджетов сельских поселений Бардымского муниципального района в расчете на одного жителя, тыс.руб.</w:t>
      </w:r>
    </w:p>
    <w:tbl>
      <w:tblPr>
        <w:tblW w:w="5159" w:type="pct"/>
        <w:tblLayout w:type="fixed"/>
        <w:tblLook w:val="04A0"/>
      </w:tblPr>
      <w:tblGrid>
        <w:gridCol w:w="1808"/>
        <w:gridCol w:w="1270"/>
        <w:gridCol w:w="1272"/>
        <w:gridCol w:w="1432"/>
        <w:gridCol w:w="1556"/>
        <w:gridCol w:w="1272"/>
        <w:gridCol w:w="1264"/>
      </w:tblGrid>
      <w:tr w:rsidR="00153E07" w:rsidRPr="00153E07" w:rsidTr="003529A9">
        <w:trPr>
          <w:trHeight w:val="1200"/>
        </w:trPr>
        <w:tc>
          <w:tcPr>
            <w:tcW w:w="9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rPr>
            </w:pPr>
            <w:r w:rsidRPr="00F405EC">
              <w:rPr>
                <w:rFonts w:ascii="Times New Roman" w:eastAsia="Times New Roman" w:hAnsi="Times New Roman" w:cs="Times New Roman"/>
                <w:b/>
                <w:color w:val="000000"/>
              </w:rPr>
              <w:t>Сельское поселение</w:t>
            </w:r>
          </w:p>
        </w:tc>
        <w:tc>
          <w:tcPr>
            <w:tcW w:w="643"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rPr>
            </w:pPr>
            <w:r w:rsidRPr="00F405EC">
              <w:rPr>
                <w:rFonts w:ascii="Times New Roman" w:eastAsia="Times New Roman" w:hAnsi="Times New Roman" w:cs="Times New Roman"/>
                <w:b/>
                <w:color w:val="000000"/>
              </w:rPr>
              <w:t>Доходы бюджета в 2016 году, тыс.руб.</w:t>
            </w:r>
          </w:p>
        </w:tc>
        <w:tc>
          <w:tcPr>
            <w:tcW w:w="644"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rPr>
            </w:pPr>
            <w:r w:rsidRPr="00F405EC">
              <w:rPr>
                <w:rFonts w:ascii="Times New Roman" w:eastAsia="Times New Roman" w:hAnsi="Times New Roman" w:cs="Times New Roman"/>
                <w:b/>
                <w:color w:val="000000"/>
              </w:rPr>
              <w:t>Расходы бюджета в 2016 году, тыс.руб.</w:t>
            </w:r>
          </w:p>
        </w:tc>
        <w:tc>
          <w:tcPr>
            <w:tcW w:w="725"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rPr>
            </w:pPr>
            <w:r w:rsidRPr="00F405EC">
              <w:rPr>
                <w:rFonts w:ascii="Times New Roman" w:eastAsia="Times New Roman" w:hAnsi="Times New Roman" w:cs="Times New Roman"/>
                <w:b/>
                <w:color w:val="000000"/>
              </w:rPr>
              <w:t>Дефицит (-) / профицит (+) бюджета, тыс. руб.</w:t>
            </w:r>
          </w:p>
        </w:tc>
        <w:tc>
          <w:tcPr>
            <w:tcW w:w="788"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rPr>
            </w:pPr>
            <w:r w:rsidRPr="00F405EC">
              <w:rPr>
                <w:rFonts w:ascii="Times New Roman" w:eastAsia="Times New Roman" w:hAnsi="Times New Roman" w:cs="Times New Roman"/>
                <w:b/>
                <w:color w:val="000000"/>
              </w:rPr>
              <w:t>Численность населения, чел.</w:t>
            </w:r>
          </w:p>
        </w:tc>
        <w:tc>
          <w:tcPr>
            <w:tcW w:w="644"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rPr>
            </w:pPr>
            <w:r w:rsidRPr="00F405EC">
              <w:rPr>
                <w:rFonts w:ascii="Times New Roman" w:eastAsia="Times New Roman" w:hAnsi="Times New Roman" w:cs="Times New Roman"/>
                <w:b/>
                <w:color w:val="000000"/>
              </w:rPr>
              <w:t>Доходы бюджета в расчете на 1 жителя, тыс.руб.</w:t>
            </w:r>
          </w:p>
        </w:tc>
        <w:tc>
          <w:tcPr>
            <w:tcW w:w="641"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rPr>
            </w:pPr>
            <w:r w:rsidRPr="00F405EC">
              <w:rPr>
                <w:rFonts w:ascii="Times New Roman" w:eastAsia="Times New Roman" w:hAnsi="Times New Roman" w:cs="Times New Roman"/>
                <w:b/>
                <w:color w:val="000000"/>
              </w:rPr>
              <w:t>Расходы бюджета в расчете на 1 жителя, тыс.руб.</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Новоашапское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4451,1</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4232,3</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218,8</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422</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10,548</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10,029</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Шермейское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4573,1</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4569,8</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3,3</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479</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9,547</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9,540</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Тюндюковское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9126,7</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9015,6</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111,1</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1312</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6,956</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6,872</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Березниковское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8892,5</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8800,6</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91,9</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1364</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6,519</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6,452</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Брюзлинское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4992,4</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5448,6</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-456,2</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792</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6,304</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6,880</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Печменское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9230,7</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10180</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-949,3</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1607</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5,744</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6,335</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Федорковское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6331,2</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6264,9</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66,3</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1184</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5,347</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5,291</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Бичуринское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8023,2</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7695,7</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327,5</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1652</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4,857</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4,658</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Сарашевское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11508,1</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10789,4</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718,7</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2487</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4,627</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4,338</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Елпачихинское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8716,2</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8668,5</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47,7</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1916</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4,549</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4,524</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Красноярское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8714,4</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8669,4</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45</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2249</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3,875</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3,855</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Бардымское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32360,9</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32322,5</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38,4</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9827</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3,293</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3,289</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Итого</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116920,5</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116657,3</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263,2</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25291</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4,623</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4,613</w:t>
            </w:r>
          </w:p>
        </w:tc>
      </w:tr>
    </w:tbl>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Анализ удельного объема доходов и расходов бюджета в расчете на одного жителя показал, что наилучший показатели наблюдаются в Новоашапском сельском поселении, наименьшие - в Бардымском и Красноярском сельских поселениях.</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Наглядно доходы и расходы бюджетов сельских поселений в расчете на одного жителя представлены на рисунке 1.80.</w:t>
      </w: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939790" cy="4124325"/>
            <wp:effectExtent l="19050" t="0" r="3810" b="0"/>
            <wp:docPr id="220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53E07" w:rsidRPr="00B86768" w:rsidRDefault="00153E07" w:rsidP="006D2568">
      <w:pPr>
        <w:spacing w:after="0" w:line="240" w:lineRule="auto"/>
        <w:jc w:val="both"/>
        <w:rPr>
          <w:rFonts w:ascii="Times New Roman" w:eastAsia="Times New Roman" w:hAnsi="Times New Roman" w:cs="Times New Roman"/>
          <w:b/>
          <w:sz w:val="28"/>
          <w:szCs w:val="28"/>
        </w:rPr>
      </w:pPr>
      <w:r w:rsidRPr="00B86768">
        <w:rPr>
          <w:rFonts w:ascii="Times New Roman" w:eastAsia="Times New Roman" w:hAnsi="Times New Roman" w:cs="Times New Roman"/>
          <w:b/>
          <w:sz w:val="28"/>
          <w:szCs w:val="28"/>
        </w:rPr>
        <w:t>Рисунок 1.</w:t>
      </w:r>
      <w:r w:rsidR="00B86768" w:rsidRPr="00B86768">
        <w:rPr>
          <w:rFonts w:ascii="Times New Roman" w:eastAsia="Times New Roman" w:hAnsi="Times New Roman" w:cs="Times New Roman"/>
          <w:b/>
          <w:sz w:val="28"/>
          <w:szCs w:val="28"/>
        </w:rPr>
        <w:t>76</w:t>
      </w:r>
      <w:r w:rsidRPr="00B86768">
        <w:rPr>
          <w:rFonts w:ascii="Times New Roman" w:eastAsia="Times New Roman" w:hAnsi="Times New Roman" w:cs="Times New Roman"/>
          <w:b/>
          <w:sz w:val="28"/>
          <w:szCs w:val="28"/>
        </w:rPr>
        <w:t>. Доходы и расходы бюджетов сельских поселений Бардымского муниципального района в расчете на одного жителя, тыс.руб.</w:t>
      </w:r>
    </w:p>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таблице 1.2</w:t>
      </w:r>
      <w:r w:rsidR="00127DAF">
        <w:rPr>
          <w:rFonts w:ascii="Times New Roman" w:eastAsia="Times New Roman" w:hAnsi="Times New Roman" w:cs="Times New Roman"/>
          <w:sz w:val="28"/>
          <w:szCs w:val="28"/>
        </w:rPr>
        <w:t>5</w:t>
      </w:r>
      <w:r w:rsidRPr="00153E07">
        <w:rPr>
          <w:rFonts w:ascii="Times New Roman" w:eastAsia="Times New Roman" w:hAnsi="Times New Roman" w:cs="Times New Roman"/>
          <w:sz w:val="28"/>
          <w:szCs w:val="28"/>
        </w:rPr>
        <w:t xml:space="preserve"> представлена информация о планируемых доходах бюджетов сельских поселений, скорректированных по объему собственных средств за счет взыскания недоимки.</w:t>
      </w:r>
    </w:p>
    <w:p w:rsidR="00153E07" w:rsidRPr="00153E07" w:rsidRDefault="00153E07" w:rsidP="00153E07">
      <w:pPr>
        <w:spacing w:after="0"/>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sectPr w:rsidR="00153E07" w:rsidRPr="00153E07" w:rsidSect="00153E07">
          <w:pgSz w:w="11906" w:h="16838"/>
          <w:pgMar w:top="1134" w:right="851" w:bottom="1134" w:left="1701" w:header="709" w:footer="709" w:gutter="0"/>
          <w:cols w:space="708"/>
          <w:docGrid w:linePitch="360"/>
        </w:sectPr>
      </w:pPr>
    </w:p>
    <w:p w:rsidR="00153E07" w:rsidRPr="00153E07" w:rsidRDefault="00153E07" w:rsidP="003529A9">
      <w:pPr>
        <w:spacing w:after="0"/>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Таблица 1.2</w:t>
      </w:r>
      <w:r w:rsidR="00127DAF">
        <w:rPr>
          <w:rFonts w:ascii="Times New Roman" w:eastAsia="Times New Roman" w:hAnsi="Times New Roman" w:cs="Times New Roman"/>
          <w:sz w:val="28"/>
          <w:szCs w:val="28"/>
        </w:rPr>
        <w:t>5</w:t>
      </w:r>
    </w:p>
    <w:p w:rsidR="00153E07" w:rsidRPr="003529A9" w:rsidRDefault="00153E07" w:rsidP="003529A9">
      <w:pPr>
        <w:spacing w:after="0"/>
        <w:jc w:val="center"/>
        <w:rPr>
          <w:rFonts w:ascii="Times New Roman" w:eastAsia="Times New Roman" w:hAnsi="Times New Roman" w:cs="Times New Roman"/>
          <w:b/>
          <w:sz w:val="28"/>
          <w:szCs w:val="28"/>
        </w:rPr>
      </w:pPr>
      <w:r w:rsidRPr="003529A9">
        <w:rPr>
          <w:rFonts w:ascii="Times New Roman" w:eastAsia="Times New Roman" w:hAnsi="Times New Roman" w:cs="Times New Roman"/>
          <w:b/>
          <w:sz w:val="28"/>
          <w:szCs w:val="28"/>
        </w:rPr>
        <w:t>Доля собственных доходов бюджета и собственных доходов с учетом недоимки от всех доходов бюджета</w:t>
      </w:r>
    </w:p>
    <w:tbl>
      <w:tblPr>
        <w:tblW w:w="5000" w:type="pct"/>
        <w:tblLook w:val="04A0"/>
      </w:tblPr>
      <w:tblGrid>
        <w:gridCol w:w="3696"/>
        <w:gridCol w:w="922"/>
        <w:gridCol w:w="925"/>
        <w:gridCol w:w="922"/>
        <w:gridCol w:w="925"/>
        <w:gridCol w:w="923"/>
        <w:gridCol w:w="929"/>
        <w:gridCol w:w="923"/>
        <w:gridCol w:w="926"/>
        <w:gridCol w:w="923"/>
        <w:gridCol w:w="926"/>
        <w:gridCol w:w="923"/>
        <w:gridCol w:w="923"/>
      </w:tblGrid>
      <w:tr w:rsidR="00153E07" w:rsidRPr="00153E07" w:rsidTr="00153E07">
        <w:trPr>
          <w:trHeight w:val="300"/>
        </w:trPr>
        <w:tc>
          <w:tcPr>
            <w:tcW w:w="125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Сельское поселение</w:t>
            </w:r>
          </w:p>
        </w:tc>
        <w:tc>
          <w:tcPr>
            <w:tcW w:w="625" w:type="pct"/>
            <w:gridSpan w:val="2"/>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2010 год</w:t>
            </w:r>
          </w:p>
        </w:tc>
        <w:tc>
          <w:tcPr>
            <w:tcW w:w="625" w:type="pct"/>
            <w:gridSpan w:val="2"/>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2011 год</w:t>
            </w:r>
          </w:p>
        </w:tc>
        <w:tc>
          <w:tcPr>
            <w:tcW w:w="626" w:type="pct"/>
            <w:gridSpan w:val="2"/>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2012 год</w:t>
            </w:r>
          </w:p>
        </w:tc>
        <w:tc>
          <w:tcPr>
            <w:tcW w:w="625" w:type="pct"/>
            <w:gridSpan w:val="2"/>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2013 год</w:t>
            </w:r>
          </w:p>
        </w:tc>
        <w:tc>
          <w:tcPr>
            <w:tcW w:w="625" w:type="pct"/>
            <w:gridSpan w:val="2"/>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2014 год</w:t>
            </w:r>
          </w:p>
        </w:tc>
        <w:tc>
          <w:tcPr>
            <w:tcW w:w="624" w:type="pct"/>
            <w:gridSpan w:val="2"/>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2015 год</w:t>
            </w:r>
          </w:p>
        </w:tc>
      </w:tr>
      <w:tr w:rsidR="00153E07" w:rsidRPr="00153E07" w:rsidTr="003529A9">
        <w:trPr>
          <w:trHeight w:val="3057"/>
        </w:trPr>
        <w:tc>
          <w:tcPr>
            <w:tcW w:w="1250" w:type="pct"/>
            <w:vMerge/>
            <w:tcBorders>
              <w:top w:val="single" w:sz="4" w:space="0" w:color="auto"/>
              <w:left w:val="single" w:sz="4" w:space="0" w:color="auto"/>
              <w:bottom w:val="single" w:sz="4" w:space="0" w:color="auto"/>
              <w:right w:val="single" w:sz="4" w:space="0" w:color="auto"/>
            </w:tcBorders>
            <w:vAlign w:val="center"/>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p>
        </w:tc>
        <w:tc>
          <w:tcPr>
            <w:tcW w:w="312" w:type="pct"/>
            <w:tcBorders>
              <w:top w:val="nil"/>
              <w:left w:val="nil"/>
              <w:bottom w:val="single" w:sz="4" w:space="0" w:color="auto"/>
              <w:right w:val="single" w:sz="4" w:space="0" w:color="auto"/>
            </w:tcBorders>
            <w:shd w:val="clear" w:color="auto" w:fill="auto"/>
            <w:textDirection w:val="btLr"/>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Собственные доходы бюджета с/п</w:t>
            </w:r>
          </w:p>
        </w:tc>
        <w:tc>
          <w:tcPr>
            <w:tcW w:w="313" w:type="pct"/>
            <w:tcBorders>
              <w:top w:val="nil"/>
              <w:left w:val="nil"/>
              <w:bottom w:val="single" w:sz="4" w:space="0" w:color="auto"/>
              <w:right w:val="single" w:sz="4" w:space="0" w:color="auto"/>
            </w:tcBorders>
            <w:shd w:val="clear" w:color="auto" w:fill="auto"/>
            <w:textDirection w:val="btLr"/>
            <w:vAlign w:val="bottom"/>
            <w:hideMark/>
          </w:tcPr>
          <w:p w:rsidR="003529A9"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 xml:space="preserve">Собственные доходы бюджета с/п </w:t>
            </w:r>
          </w:p>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 учетом недоимки</w:t>
            </w:r>
          </w:p>
        </w:tc>
        <w:tc>
          <w:tcPr>
            <w:tcW w:w="312" w:type="pct"/>
            <w:tcBorders>
              <w:top w:val="nil"/>
              <w:left w:val="nil"/>
              <w:bottom w:val="single" w:sz="4" w:space="0" w:color="auto"/>
              <w:right w:val="single" w:sz="4" w:space="0" w:color="auto"/>
            </w:tcBorders>
            <w:shd w:val="clear" w:color="auto" w:fill="auto"/>
            <w:textDirection w:val="btLr"/>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Собственные доходы бюджета с/п</w:t>
            </w:r>
          </w:p>
        </w:tc>
        <w:tc>
          <w:tcPr>
            <w:tcW w:w="313" w:type="pct"/>
            <w:tcBorders>
              <w:top w:val="nil"/>
              <w:left w:val="nil"/>
              <w:bottom w:val="single" w:sz="4" w:space="0" w:color="auto"/>
              <w:right w:val="single" w:sz="4" w:space="0" w:color="auto"/>
            </w:tcBorders>
            <w:shd w:val="clear" w:color="auto" w:fill="auto"/>
            <w:textDirection w:val="btLr"/>
            <w:vAlign w:val="bottom"/>
            <w:hideMark/>
          </w:tcPr>
          <w:p w:rsidR="003529A9"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 xml:space="preserve">Собственные доходы бюджета с/п </w:t>
            </w:r>
          </w:p>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 учетом недоимки</w:t>
            </w:r>
          </w:p>
        </w:tc>
        <w:tc>
          <w:tcPr>
            <w:tcW w:w="312" w:type="pct"/>
            <w:tcBorders>
              <w:top w:val="nil"/>
              <w:left w:val="nil"/>
              <w:bottom w:val="single" w:sz="4" w:space="0" w:color="auto"/>
              <w:right w:val="single" w:sz="4" w:space="0" w:color="auto"/>
            </w:tcBorders>
            <w:shd w:val="clear" w:color="auto" w:fill="auto"/>
            <w:textDirection w:val="btLr"/>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Собственные доходы бюджета с/п</w:t>
            </w:r>
          </w:p>
        </w:tc>
        <w:tc>
          <w:tcPr>
            <w:tcW w:w="314" w:type="pct"/>
            <w:tcBorders>
              <w:top w:val="nil"/>
              <w:left w:val="nil"/>
              <w:bottom w:val="single" w:sz="4" w:space="0" w:color="auto"/>
              <w:right w:val="single" w:sz="4" w:space="0" w:color="auto"/>
            </w:tcBorders>
            <w:shd w:val="clear" w:color="auto" w:fill="auto"/>
            <w:textDirection w:val="btLr"/>
            <w:vAlign w:val="bottom"/>
            <w:hideMark/>
          </w:tcPr>
          <w:p w:rsidR="003529A9"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 xml:space="preserve">Собственные доходы бюджета с/п </w:t>
            </w:r>
          </w:p>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 учетом недоимки</w:t>
            </w:r>
          </w:p>
        </w:tc>
        <w:tc>
          <w:tcPr>
            <w:tcW w:w="312" w:type="pct"/>
            <w:tcBorders>
              <w:top w:val="nil"/>
              <w:left w:val="nil"/>
              <w:bottom w:val="single" w:sz="4" w:space="0" w:color="auto"/>
              <w:right w:val="single" w:sz="4" w:space="0" w:color="auto"/>
            </w:tcBorders>
            <w:shd w:val="clear" w:color="auto" w:fill="auto"/>
            <w:textDirection w:val="btLr"/>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Собственные доходы бюджета с/п</w:t>
            </w:r>
          </w:p>
        </w:tc>
        <w:tc>
          <w:tcPr>
            <w:tcW w:w="313" w:type="pct"/>
            <w:tcBorders>
              <w:top w:val="nil"/>
              <w:left w:val="nil"/>
              <w:bottom w:val="single" w:sz="4" w:space="0" w:color="auto"/>
              <w:right w:val="single" w:sz="4" w:space="0" w:color="auto"/>
            </w:tcBorders>
            <w:shd w:val="clear" w:color="auto" w:fill="auto"/>
            <w:textDirection w:val="btLr"/>
            <w:vAlign w:val="bottom"/>
            <w:hideMark/>
          </w:tcPr>
          <w:p w:rsidR="003529A9"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 xml:space="preserve">Собственные доходы бюджета с/п </w:t>
            </w:r>
          </w:p>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 учетом недоимки</w:t>
            </w:r>
          </w:p>
        </w:tc>
        <w:tc>
          <w:tcPr>
            <w:tcW w:w="312" w:type="pct"/>
            <w:tcBorders>
              <w:top w:val="nil"/>
              <w:left w:val="nil"/>
              <w:bottom w:val="single" w:sz="4" w:space="0" w:color="auto"/>
              <w:right w:val="single" w:sz="4" w:space="0" w:color="auto"/>
            </w:tcBorders>
            <w:shd w:val="clear" w:color="auto" w:fill="auto"/>
            <w:textDirection w:val="btLr"/>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Собственные доходы бюджета с/п</w:t>
            </w:r>
          </w:p>
        </w:tc>
        <w:tc>
          <w:tcPr>
            <w:tcW w:w="313" w:type="pct"/>
            <w:tcBorders>
              <w:top w:val="nil"/>
              <w:left w:val="nil"/>
              <w:bottom w:val="single" w:sz="4" w:space="0" w:color="auto"/>
              <w:right w:val="single" w:sz="4" w:space="0" w:color="auto"/>
            </w:tcBorders>
            <w:shd w:val="clear" w:color="auto" w:fill="auto"/>
            <w:textDirection w:val="btLr"/>
            <w:vAlign w:val="bottom"/>
            <w:hideMark/>
          </w:tcPr>
          <w:p w:rsidR="003529A9"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 xml:space="preserve">Собственные доходы бюджета с/п </w:t>
            </w:r>
          </w:p>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 учетом недоимки</w:t>
            </w:r>
          </w:p>
        </w:tc>
        <w:tc>
          <w:tcPr>
            <w:tcW w:w="312" w:type="pct"/>
            <w:tcBorders>
              <w:top w:val="nil"/>
              <w:left w:val="nil"/>
              <w:bottom w:val="single" w:sz="4" w:space="0" w:color="auto"/>
              <w:right w:val="single" w:sz="4" w:space="0" w:color="auto"/>
            </w:tcBorders>
            <w:shd w:val="clear" w:color="auto" w:fill="auto"/>
            <w:textDirection w:val="btLr"/>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Собственные доходы бюджета с/п</w:t>
            </w:r>
          </w:p>
        </w:tc>
        <w:tc>
          <w:tcPr>
            <w:tcW w:w="312" w:type="pct"/>
            <w:tcBorders>
              <w:top w:val="nil"/>
              <w:left w:val="nil"/>
              <w:bottom w:val="single" w:sz="4" w:space="0" w:color="auto"/>
              <w:right w:val="single" w:sz="4" w:space="0" w:color="auto"/>
            </w:tcBorders>
            <w:shd w:val="clear" w:color="auto" w:fill="auto"/>
            <w:textDirection w:val="btLr"/>
            <w:vAlign w:val="bottom"/>
            <w:hideMark/>
          </w:tcPr>
          <w:p w:rsidR="003529A9"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 xml:space="preserve">Собственные доходы бюджета с/п </w:t>
            </w:r>
          </w:p>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 учетом недоимки</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Бардымское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68%</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73%</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51%</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52%</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44%</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47%</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63%</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68%</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71%</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75%</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85%</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91%</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Березниковское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16%</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25%</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42%</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45%</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34%</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Бичуринское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13%</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21%</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24%</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41%</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44%</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38%</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41%</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Брюзлинское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53%</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53%</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40%</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41%</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23%</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24%</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47%</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49%</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51%</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53%</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35%</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Елпачихинское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43%</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51%</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34%</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34%</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31%</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33%</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45%</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48%</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48%</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56%</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36%</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Красноярское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27%</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28%</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26%</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28%</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31%</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35%</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47%</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51%</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35%</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39%</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Новоашапское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13%</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Печменское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92%</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93%</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90%</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91%</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93%</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94%</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97%</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99%</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97%</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99%</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74%</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77%</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Сарашевское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75%</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77%</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83%</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84%</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74%</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75%</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81%</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83%</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80%</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83%</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55%</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59%</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Тюндюковское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15%</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33%</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37%</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28%</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Федорковское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21%</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26%</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42%</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24%</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29%</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Шермейское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25%</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26%</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Итого</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48%</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50%</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44%</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45%</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40%</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41%</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52%</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55%</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62%</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66%</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50%</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55%</w:t>
            </w:r>
          </w:p>
        </w:tc>
      </w:tr>
    </w:tbl>
    <w:p w:rsidR="00153E07" w:rsidRPr="00153E07" w:rsidRDefault="00153E07" w:rsidP="00153E07">
      <w:pPr>
        <w:spacing w:after="0"/>
        <w:jc w:val="both"/>
        <w:rPr>
          <w:rFonts w:ascii="Times New Roman" w:eastAsia="Times New Roman" w:hAnsi="Times New Roman" w:cs="Times New Roman"/>
          <w:sz w:val="28"/>
          <w:szCs w:val="28"/>
        </w:rPr>
      </w:pPr>
    </w:p>
    <w:p w:rsidR="00153E07" w:rsidRPr="00153E07" w:rsidRDefault="00153E07" w:rsidP="00153E07">
      <w:pPr>
        <w:spacing w:after="0"/>
        <w:ind w:firstLine="709"/>
        <w:jc w:val="both"/>
        <w:rPr>
          <w:rFonts w:ascii="Times New Roman" w:eastAsiaTheme="majorEastAsia" w:hAnsi="Times New Roman" w:cs="Times New Roman"/>
          <w:b/>
          <w:bCs/>
          <w:sz w:val="28"/>
          <w:szCs w:val="28"/>
        </w:rPr>
        <w:sectPr w:rsidR="00153E07" w:rsidRPr="00153E07" w:rsidSect="00153E07">
          <w:pgSz w:w="16838" w:h="11906" w:orient="landscape"/>
          <w:pgMar w:top="1701" w:right="1134" w:bottom="851" w:left="1134" w:header="709" w:footer="709" w:gutter="0"/>
          <w:cols w:space="708"/>
          <w:docGrid w:linePitch="360"/>
        </w:sectPr>
      </w:pPr>
    </w:p>
    <w:p w:rsidR="00153E07" w:rsidRDefault="00153E07" w:rsidP="00980ED1">
      <w:pPr>
        <w:spacing w:after="0" w:line="240" w:lineRule="auto"/>
        <w:jc w:val="both"/>
        <w:rPr>
          <w:rFonts w:ascii="Times New Roman" w:eastAsiaTheme="majorEastAsia" w:hAnsi="Times New Roman" w:cs="Times New Roman"/>
          <w:b/>
          <w:bCs/>
          <w:sz w:val="28"/>
          <w:szCs w:val="28"/>
        </w:rPr>
      </w:pPr>
      <w:r w:rsidRPr="00E3313E">
        <w:rPr>
          <w:rFonts w:ascii="Times New Roman" w:eastAsiaTheme="majorEastAsia" w:hAnsi="Times New Roman" w:cs="Times New Roman"/>
          <w:b/>
          <w:bCs/>
          <w:sz w:val="28"/>
          <w:szCs w:val="28"/>
        </w:rPr>
        <w:lastRenderedPageBreak/>
        <w:t>1.2.17 Историко-культурные и туристские ресурсы</w:t>
      </w:r>
    </w:p>
    <w:p w:rsidR="00127DAF" w:rsidRPr="00E3313E" w:rsidRDefault="00127DAF" w:rsidP="006D2568">
      <w:pPr>
        <w:spacing w:after="0" w:line="240" w:lineRule="auto"/>
        <w:ind w:firstLine="709"/>
        <w:jc w:val="both"/>
        <w:rPr>
          <w:rFonts w:ascii="Times New Roman" w:eastAsiaTheme="majorEastAsia" w:hAnsi="Times New Roman" w:cs="Times New Roman"/>
          <w:b/>
          <w:bCs/>
          <w:sz w:val="28"/>
          <w:szCs w:val="28"/>
        </w:rPr>
      </w:pP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Бардымский муниципальный район обладает богатым историко-культурным потенциалом, который в настоящее время не используется в полном объеме.</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На территории муниципального района было выявлено 64 археологических объекта: древние захоронения, плиточные могильники, древние стоянки и поселения разных эпох (древнейшие относятся к II-III век до нашей эры).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Большая часть археологических памятников общей площадью 1 380 100 кв. м. в основном сосредоточены по берегам реки Тулва (в районе с.н.п. Барда, Краснояр, Султанай, Сараши и т.д.).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Особую ценность представляют государственные памятники истории Пермской области местного значения: Могила хазрата Мансурова - депутата Государственной думы, Здание, где Ш. Сунгалаевым была создана русско-татарская школа; государственные памятники градостроительства и архитектуры Пермской области местного значения: Больница земская, Главный корпус, Амбулатория, Дом врача, Мечеть (из д. Старый Чад), Правление волостное, Школа земская.</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Богатство природными ресурсами определяется природно-климатическими условиями, наличием живописных ландшафтов, водных объектов, ботанических памятников природы регионального значения, а именно: Дубовая гора –  Сарашевская дубрава, Сарашевский сосново-дубовый лес, Бардымская вишневая гора, Красноярская гора, Куземьяровский орешник, Кленовая гора, зарезервированные земли </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Сарашевские дубравы</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 Тулвинский биологический охотничий заказник регионального значения.</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Бардымский район располагает комплексом факторов, способных выступить основой развития внутреннего и въездного туризма.</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Синергетический эффект создают следующие особенности муниципального района:</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природно-климатические условия;</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памятники истории, археологии и культуры (Бардымская соборная мечеть, церковь в с. Печмень, склеп-мавзолей XIX века в д. Танып, Кудашевский могильник памятник эпохи Великого переселения народов Прикамья IV-V век нашей эры (д. Кудаш) и др.),</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 - учреждения культуры (Бардымский районный краеведческий музей и др.),</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 туристская инфраструктура (Санаторий-профилакторий </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Колос</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 учреждения питания, спортивные учреждения и т.д.),</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 горнолыжный комплекс </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Ашатли</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 включающий в себя: кафе, гостиницу, гостевые домики, баня, сауна, и предлагающий услуги: конные прогулки, катамаран, горные лыжи, сноуборд, коньки и т.д.,</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 - ежегодное проведение национальных праздников: </w:t>
      </w:r>
      <w:r w:rsidR="00DE2D0E">
        <w:rPr>
          <w:rFonts w:ascii="Times New Roman" w:eastAsia="Times New Roman" w:hAnsi="Times New Roman" w:cs="Times New Roman"/>
          <w:sz w:val="28"/>
          <w:szCs w:val="28"/>
        </w:rPr>
        <w:t>С</w:t>
      </w:r>
      <w:r w:rsidRPr="00E3313E">
        <w:rPr>
          <w:rFonts w:ascii="Times New Roman" w:eastAsia="Times New Roman" w:hAnsi="Times New Roman" w:cs="Times New Roman"/>
          <w:sz w:val="28"/>
          <w:szCs w:val="28"/>
        </w:rPr>
        <w:t xml:space="preserve">абантуй, </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Барда-зиен</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Рекреационные особенности муниципального района создают предпосылки для создания и развитий культурно-исторического, событийного, спортивного, молодежного туризма, помимо этого позволяют сформировать базу для </w:t>
      </w:r>
      <w:r w:rsidRPr="00E3313E">
        <w:rPr>
          <w:rFonts w:ascii="Times New Roman" w:eastAsia="Times New Roman" w:hAnsi="Times New Roman" w:cs="Times New Roman"/>
          <w:sz w:val="28"/>
          <w:szCs w:val="28"/>
        </w:rPr>
        <w:lastRenderedPageBreak/>
        <w:t>проведения муниципальных мероприятий для популяризации среди населения района здорового образа жизни, спорта, экологического воспитания и т.д.</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На текущий период времени сдерживающими факторами развития культурных и исторических потенциалов района выступают:</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отсутствие целевых программ по развитию внутреннего и въездного туризма,</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недостаточное развитие туристской инфраструктуры,</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отсутствие единой стратегии развития туризма на территории Бардымского муниципального района;</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недостаточное количество подготовленных кадров в сфере туристской индустрии.</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153E07" w:rsidRPr="00E3313E" w:rsidRDefault="00153E07" w:rsidP="006D2568">
      <w:pPr>
        <w:pStyle w:val="1"/>
        <w:numPr>
          <w:ilvl w:val="1"/>
          <w:numId w:val="17"/>
        </w:numPr>
        <w:spacing w:line="240" w:lineRule="auto"/>
      </w:pPr>
      <w:r w:rsidRPr="00E3313E">
        <w:t>Роль и место Бардымского муниципального района в региональной экономике</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Бардымский муниципальный район по основным экономическим показателям занимает 11-15 место среди </w:t>
      </w:r>
      <w:r w:rsidR="00127DAF">
        <w:rPr>
          <w:rFonts w:ascii="Times New Roman" w:eastAsia="Times New Roman" w:hAnsi="Times New Roman" w:cs="Times New Roman"/>
          <w:sz w:val="28"/>
          <w:szCs w:val="28"/>
        </w:rPr>
        <w:t>43</w:t>
      </w:r>
      <w:r w:rsidRPr="00E3313E">
        <w:rPr>
          <w:rFonts w:ascii="Times New Roman" w:eastAsia="Times New Roman" w:hAnsi="Times New Roman" w:cs="Times New Roman"/>
          <w:sz w:val="28"/>
          <w:szCs w:val="28"/>
        </w:rPr>
        <w:t xml:space="preserve"> муниципальных районов Пермского края.</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Район имеет сельскохозяйственную специализацию, что предопределяет основные тенденции в экономике района.</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Так, по объему отгрузки товаров собственного производства, выполненных работ и услуг собственными силами (без субъектов малого предпринимательства) средняя численность работников которых превышает 15 человек Бардымский муниципальный район занял 15 место среди других районов Пермского края, или 2% от общего объема данной продукции по всему субъекту РФ. В 2015 году данный показатель составил 10252 млн. руб., 2016 г. – 10388,5 млн. руб., при этом общая доля в разрезе всего края не изменилась.</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Наибольший объем отгруженных товаров собственного производства, выполненных работ и услуг собственными силами (без субъектов малого предпринимательства) был отмечен в Чайковском муниципальном районе (2015 год – 84160 млн. руб., 2016 г.  – 86776,8 млн. руб., или 20% от объема всего Пермского края). В тройку лидеров также вошли Куединский (2015 год – 39827 млн. руб.., 2016 г. – 38199,5 млн. руб., или 9% от объема данной продукции по всему Пермскому краю) и Добрянский районы (2015 год – 38529,4 млн. руб., 2016 г. – 36643,3 млн. руб., или 9% от объема данной продукции по всему Пермскому краю). Наименьшие показатели были отмечены в Березовском, Большесосновском, Кишертском, Оханском, Сивинском и Чердынском муниципальных районах.</w:t>
      </w:r>
    </w:p>
    <w:p w:rsidR="00E3313E" w:rsidRDefault="00E3313E" w:rsidP="006D2568">
      <w:pPr>
        <w:spacing w:after="0" w:line="240" w:lineRule="auto"/>
        <w:ind w:firstLine="709"/>
        <w:jc w:val="right"/>
        <w:rPr>
          <w:rFonts w:ascii="Times New Roman" w:eastAsia="Times New Roman" w:hAnsi="Times New Roman" w:cs="Times New Roman"/>
          <w:sz w:val="28"/>
          <w:szCs w:val="28"/>
        </w:rPr>
      </w:pPr>
    </w:p>
    <w:p w:rsidR="00E21B77" w:rsidRDefault="00E21B77" w:rsidP="006D2568">
      <w:pPr>
        <w:spacing w:after="0" w:line="240" w:lineRule="auto"/>
        <w:ind w:firstLine="709"/>
        <w:jc w:val="right"/>
        <w:rPr>
          <w:rFonts w:ascii="Times New Roman" w:eastAsia="Times New Roman" w:hAnsi="Times New Roman" w:cs="Times New Roman"/>
          <w:sz w:val="28"/>
          <w:szCs w:val="28"/>
        </w:rPr>
      </w:pPr>
    </w:p>
    <w:p w:rsidR="00E21B77" w:rsidRDefault="00E21B77" w:rsidP="006D2568">
      <w:pPr>
        <w:spacing w:after="0" w:line="240" w:lineRule="auto"/>
        <w:ind w:firstLine="709"/>
        <w:jc w:val="right"/>
        <w:rPr>
          <w:rFonts w:ascii="Times New Roman" w:eastAsia="Times New Roman" w:hAnsi="Times New Roman" w:cs="Times New Roman"/>
          <w:sz w:val="28"/>
          <w:szCs w:val="28"/>
        </w:rPr>
      </w:pPr>
    </w:p>
    <w:p w:rsidR="00E21B77" w:rsidRDefault="00E21B77" w:rsidP="006D2568">
      <w:pPr>
        <w:spacing w:after="0" w:line="240" w:lineRule="auto"/>
        <w:ind w:firstLine="709"/>
        <w:jc w:val="right"/>
        <w:rPr>
          <w:rFonts w:ascii="Times New Roman" w:eastAsia="Times New Roman" w:hAnsi="Times New Roman" w:cs="Times New Roman"/>
          <w:sz w:val="28"/>
          <w:szCs w:val="28"/>
        </w:rPr>
      </w:pPr>
    </w:p>
    <w:p w:rsidR="00E21B77" w:rsidRDefault="00E21B77" w:rsidP="006D2568">
      <w:pPr>
        <w:spacing w:after="0" w:line="240" w:lineRule="auto"/>
        <w:ind w:firstLine="709"/>
        <w:jc w:val="right"/>
        <w:rPr>
          <w:rFonts w:ascii="Times New Roman" w:eastAsia="Times New Roman" w:hAnsi="Times New Roman" w:cs="Times New Roman"/>
          <w:sz w:val="28"/>
          <w:szCs w:val="28"/>
        </w:rPr>
      </w:pPr>
    </w:p>
    <w:p w:rsidR="00E21B77" w:rsidRDefault="00E21B77" w:rsidP="006D2568">
      <w:pPr>
        <w:spacing w:after="0" w:line="240" w:lineRule="auto"/>
        <w:ind w:firstLine="709"/>
        <w:jc w:val="right"/>
        <w:rPr>
          <w:rFonts w:ascii="Times New Roman" w:eastAsia="Times New Roman" w:hAnsi="Times New Roman" w:cs="Times New Roman"/>
          <w:sz w:val="28"/>
          <w:szCs w:val="28"/>
        </w:rPr>
      </w:pPr>
    </w:p>
    <w:p w:rsidR="00E21B77" w:rsidRDefault="00E21B77" w:rsidP="006D2568">
      <w:pPr>
        <w:spacing w:after="0" w:line="240" w:lineRule="auto"/>
        <w:ind w:firstLine="709"/>
        <w:jc w:val="right"/>
        <w:rPr>
          <w:rFonts w:ascii="Times New Roman" w:eastAsia="Times New Roman" w:hAnsi="Times New Roman" w:cs="Times New Roman"/>
          <w:sz w:val="28"/>
          <w:szCs w:val="28"/>
        </w:rPr>
      </w:pPr>
    </w:p>
    <w:p w:rsidR="00153E07" w:rsidRPr="00E3313E" w:rsidRDefault="00153E07" w:rsidP="006D2568">
      <w:pPr>
        <w:spacing w:after="0" w:line="240" w:lineRule="auto"/>
        <w:ind w:firstLine="709"/>
        <w:jc w:val="right"/>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lastRenderedPageBreak/>
        <w:t>Таблица 1.2</w:t>
      </w:r>
      <w:r w:rsidR="00127DAF">
        <w:rPr>
          <w:rFonts w:ascii="Times New Roman" w:eastAsia="Times New Roman" w:hAnsi="Times New Roman" w:cs="Times New Roman"/>
          <w:sz w:val="28"/>
          <w:szCs w:val="28"/>
        </w:rPr>
        <w:t>6</w:t>
      </w:r>
    </w:p>
    <w:p w:rsidR="00153E07" w:rsidRPr="00E3313E" w:rsidRDefault="00153E07" w:rsidP="006D2568">
      <w:pPr>
        <w:spacing w:after="0" w:line="240" w:lineRule="auto"/>
        <w:ind w:firstLine="709"/>
        <w:jc w:val="center"/>
        <w:rPr>
          <w:rFonts w:ascii="Times New Roman" w:eastAsia="Times New Roman" w:hAnsi="Times New Roman" w:cs="Times New Roman"/>
          <w:b/>
          <w:sz w:val="28"/>
          <w:szCs w:val="28"/>
        </w:rPr>
      </w:pPr>
      <w:r w:rsidRPr="00E3313E">
        <w:rPr>
          <w:rFonts w:ascii="Times New Roman" w:eastAsia="Times New Roman" w:hAnsi="Times New Roman" w:cs="Times New Roman"/>
          <w:b/>
          <w:sz w:val="28"/>
          <w:szCs w:val="28"/>
        </w:rPr>
        <w:t>Отгрузка товаров собственного производства, выполненных работ и услуг собственными силами (без субъектов малого предпринимательства), средняя численность работников которых превышает 15 человек, по основному виду экономической деятельности (до 2017 года), млн. рублей</w:t>
      </w:r>
    </w:p>
    <w:tbl>
      <w:tblPr>
        <w:tblW w:w="5000" w:type="pct"/>
        <w:tblLook w:val="04A0"/>
      </w:tblPr>
      <w:tblGrid>
        <w:gridCol w:w="4777"/>
        <w:gridCol w:w="1924"/>
        <w:gridCol w:w="963"/>
        <w:gridCol w:w="1650"/>
        <w:gridCol w:w="823"/>
      </w:tblGrid>
      <w:tr w:rsidR="00153E07" w:rsidRPr="00E3313E" w:rsidTr="00153E07">
        <w:trPr>
          <w:trHeight w:val="315"/>
        </w:trPr>
        <w:tc>
          <w:tcPr>
            <w:tcW w:w="23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F405EC" w:rsidRDefault="00153E07" w:rsidP="00E21B77">
            <w:pPr>
              <w:spacing w:after="0" w:line="240" w:lineRule="auto"/>
              <w:jc w:val="center"/>
              <w:rPr>
                <w:rFonts w:ascii="Times New Roman" w:eastAsia="Times New Roman" w:hAnsi="Times New Roman" w:cs="Times New Roman"/>
                <w:b/>
                <w:bCs/>
                <w:color w:val="000000"/>
                <w:sz w:val="24"/>
                <w:szCs w:val="24"/>
              </w:rPr>
            </w:pPr>
            <w:r w:rsidRPr="00F405EC">
              <w:rPr>
                <w:rFonts w:ascii="Times New Roman" w:eastAsia="Times New Roman" w:hAnsi="Times New Roman" w:cs="Times New Roman"/>
                <w:b/>
                <w:bCs/>
                <w:color w:val="000000"/>
                <w:sz w:val="24"/>
                <w:szCs w:val="24"/>
              </w:rPr>
              <w:t>Муниципальный район</w:t>
            </w:r>
          </w:p>
        </w:tc>
        <w:tc>
          <w:tcPr>
            <w:tcW w:w="1424" w:type="pct"/>
            <w:gridSpan w:val="2"/>
            <w:tcBorders>
              <w:top w:val="single" w:sz="4" w:space="0" w:color="auto"/>
              <w:left w:val="nil"/>
              <w:bottom w:val="single" w:sz="4" w:space="0" w:color="auto"/>
              <w:right w:val="single" w:sz="4" w:space="0" w:color="auto"/>
            </w:tcBorders>
            <w:shd w:val="clear" w:color="auto" w:fill="auto"/>
            <w:vAlign w:val="center"/>
            <w:hideMark/>
          </w:tcPr>
          <w:p w:rsidR="00153E07" w:rsidRPr="00F405EC" w:rsidRDefault="00153E07" w:rsidP="006D2568">
            <w:pPr>
              <w:spacing w:after="0" w:line="240" w:lineRule="auto"/>
              <w:jc w:val="both"/>
              <w:rPr>
                <w:rFonts w:ascii="Times New Roman" w:eastAsia="Times New Roman" w:hAnsi="Times New Roman" w:cs="Times New Roman"/>
                <w:b/>
                <w:bCs/>
                <w:color w:val="000000"/>
                <w:sz w:val="24"/>
                <w:szCs w:val="24"/>
              </w:rPr>
            </w:pPr>
            <w:r w:rsidRPr="00F405EC">
              <w:rPr>
                <w:rFonts w:ascii="Times New Roman" w:eastAsia="Times New Roman" w:hAnsi="Times New Roman" w:cs="Times New Roman"/>
                <w:b/>
                <w:bCs/>
                <w:color w:val="000000"/>
                <w:sz w:val="24"/>
                <w:szCs w:val="24"/>
              </w:rPr>
              <w:t>2015</w:t>
            </w:r>
          </w:p>
        </w:tc>
        <w:tc>
          <w:tcPr>
            <w:tcW w:w="1220" w:type="pct"/>
            <w:gridSpan w:val="2"/>
            <w:tcBorders>
              <w:top w:val="single" w:sz="4" w:space="0" w:color="auto"/>
              <w:left w:val="nil"/>
              <w:bottom w:val="single" w:sz="4" w:space="0" w:color="auto"/>
              <w:right w:val="single" w:sz="4" w:space="0" w:color="auto"/>
            </w:tcBorders>
            <w:shd w:val="clear" w:color="auto" w:fill="auto"/>
            <w:vAlign w:val="center"/>
            <w:hideMark/>
          </w:tcPr>
          <w:p w:rsidR="00153E07" w:rsidRPr="00F405EC" w:rsidRDefault="00153E07" w:rsidP="006D2568">
            <w:pPr>
              <w:spacing w:after="0" w:line="240" w:lineRule="auto"/>
              <w:jc w:val="both"/>
              <w:rPr>
                <w:rFonts w:ascii="Times New Roman" w:eastAsia="Times New Roman" w:hAnsi="Times New Roman" w:cs="Times New Roman"/>
                <w:b/>
                <w:bCs/>
                <w:color w:val="000000"/>
                <w:sz w:val="24"/>
                <w:szCs w:val="24"/>
              </w:rPr>
            </w:pPr>
            <w:r w:rsidRPr="00F405EC">
              <w:rPr>
                <w:rFonts w:ascii="Times New Roman" w:eastAsia="Times New Roman" w:hAnsi="Times New Roman" w:cs="Times New Roman"/>
                <w:b/>
                <w:bCs/>
                <w:color w:val="000000"/>
                <w:sz w:val="24"/>
                <w:szCs w:val="24"/>
              </w:rPr>
              <w:t>2016</w:t>
            </w:r>
          </w:p>
        </w:tc>
      </w:tr>
      <w:tr w:rsidR="00153E07" w:rsidRPr="00E3313E" w:rsidTr="00153E07">
        <w:trPr>
          <w:trHeight w:val="630"/>
        </w:trPr>
        <w:tc>
          <w:tcPr>
            <w:tcW w:w="2356" w:type="pct"/>
            <w:vMerge/>
            <w:tcBorders>
              <w:top w:val="single" w:sz="4" w:space="0" w:color="auto"/>
              <w:left w:val="single" w:sz="4" w:space="0" w:color="auto"/>
              <w:bottom w:val="single" w:sz="4" w:space="0" w:color="auto"/>
              <w:right w:val="single" w:sz="4" w:space="0" w:color="auto"/>
            </w:tcBorders>
            <w:vAlign w:val="center"/>
            <w:hideMark/>
          </w:tcPr>
          <w:p w:rsidR="00153E07" w:rsidRPr="00F405EC" w:rsidRDefault="00153E07" w:rsidP="006D2568">
            <w:pPr>
              <w:spacing w:after="0" w:line="240" w:lineRule="auto"/>
              <w:jc w:val="both"/>
              <w:rPr>
                <w:rFonts w:ascii="Times New Roman" w:eastAsia="Times New Roman" w:hAnsi="Times New Roman" w:cs="Times New Roman"/>
                <w:b/>
                <w:bCs/>
                <w:color w:val="000000"/>
                <w:sz w:val="24"/>
                <w:szCs w:val="24"/>
              </w:rPr>
            </w:pPr>
          </w:p>
        </w:tc>
        <w:tc>
          <w:tcPr>
            <w:tcW w:w="949" w:type="pct"/>
            <w:tcBorders>
              <w:top w:val="nil"/>
              <w:left w:val="nil"/>
              <w:bottom w:val="single" w:sz="4" w:space="0" w:color="auto"/>
              <w:right w:val="single" w:sz="4" w:space="0" w:color="auto"/>
            </w:tcBorders>
            <w:shd w:val="clear" w:color="auto" w:fill="auto"/>
            <w:vAlign w:val="center"/>
            <w:hideMark/>
          </w:tcPr>
          <w:p w:rsidR="00153E07" w:rsidRPr="00F405EC" w:rsidRDefault="00153E07" w:rsidP="006D2568">
            <w:pPr>
              <w:spacing w:after="0" w:line="240" w:lineRule="auto"/>
              <w:jc w:val="both"/>
              <w:rPr>
                <w:rFonts w:ascii="Times New Roman" w:eastAsia="Times New Roman" w:hAnsi="Times New Roman" w:cs="Times New Roman"/>
                <w:b/>
                <w:bCs/>
                <w:color w:val="000000"/>
                <w:sz w:val="24"/>
                <w:szCs w:val="24"/>
              </w:rPr>
            </w:pPr>
            <w:r w:rsidRPr="00F405EC">
              <w:rPr>
                <w:rFonts w:ascii="Times New Roman" w:eastAsia="Times New Roman" w:hAnsi="Times New Roman" w:cs="Times New Roman"/>
                <w:b/>
                <w:bCs/>
                <w:color w:val="000000"/>
                <w:sz w:val="24"/>
                <w:szCs w:val="24"/>
              </w:rPr>
              <w:t>млн. руб.</w:t>
            </w:r>
          </w:p>
        </w:tc>
        <w:tc>
          <w:tcPr>
            <w:tcW w:w="475" w:type="pct"/>
            <w:tcBorders>
              <w:top w:val="nil"/>
              <w:left w:val="nil"/>
              <w:bottom w:val="single" w:sz="4" w:space="0" w:color="auto"/>
              <w:right w:val="single" w:sz="4" w:space="0" w:color="auto"/>
            </w:tcBorders>
            <w:shd w:val="clear" w:color="auto" w:fill="auto"/>
            <w:vAlign w:val="center"/>
            <w:hideMark/>
          </w:tcPr>
          <w:p w:rsidR="00153E07" w:rsidRPr="00F405EC" w:rsidRDefault="00153E07" w:rsidP="006D2568">
            <w:pPr>
              <w:spacing w:after="0" w:line="240" w:lineRule="auto"/>
              <w:jc w:val="both"/>
              <w:rPr>
                <w:rFonts w:ascii="Times New Roman" w:eastAsia="Times New Roman" w:hAnsi="Times New Roman" w:cs="Times New Roman"/>
                <w:b/>
                <w:bCs/>
                <w:color w:val="000000"/>
                <w:sz w:val="24"/>
                <w:szCs w:val="24"/>
              </w:rPr>
            </w:pPr>
            <w:r w:rsidRPr="00F405EC">
              <w:rPr>
                <w:rFonts w:ascii="Times New Roman" w:eastAsia="Times New Roman" w:hAnsi="Times New Roman" w:cs="Times New Roman"/>
                <w:b/>
                <w:bCs/>
                <w:color w:val="000000"/>
                <w:sz w:val="24"/>
                <w:szCs w:val="24"/>
              </w:rPr>
              <w:t>%</w:t>
            </w:r>
          </w:p>
        </w:tc>
        <w:tc>
          <w:tcPr>
            <w:tcW w:w="814" w:type="pct"/>
            <w:tcBorders>
              <w:top w:val="nil"/>
              <w:left w:val="nil"/>
              <w:bottom w:val="single" w:sz="4" w:space="0" w:color="auto"/>
              <w:right w:val="single" w:sz="4" w:space="0" w:color="auto"/>
            </w:tcBorders>
            <w:shd w:val="clear" w:color="auto" w:fill="auto"/>
            <w:vAlign w:val="center"/>
            <w:hideMark/>
          </w:tcPr>
          <w:p w:rsidR="00153E07" w:rsidRPr="00F405EC" w:rsidRDefault="00153E07" w:rsidP="006D2568">
            <w:pPr>
              <w:spacing w:after="0" w:line="240" w:lineRule="auto"/>
              <w:jc w:val="both"/>
              <w:rPr>
                <w:rFonts w:ascii="Times New Roman" w:eastAsia="Times New Roman" w:hAnsi="Times New Roman" w:cs="Times New Roman"/>
                <w:b/>
                <w:bCs/>
                <w:color w:val="000000"/>
                <w:sz w:val="24"/>
                <w:szCs w:val="24"/>
              </w:rPr>
            </w:pPr>
            <w:r w:rsidRPr="00F405EC">
              <w:rPr>
                <w:rFonts w:ascii="Times New Roman" w:eastAsia="Times New Roman" w:hAnsi="Times New Roman" w:cs="Times New Roman"/>
                <w:b/>
                <w:bCs/>
                <w:color w:val="000000"/>
                <w:sz w:val="24"/>
                <w:szCs w:val="24"/>
              </w:rPr>
              <w:t>млн. руб.</w:t>
            </w:r>
          </w:p>
        </w:tc>
        <w:tc>
          <w:tcPr>
            <w:tcW w:w="407" w:type="pct"/>
            <w:tcBorders>
              <w:top w:val="nil"/>
              <w:left w:val="nil"/>
              <w:bottom w:val="single" w:sz="4" w:space="0" w:color="auto"/>
              <w:right w:val="single" w:sz="4" w:space="0" w:color="auto"/>
            </w:tcBorders>
            <w:shd w:val="clear" w:color="auto" w:fill="auto"/>
            <w:vAlign w:val="center"/>
            <w:hideMark/>
          </w:tcPr>
          <w:p w:rsidR="00153E07" w:rsidRPr="00F405EC" w:rsidRDefault="00153E07" w:rsidP="006D2568">
            <w:pPr>
              <w:spacing w:after="0" w:line="240" w:lineRule="auto"/>
              <w:jc w:val="both"/>
              <w:rPr>
                <w:rFonts w:ascii="Times New Roman" w:eastAsia="Times New Roman" w:hAnsi="Times New Roman" w:cs="Times New Roman"/>
                <w:b/>
                <w:bCs/>
                <w:color w:val="000000"/>
                <w:sz w:val="24"/>
                <w:szCs w:val="24"/>
              </w:rPr>
            </w:pPr>
            <w:r w:rsidRPr="00F405EC">
              <w:rPr>
                <w:rFonts w:ascii="Times New Roman" w:eastAsia="Times New Roman" w:hAnsi="Times New Roman" w:cs="Times New Roman"/>
                <w:b/>
                <w:bCs/>
                <w:color w:val="000000"/>
                <w:sz w:val="24"/>
                <w:szCs w:val="24"/>
              </w:rPr>
              <w:t>%</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Бардымский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10252,02</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10388,5</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E97C6A" w:rsidP="006D256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Бардымс</w:t>
            </w:r>
            <w:r w:rsidR="00153E07" w:rsidRPr="00E3313E">
              <w:rPr>
                <w:rFonts w:ascii="Times New Roman" w:eastAsia="Times New Roman" w:hAnsi="Times New Roman" w:cs="Times New Roman"/>
                <w:color w:val="000000"/>
                <w:sz w:val="24"/>
                <w:szCs w:val="24"/>
              </w:rPr>
              <w:t xml:space="preserve">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10548,95</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10713,1</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Березовский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448,48</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609,15</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Большесосновский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200,5</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167,45</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Верещагинский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4468,56</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4787,99</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Горнозаводский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6997,18</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8044,77</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Гремячинский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635,86</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529,18</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Добрянский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38529,37</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9%</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36643,3</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9%</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Еловский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1206,3</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1143,29</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Ильинский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1229,95</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1149,53</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Карагайский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1133,68</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1355,56</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Кизеловский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1208,64</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735,63</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Кишертский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356,38</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495,88</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Красновишерский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9899,35</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9017,14</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Краснокамский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19938,19</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5%</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20584,5</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5%</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Куединский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39827,04</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9%</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38199,5</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9%</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Кунгурский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8943,29</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8757,66</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Нытвенский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12273,83</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13378,8</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Октябрьский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17590,06</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17398,4</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Ординский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6119,6</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6732,82</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Осинский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15796,29</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15794,8</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Оханский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534,38</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471,76</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Очерский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1816,65</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1784,68</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Пермский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16903,02</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23144,5</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5%</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Сивинский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580,72</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513,13</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Соликамский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10004,09</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10777,3</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Суксунский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1877,8</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2068,63</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Уинский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7115,56</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8252,49</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Усольский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41392,16</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37810</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9%</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Чайковский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84160,05</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86776,7</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Частинский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11995,97</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12361,3</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Чердынский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261,33</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224,69</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Чернушинский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27098</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6%</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27875,1</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7%</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Чусовской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8893,46</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9019,83</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Итого</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420236,7</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100%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427707</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100%</w:t>
            </w:r>
          </w:p>
        </w:tc>
      </w:tr>
    </w:tbl>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lastRenderedPageBreak/>
        <w:t>По данным Федеральной службы государственной статистики в 2016 году Бардымский район занимал 12 место по объему товаров несобственного производства (без субъектов малого предпринимательства), что составило 1% от общего объема товаров по всему Пермскому краю. На протяжении последних 3 лет доля в совокупном объеме продаж товаров несобственного производства (без субъектов малого предпринимательства) была неизменна.</w:t>
      </w:r>
    </w:p>
    <w:p w:rsidR="00153E07" w:rsidRPr="00E3313E" w:rsidRDefault="00153E07" w:rsidP="00E21B77">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Лидирующие позиции в 2016 году заняли </w:t>
      </w:r>
      <w:r w:rsidR="00E97C6A">
        <w:rPr>
          <w:rFonts w:ascii="Times New Roman" w:eastAsia="Times New Roman" w:hAnsi="Times New Roman" w:cs="Times New Roman"/>
          <w:sz w:val="28"/>
          <w:szCs w:val="28"/>
        </w:rPr>
        <w:t>Бардымс</w:t>
      </w:r>
      <w:r w:rsidRPr="00E3313E">
        <w:rPr>
          <w:rFonts w:ascii="Times New Roman" w:eastAsia="Times New Roman" w:hAnsi="Times New Roman" w:cs="Times New Roman"/>
          <w:sz w:val="28"/>
          <w:szCs w:val="28"/>
        </w:rPr>
        <w:t>кий, Пермский и Чайковский муниципальные районы, их показатели составили 10722,2 млн. руб., 9177,3 млн. руб. и 11155,8 млн. руб. соответственно, или 21%, 18% и 22% от общего объема продаж товаров несобственного производства (без субъектов малого предпринимательства).</w:t>
      </w:r>
    </w:p>
    <w:p w:rsidR="00153E07" w:rsidRPr="00E3313E" w:rsidRDefault="00E21B77" w:rsidP="00153E07">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6432" behindDoc="0" locked="0" layoutInCell="1" allowOverlap="1">
            <wp:simplePos x="0" y="0"/>
            <wp:positionH relativeFrom="margin">
              <wp:posOffset>137794</wp:posOffset>
            </wp:positionH>
            <wp:positionV relativeFrom="paragraph">
              <wp:posOffset>36195</wp:posOffset>
            </wp:positionV>
            <wp:extent cx="6257925" cy="2486025"/>
            <wp:effectExtent l="0" t="0" r="0" b="0"/>
            <wp:wrapNone/>
            <wp:docPr id="2202"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E3313E" w:rsidRDefault="00E3313E" w:rsidP="00153E07">
      <w:pPr>
        <w:spacing w:after="0"/>
        <w:ind w:firstLine="709"/>
        <w:jc w:val="both"/>
        <w:rPr>
          <w:rFonts w:ascii="Times New Roman" w:eastAsia="Times New Roman" w:hAnsi="Times New Roman" w:cs="Times New Roman"/>
          <w:sz w:val="28"/>
          <w:szCs w:val="28"/>
        </w:rPr>
      </w:pPr>
    </w:p>
    <w:p w:rsidR="00E3313E" w:rsidRDefault="00E3313E" w:rsidP="00153E07">
      <w:pPr>
        <w:spacing w:after="0"/>
        <w:ind w:firstLine="709"/>
        <w:jc w:val="both"/>
        <w:rPr>
          <w:rFonts w:ascii="Times New Roman" w:eastAsia="Times New Roman" w:hAnsi="Times New Roman" w:cs="Times New Roman"/>
          <w:sz w:val="28"/>
          <w:szCs w:val="28"/>
        </w:rPr>
      </w:pPr>
    </w:p>
    <w:p w:rsidR="00153E07" w:rsidRPr="00127DAF" w:rsidRDefault="00E3313E" w:rsidP="006D2568">
      <w:pPr>
        <w:spacing w:after="0" w:line="240" w:lineRule="auto"/>
        <w:ind w:firstLine="709"/>
        <w:jc w:val="both"/>
        <w:rPr>
          <w:rFonts w:ascii="Times New Roman" w:eastAsia="Times New Roman" w:hAnsi="Times New Roman" w:cs="Times New Roman"/>
          <w:b/>
          <w:sz w:val="28"/>
          <w:szCs w:val="28"/>
        </w:rPr>
      </w:pPr>
      <w:r w:rsidRPr="00127DAF">
        <w:rPr>
          <w:rFonts w:ascii="Times New Roman" w:eastAsia="Times New Roman" w:hAnsi="Times New Roman" w:cs="Times New Roman"/>
          <w:b/>
          <w:sz w:val="28"/>
          <w:szCs w:val="28"/>
        </w:rPr>
        <w:t>Ри</w:t>
      </w:r>
      <w:r w:rsidR="00153E07" w:rsidRPr="00127DAF">
        <w:rPr>
          <w:rFonts w:ascii="Times New Roman" w:eastAsia="Times New Roman" w:hAnsi="Times New Roman" w:cs="Times New Roman"/>
          <w:b/>
          <w:sz w:val="28"/>
          <w:szCs w:val="28"/>
        </w:rPr>
        <w:t>сунок 1.</w:t>
      </w:r>
      <w:r w:rsidR="00127DAF" w:rsidRPr="00127DAF">
        <w:rPr>
          <w:rFonts w:ascii="Times New Roman" w:eastAsia="Times New Roman" w:hAnsi="Times New Roman" w:cs="Times New Roman"/>
          <w:b/>
          <w:sz w:val="28"/>
          <w:szCs w:val="28"/>
        </w:rPr>
        <w:t>77</w:t>
      </w:r>
      <w:r w:rsidR="00153E07" w:rsidRPr="00127DAF">
        <w:rPr>
          <w:rFonts w:ascii="Times New Roman" w:eastAsia="Times New Roman" w:hAnsi="Times New Roman" w:cs="Times New Roman"/>
          <w:b/>
          <w:sz w:val="28"/>
          <w:szCs w:val="28"/>
        </w:rPr>
        <w:t>. Отгрузка товаров собственного производства, выполненных работ и услуг собственными силами (без субъектов малого предпринимательства), средняя численность работников которых превышает 15 человек, по основному виду экономической деятельности (до 2017 года), млн. рублей</w:t>
      </w:r>
    </w:p>
    <w:p w:rsidR="00153E07" w:rsidRPr="00E3313E" w:rsidRDefault="00153E07" w:rsidP="00153E07">
      <w:pPr>
        <w:spacing w:after="0"/>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noProof/>
          <w:sz w:val="28"/>
          <w:szCs w:val="28"/>
        </w:rPr>
        <w:drawing>
          <wp:inline distT="0" distB="0" distL="0" distR="0">
            <wp:extent cx="5800725" cy="2781300"/>
            <wp:effectExtent l="0" t="0" r="0" b="0"/>
            <wp:docPr id="2203"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153E07" w:rsidRPr="00127DAF" w:rsidRDefault="00153E07" w:rsidP="006D2568">
      <w:pPr>
        <w:spacing w:after="0" w:line="240" w:lineRule="auto"/>
        <w:ind w:firstLine="709"/>
        <w:jc w:val="both"/>
        <w:rPr>
          <w:rFonts w:ascii="Times New Roman" w:eastAsia="Times New Roman" w:hAnsi="Times New Roman" w:cs="Times New Roman"/>
          <w:b/>
          <w:sz w:val="28"/>
          <w:szCs w:val="28"/>
        </w:rPr>
      </w:pPr>
      <w:r w:rsidRPr="00127DAF">
        <w:rPr>
          <w:rFonts w:ascii="Times New Roman" w:eastAsia="Times New Roman" w:hAnsi="Times New Roman" w:cs="Times New Roman"/>
          <w:b/>
          <w:sz w:val="28"/>
          <w:szCs w:val="28"/>
        </w:rPr>
        <w:t>Рисунок 1.</w:t>
      </w:r>
      <w:r w:rsidR="00127DAF" w:rsidRPr="00127DAF">
        <w:rPr>
          <w:rFonts w:ascii="Times New Roman" w:eastAsia="Times New Roman" w:hAnsi="Times New Roman" w:cs="Times New Roman"/>
          <w:b/>
          <w:sz w:val="28"/>
          <w:szCs w:val="28"/>
        </w:rPr>
        <w:t>78</w:t>
      </w:r>
      <w:r w:rsidRPr="00127DAF">
        <w:rPr>
          <w:rFonts w:ascii="Times New Roman" w:eastAsia="Times New Roman" w:hAnsi="Times New Roman" w:cs="Times New Roman"/>
          <w:b/>
          <w:sz w:val="28"/>
          <w:szCs w:val="28"/>
        </w:rPr>
        <w:t>. Показатели муниципальных районов Пермского края по продажам товаров несобственного производства (без субъектов малого предпринимательства) в 2016 г., млн. руб.</w:t>
      </w:r>
    </w:p>
    <w:p w:rsidR="00153E07" w:rsidRPr="00E3313E" w:rsidRDefault="00153E07" w:rsidP="006D2568">
      <w:pPr>
        <w:spacing w:after="0" w:line="240" w:lineRule="auto"/>
        <w:ind w:firstLine="709"/>
        <w:jc w:val="right"/>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lastRenderedPageBreak/>
        <w:t>Таблица 1.2</w:t>
      </w:r>
      <w:r w:rsidR="00127DAF">
        <w:rPr>
          <w:rFonts w:ascii="Times New Roman" w:eastAsia="Times New Roman" w:hAnsi="Times New Roman" w:cs="Times New Roman"/>
          <w:sz w:val="28"/>
          <w:szCs w:val="28"/>
        </w:rPr>
        <w:t>7</w:t>
      </w:r>
    </w:p>
    <w:p w:rsidR="00153E07" w:rsidRPr="00E3313E" w:rsidRDefault="00153E07" w:rsidP="006D2568">
      <w:pPr>
        <w:spacing w:after="0" w:line="240" w:lineRule="auto"/>
        <w:ind w:firstLine="709"/>
        <w:jc w:val="center"/>
        <w:rPr>
          <w:rFonts w:ascii="Times New Roman" w:eastAsia="Times New Roman" w:hAnsi="Times New Roman" w:cs="Times New Roman"/>
          <w:b/>
          <w:sz w:val="28"/>
          <w:szCs w:val="28"/>
        </w:rPr>
      </w:pPr>
      <w:r w:rsidRPr="00E3313E">
        <w:rPr>
          <w:rFonts w:ascii="Times New Roman" w:eastAsia="Times New Roman" w:hAnsi="Times New Roman" w:cs="Times New Roman"/>
          <w:b/>
          <w:sz w:val="28"/>
          <w:szCs w:val="28"/>
        </w:rPr>
        <w:t>Показатели муниципальных районов Пермского края по продажам товаров несобственного производства (без субъектов малого предпринимательства), млн. руб.</w:t>
      </w:r>
    </w:p>
    <w:tbl>
      <w:tblPr>
        <w:tblW w:w="5000" w:type="pct"/>
        <w:tblLook w:val="04A0"/>
      </w:tblPr>
      <w:tblGrid>
        <w:gridCol w:w="3107"/>
        <w:gridCol w:w="1561"/>
        <w:gridCol w:w="783"/>
        <w:gridCol w:w="1561"/>
        <w:gridCol w:w="783"/>
        <w:gridCol w:w="1561"/>
        <w:gridCol w:w="781"/>
      </w:tblGrid>
      <w:tr w:rsidR="00153E07" w:rsidRPr="002A61CE" w:rsidTr="00153E07">
        <w:trPr>
          <w:trHeight w:val="315"/>
        </w:trPr>
        <w:tc>
          <w:tcPr>
            <w:tcW w:w="15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b/>
                <w:bCs/>
                <w:color w:val="000000"/>
                <w:sz w:val="24"/>
                <w:szCs w:val="28"/>
              </w:rPr>
            </w:pPr>
            <w:r w:rsidRPr="002A61CE">
              <w:rPr>
                <w:rFonts w:ascii="Times New Roman" w:eastAsia="Times New Roman" w:hAnsi="Times New Roman" w:cs="Times New Roman"/>
                <w:b/>
                <w:bCs/>
                <w:color w:val="000000"/>
                <w:sz w:val="24"/>
                <w:szCs w:val="28"/>
              </w:rPr>
              <w:t>Муниципальный район</w:t>
            </w:r>
          </w:p>
        </w:tc>
        <w:tc>
          <w:tcPr>
            <w:tcW w:w="1156" w:type="pct"/>
            <w:gridSpan w:val="2"/>
            <w:tcBorders>
              <w:top w:val="single" w:sz="4" w:space="0" w:color="auto"/>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b/>
                <w:bCs/>
                <w:color w:val="000000"/>
                <w:sz w:val="24"/>
                <w:szCs w:val="28"/>
              </w:rPr>
            </w:pPr>
            <w:r w:rsidRPr="002A61CE">
              <w:rPr>
                <w:rFonts w:ascii="Times New Roman" w:eastAsia="Times New Roman" w:hAnsi="Times New Roman" w:cs="Times New Roman"/>
                <w:b/>
                <w:bCs/>
                <w:color w:val="000000"/>
                <w:sz w:val="24"/>
                <w:szCs w:val="28"/>
              </w:rPr>
              <w:t>2014</w:t>
            </w:r>
          </w:p>
        </w:tc>
        <w:tc>
          <w:tcPr>
            <w:tcW w:w="1156" w:type="pct"/>
            <w:gridSpan w:val="2"/>
            <w:tcBorders>
              <w:top w:val="single" w:sz="4" w:space="0" w:color="auto"/>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b/>
                <w:bCs/>
                <w:color w:val="000000"/>
                <w:sz w:val="24"/>
                <w:szCs w:val="28"/>
              </w:rPr>
            </w:pPr>
            <w:r w:rsidRPr="002A61CE">
              <w:rPr>
                <w:rFonts w:ascii="Times New Roman" w:eastAsia="Times New Roman" w:hAnsi="Times New Roman" w:cs="Times New Roman"/>
                <w:b/>
                <w:bCs/>
                <w:color w:val="000000"/>
                <w:sz w:val="24"/>
                <w:szCs w:val="28"/>
              </w:rPr>
              <w:t>2015</w:t>
            </w:r>
          </w:p>
        </w:tc>
        <w:tc>
          <w:tcPr>
            <w:tcW w:w="1156" w:type="pct"/>
            <w:gridSpan w:val="2"/>
            <w:tcBorders>
              <w:top w:val="single" w:sz="4" w:space="0" w:color="auto"/>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b/>
                <w:bCs/>
                <w:color w:val="000000"/>
                <w:sz w:val="24"/>
                <w:szCs w:val="28"/>
              </w:rPr>
            </w:pPr>
            <w:r w:rsidRPr="002A61CE">
              <w:rPr>
                <w:rFonts w:ascii="Times New Roman" w:eastAsia="Times New Roman" w:hAnsi="Times New Roman" w:cs="Times New Roman"/>
                <w:b/>
                <w:bCs/>
                <w:color w:val="000000"/>
                <w:sz w:val="24"/>
                <w:szCs w:val="28"/>
              </w:rPr>
              <w:t>2016</w:t>
            </w:r>
          </w:p>
        </w:tc>
      </w:tr>
      <w:tr w:rsidR="00153E07" w:rsidRPr="002A61CE" w:rsidTr="00153E07">
        <w:trPr>
          <w:trHeight w:val="630"/>
        </w:trPr>
        <w:tc>
          <w:tcPr>
            <w:tcW w:w="1533" w:type="pct"/>
            <w:vMerge/>
            <w:tcBorders>
              <w:top w:val="single" w:sz="4" w:space="0" w:color="auto"/>
              <w:left w:val="single" w:sz="4" w:space="0" w:color="auto"/>
              <w:bottom w:val="single" w:sz="4" w:space="0" w:color="auto"/>
              <w:right w:val="single" w:sz="4" w:space="0" w:color="auto"/>
            </w:tcBorders>
            <w:vAlign w:val="center"/>
            <w:hideMark/>
          </w:tcPr>
          <w:p w:rsidR="00153E07" w:rsidRPr="002A61CE" w:rsidRDefault="00153E07" w:rsidP="00153E07">
            <w:pPr>
              <w:spacing w:after="0" w:line="240" w:lineRule="auto"/>
              <w:jc w:val="both"/>
              <w:rPr>
                <w:rFonts w:ascii="Times New Roman" w:eastAsia="Times New Roman" w:hAnsi="Times New Roman" w:cs="Times New Roman"/>
                <w:b/>
                <w:bCs/>
                <w:color w:val="000000"/>
                <w:sz w:val="24"/>
                <w:szCs w:val="28"/>
              </w:rPr>
            </w:pP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b/>
                <w:bCs/>
                <w:color w:val="000000"/>
                <w:sz w:val="24"/>
                <w:szCs w:val="28"/>
              </w:rPr>
            </w:pPr>
            <w:r w:rsidRPr="002A61CE">
              <w:rPr>
                <w:rFonts w:ascii="Times New Roman" w:eastAsia="Times New Roman" w:hAnsi="Times New Roman" w:cs="Times New Roman"/>
                <w:b/>
                <w:bCs/>
                <w:color w:val="000000"/>
                <w:sz w:val="24"/>
                <w:szCs w:val="28"/>
              </w:rPr>
              <w:t>млн. руб.</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b/>
                <w:bCs/>
                <w:color w:val="000000"/>
                <w:sz w:val="24"/>
                <w:szCs w:val="28"/>
              </w:rPr>
            </w:pPr>
            <w:r w:rsidRPr="002A61CE">
              <w:rPr>
                <w:rFonts w:ascii="Times New Roman" w:eastAsia="Times New Roman" w:hAnsi="Times New Roman" w:cs="Times New Roman"/>
                <w:b/>
                <w:bCs/>
                <w:color w:val="000000"/>
                <w:sz w:val="24"/>
                <w:szCs w:val="28"/>
              </w:rPr>
              <w:t>%</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b/>
                <w:bCs/>
                <w:color w:val="000000"/>
                <w:sz w:val="24"/>
                <w:szCs w:val="28"/>
              </w:rPr>
            </w:pPr>
            <w:r w:rsidRPr="002A61CE">
              <w:rPr>
                <w:rFonts w:ascii="Times New Roman" w:eastAsia="Times New Roman" w:hAnsi="Times New Roman" w:cs="Times New Roman"/>
                <w:b/>
                <w:bCs/>
                <w:color w:val="000000"/>
                <w:sz w:val="24"/>
                <w:szCs w:val="28"/>
              </w:rPr>
              <w:t>млн. руб.</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b/>
                <w:bCs/>
                <w:color w:val="000000"/>
                <w:sz w:val="24"/>
                <w:szCs w:val="28"/>
              </w:rPr>
            </w:pPr>
            <w:r w:rsidRPr="002A61CE">
              <w:rPr>
                <w:rFonts w:ascii="Times New Roman" w:eastAsia="Times New Roman" w:hAnsi="Times New Roman" w:cs="Times New Roman"/>
                <w:b/>
                <w:bCs/>
                <w:color w:val="000000"/>
                <w:sz w:val="24"/>
                <w:szCs w:val="28"/>
              </w:rPr>
              <w:t>%</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b/>
                <w:bCs/>
                <w:color w:val="000000"/>
                <w:sz w:val="24"/>
                <w:szCs w:val="28"/>
              </w:rPr>
            </w:pPr>
            <w:r w:rsidRPr="002A61CE">
              <w:rPr>
                <w:rFonts w:ascii="Times New Roman" w:eastAsia="Times New Roman" w:hAnsi="Times New Roman" w:cs="Times New Roman"/>
                <w:b/>
                <w:bCs/>
                <w:color w:val="000000"/>
                <w:sz w:val="24"/>
                <w:szCs w:val="28"/>
              </w:rPr>
              <w:t>млн. руб.</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b/>
                <w:bCs/>
                <w:color w:val="000000"/>
                <w:sz w:val="24"/>
                <w:szCs w:val="28"/>
              </w:rPr>
            </w:pPr>
            <w:r w:rsidRPr="002A61CE">
              <w:rPr>
                <w:rFonts w:ascii="Times New Roman" w:eastAsia="Times New Roman" w:hAnsi="Times New Roman" w:cs="Times New Roman"/>
                <w:b/>
                <w:bCs/>
                <w:color w:val="000000"/>
                <w:sz w:val="24"/>
                <w:szCs w:val="28"/>
              </w:rPr>
              <w:t>%</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000000" w:fill="BFBFBF"/>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 xml:space="preserve">Бардымский </w:t>
            </w:r>
          </w:p>
        </w:tc>
        <w:tc>
          <w:tcPr>
            <w:tcW w:w="770" w:type="pct"/>
            <w:tcBorders>
              <w:top w:val="nil"/>
              <w:left w:val="nil"/>
              <w:bottom w:val="single" w:sz="4" w:space="0" w:color="auto"/>
              <w:right w:val="single" w:sz="4" w:space="0" w:color="auto"/>
            </w:tcBorders>
            <w:shd w:val="clear" w:color="000000" w:fill="BFBFBF"/>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269,04</w:t>
            </w:r>
          </w:p>
        </w:tc>
        <w:tc>
          <w:tcPr>
            <w:tcW w:w="385" w:type="pct"/>
            <w:tcBorders>
              <w:top w:val="nil"/>
              <w:left w:val="nil"/>
              <w:bottom w:val="single" w:sz="4" w:space="0" w:color="auto"/>
              <w:right w:val="single" w:sz="4" w:space="0" w:color="auto"/>
            </w:tcBorders>
            <w:shd w:val="clear" w:color="000000" w:fill="BFBFBF"/>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c>
          <w:tcPr>
            <w:tcW w:w="770" w:type="pct"/>
            <w:tcBorders>
              <w:top w:val="nil"/>
              <w:left w:val="nil"/>
              <w:bottom w:val="single" w:sz="4" w:space="0" w:color="auto"/>
              <w:right w:val="single" w:sz="4" w:space="0" w:color="auto"/>
            </w:tcBorders>
            <w:shd w:val="clear" w:color="000000" w:fill="BFBFBF"/>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359,01</w:t>
            </w:r>
          </w:p>
        </w:tc>
        <w:tc>
          <w:tcPr>
            <w:tcW w:w="385" w:type="pct"/>
            <w:tcBorders>
              <w:top w:val="nil"/>
              <w:left w:val="nil"/>
              <w:bottom w:val="single" w:sz="4" w:space="0" w:color="auto"/>
              <w:right w:val="single" w:sz="4" w:space="0" w:color="auto"/>
            </w:tcBorders>
            <w:shd w:val="clear" w:color="000000" w:fill="BFBFBF"/>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c>
          <w:tcPr>
            <w:tcW w:w="770" w:type="pct"/>
            <w:tcBorders>
              <w:top w:val="nil"/>
              <w:left w:val="nil"/>
              <w:bottom w:val="single" w:sz="4" w:space="0" w:color="auto"/>
              <w:right w:val="single" w:sz="4" w:space="0" w:color="auto"/>
            </w:tcBorders>
            <w:shd w:val="clear" w:color="000000" w:fill="BFBFBF"/>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424,61</w:t>
            </w:r>
          </w:p>
        </w:tc>
        <w:tc>
          <w:tcPr>
            <w:tcW w:w="385" w:type="pct"/>
            <w:tcBorders>
              <w:top w:val="nil"/>
              <w:left w:val="nil"/>
              <w:bottom w:val="single" w:sz="4" w:space="0" w:color="auto"/>
              <w:right w:val="single" w:sz="4" w:space="0" w:color="auto"/>
            </w:tcBorders>
            <w:shd w:val="clear" w:color="000000" w:fill="BFBFBF"/>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E97C6A"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Бардымс</w:t>
            </w:r>
            <w:r w:rsidR="00153E07" w:rsidRPr="002A61CE">
              <w:rPr>
                <w:rFonts w:ascii="Times New Roman" w:eastAsia="Times New Roman" w:hAnsi="Times New Roman" w:cs="Times New Roman"/>
                <w:color w:val="000000"/>
                <w:sz w:val="24"/>
                <w:szCs w:val="28"/>
              </w:rPr>
              <w:t xml:space="preserve">ский </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11830,8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23%</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10557,9</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21%</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10722,2</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21%</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 xml:space="preserve">Березовский </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114,82</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144,53</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232,56</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Большесосновский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39,34</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136,63</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Верещагинский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536,63</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632,65</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776,64</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 xml:space="preserve">Горнозаводский </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914,26</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1088,83</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516,18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Гремячинский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207,08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108,86</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243,84</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Добрянский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5490,33</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11%</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4994,05</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2938,97</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6%</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Еловский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121,32</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176,35</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 xml:space="preserve">Ильинский </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96,43</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150,61</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172,31</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 xml:space="preserve">Карагайский </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98,28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198,48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333,96</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Кизеловский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339,09</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440,6</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422,16</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Кишертский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32,14</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Красновишерский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265,82</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218,35</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242,08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Краснокамский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6290,18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12%</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5015,49</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2591,2</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5%</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Куединский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223,72</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314,71</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380,54</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 xml:space="preserve">Кунгурский </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25,92</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39,73</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40,27</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Нытвенский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638,31</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816,05</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2033,43</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4%</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Октябрьский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208,24</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297,17</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434,18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Ординский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119,41</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183,68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295,2</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Осинский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408,29</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598,76</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756,18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Оханский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161,39</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201,92</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282,03</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Очерский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1208,07</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1303,06</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1620,68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 xml:space="preserve">Пермский </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8485,67</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17%</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8406,83</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16%</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9177,28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18%</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Сивинский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379,91</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405,59</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376,96</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Суксунский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283,85</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363,14</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416,88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Уинский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76,84</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114,96</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165,03</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Усольский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99,67</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105,78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133,9</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 xml:space="preserve">Чайковский </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9170,59</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18%</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11328,3</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22%</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11155,8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22%</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 xml:space="preserve">Чердынский </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106,9</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Чернушинский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1142,88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1189,41</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1417,76</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 xml:space="preserve">Чусовской </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2137,28</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4%</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1779,45</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2355,03</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5%</w:t>
            </w:r>
          </w:p>
        </w:tc>
      </w:tr>
      <w:tr w:rsidR="00153E07" w:rsidRPr="002A61C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Итого</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51262,2</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51479,2</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100%</w:t>
            </w:r>
          </w:p>
        </w:tc>
        <w:tc>
          <w:tcPr>
            <w:tcW w:w="770"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51109,9</w:t>
            </w:r>
          </w:p>
        </w:tc>
        <w:tc>
          <w:tcPr>
            <w:tcW w:w="38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153E07">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100%</w:t>
            </w:r>
          </w:p>
        </w:tc>
      </w:tr>
    </w:tbl>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Среди муниципальных районов Пермского края Бардымский район по итогам 2015</w:t>
      </w:r>
      <w:r w:rsidR="00127DAF">
        <w:rPr>
          <w:rFonts w:ascii="Times New Roman" w:eastAsia="Times New Roman" w:hAnsi="Times New Roman" w:cs="Times New Roman"/>
          <w:sz w:val="28"/>
          <w:szCs w:val="28"/>
        </w:rPr>
        <w:t xml:space="preserve"> </w:t>
      </w:r>
      <w:r w:rsidRPr="00E3313E">
        <w:rPr>
          <w:rFonts w:ascii="Times New Roman" w:eastAsia="Times New Roman" w:hAnsi="Times New Roman" w:cs="Times New Roman"/>
          <w:sz w:val="28"/>
          <w:szCs w:val="28"/>
        </w:rPr>
        <w:t>г. занимает 11 место по инвестициям в основной капитал за счет средств муниципального бюджета (33,9 млн. руб., или 3,6% совокупного объема инвестиций в основной капитал за счет средств муниципального бюджета по всему Пермскому краю).</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lastRenderedPageBreak/>
        <w:t>Лидером в сфере инвестиций является Пермский район (129,6 млн. руб., или 13% совокупного объема инвестиций в основной капитал за счет средств муниципального бюджета по всему Пермскому краю), далее в списках Добрянский (88,29 млн. руб.) и Чернушинский (76,19 млн. руб.). Последними в рейтинге являются Частинский и Еловский районы, (1 млн. руб. и 0,14 млн. руб.). Аутсайдерами по данному показателю выступают Кизиловский и Частинский районы.</w:t>
      </w:r>
    </w:p>
    <w:p w:rsidR="00153E07" w:rsidRPr="00E3313E" w:rsidRDefault="00153E07" w:rsidP="00153E07">
      <w:pPr>
        <w:spacing w:after="0"/>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noProof/>
          <w:sz w:val="28"/>
          <w:szCs w:val="28"/>
        </w:rPr>
        <w:drawing>
          <wp:inline distT="0" distB="0" distL="0" distR="0">
            <wp:extent cx="5781675" cy="4371975"/>
            <wp:effectExtent l="0" t="0" r="0" b="0"/>
            <wp:docPr id="2204"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153E07" w:rsidRPr="00127DAF" w:rsidRDefault="00153E07" w:rsidP="006D2568">
      <w:pPr>
        <w:spacing w:after="0" w:line="240" w:lineRule="auto"/>
        <w:ind w:firstLine="709"/>
        <w:jc w:val="both"/>
        <w:rPr>
          <w:rFonts w:ascii="Times New Roman" w:eastAsia="Times New Roman" w:hAnsi="Times New Roman" w:cs="Times New Roman"/>
          <w:b/>
          <w:sz w:val="28"/>
          <w:szCs w:val="28"/>
        </w:rPr>
      </w:pPr>
      <w:r w:rsidRPr="00127DAF">
        <w:rPr>
          <w:rFonts w:ascii="Times New Roman" w:eastAsia="Times New Roman" w:hAnsi="Times New Roman" w:cs="Times New Roman"/>
          <w:b/>
          <w:sz w:val="28"/>
          <w:szCs w:val="28"/>
        </w:rPr>
        <w:t>Рисунок 1.</w:t>
      </w:r>
      <w:r w:rsidR="00127DAF" w:rsidRPr="00127DAF">
        <w:rPr>
          <w:rFonts w:ascii="Times New Roman" w:eastAsia="Times New Roman" w:hAnsi="Times New Roman" w:cs="Times New Roman"/>
          <w:b/>
          <w:sz w:val="28"/>
          <w:szCs w:val="28"/>
        </w:rPr>
        <w:t>79</w:t>
      </w:r>
      <w:r w:rsidRPr="00127DAF">
        <w:rPr>
          <w:rFonts w:ascii="Times New Roman" w:eastAsia="Times New Roman" w:hAnsi="Times New Roman" w:cs="Times New Roman"/>
          <w:b/>
          <w:sz w:val="28"/>
          <w:szCs w:val="28"/>
        </w:rPr>
        <w:t>. Инвестиции в основной капитал за счет средств муниципального бюджета, млн. руб.</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E3313E" w:rsidRDefault="00153E07" w:rsidP="006D2568">
      <w:pPr>
        <w:spacing w:after="0" w:line="240" w:lineRule="auto"/>
        <w:ind w:firstLine="709"/>
        <w:jc w:val="right"/>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Таблица 1.2</w:t>
      </w:r>
      <w:r w:rsidR="00127DAF">
        <w:rPr>
          <w:rFonts w:ascii="Times New Roman" w:eastAsia="Times New Roman" w:hAnsi="Times New Roman" w:cs="Times New Roman"/>
          <w:sz w:val="28"/>
          <w:szCs w:val="28"/>
        </w:rPr>
        <w:t>8</w:t>
      </w:r>
    </w:p>
    <w:p w:rsidR="00153E07" w:rsidRPr="00E3313E" w:rsidRDefault="00153E07" w:rsidP="006D2568">
      <w:pPr>
        <w:spacing w:after="0" w:line="240" w:lineRule="auto"/>
        <w:jc w:val="both"/>
        <w:rPr>
          <w:rFonts w:ascii="Times New Roman" w:eastAsia="Times New Roman" w:hAnsi="Times New Roman" w:cs="Times New Roman"/>
          <w:b/>
          <w:sz w:val="28"/>
          <w:szCs w:val="28"/>
        </w:rPr>
      </w:pPr>
      <w:r w:rsidRPr="00E3313E">
        <w:rPr>
          <w:rFonts w:ascii="Times New Roman" w:eastAsia="Times New Roman" w:hAnsi="Times New Roman" w:cs="Times New Roman"/>
          <w:b/>
          <w:sz w:val="28"/>
          <w:szCs w:val="28"/>
        </w:rPr>
        <w:t>Инвестиции в основной капитал за счет средств муниципального бюджета, млн. руб.</w:t>
      </w:r>
    </w:p>
    <w:tbl>
      <w:tblPr>
        <w:tblStyle w:val="a7"/>
        <w:tblW w:w="9889" w:type="dxa"/>
        <w:tblLook w:val="04E0"/>
      </w:tblPr>
      <w:tblGrid>
        <w:gridCol w:w="3652"/>
        <w:gridCol w:w="2126"/>
        <w:gridCol w:w="1984"/>
        <w:gridCol w:w="2127"/>
      </w:tblGrid>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b/>
                <w:sz w:val="24"/>
                <w:szCs w:val="28"/>
              </w:rPr>
            </w:pPr>
            <w:r w:rsidRPr="002A61CE">
              <w:rPr>
                <w:rFonts w:ascii="Times New Roman" w:eastAsia="Times New Roman" w:hAnsi="Times New Roman" w:cs="Times New Roman"/>
                <w:b/>
                <w:sz w:val="24"/>
                <w:szCs w:val="28"/>
              </w:rPr>
              <w:t>Муниципальный район</w:t>
            </w:r>
          </w:p>
        </w:tc>
        <w:tc>
          <w:tcPr>
            <w:tcW w:w="2126" w:type="dxa"/>
          </w:tcPr>
          <w:p w:rsidR="00153E07" w:rsidRPr="002A61CE" w:rsidRDefault="00153E07" w:rsidP="006D2568">
            <w:pPr>
              <w:jc w:val="both"/>
              <w:rPr>
                <w:rFonts w:ascii="Times New Roman" w:eastAsia="Times New Roman" w:hAnsi="Times New Roman" w:cs="Times New Roman"/>
                <w:b/>
                <w:sz w:val="24"/>
                <w:szCs w:val="28"/>
              </w:rPr>
            </w:pPr>
            <w:r w:rsidRPr="002A61CE">
              <w:rPr>
                <w:rFonts w:ascii="Times New Roman" w:eastAsia="Times New Roman" w:hAnsi="Times New Roman" w:cs="Times New Roman"/>
                <w:b/>
                <w:sz w:val="24"/>
                <w:szCs w:val="28"/>
              </w:rPr>
              <w:t>2013</w:t>
            </w:r>
          </w:p>
        </w:tc>
        <w:tc>
          <w:tcPr>
            <w:tcW w:w="1984" w:type="dxa"/>
          </w:tcPr>
          <w:p w:rsidR="00153E07" w:rsidRPr="002A61CE" w:rsidRDefault="00153E07" w:rsidP="006D2568">
            <w:pPr>
              <w:jc w:val="both"/>
              <w:rPr>
                <w:rFonts w:ascii="Times New Roman" w:eastAsia="Times New Roman" w:hAnsi="Times New Roman" w:cs="Times New Roman"/>
                <w:b/>
                <w:sz w:val="24"/>
                <w:szCs w:val="28"/>
              </w:rPr>
            </w:pPr>
            <w:r w:rsidRPr="002A61CE">
              <w:rPr>
                <w:rFonts w:ascii="Times New Roman" w:eastAsia="Times New Roman" w:hAnsi="Times New Roman" w:cs="Times New Roman"/>
                <w:b/>
                <w:sz w:val="24"/>
                <w:szCs w:val="28"/>
              </w:rPr>
              <w:t>2014</w:t>
            </w:r>
          </w:p>
        </w:tc>
        <w:tc>
          <w:tcPr>
            <w:tcW w:w="2127" w:type="dxa"/>
          </w:tcPr>
          <w:p w:rsidR="00153E07" w:rsidRPr="002A61CE" w:rsidRDefault="00153E07" w:rsidP="006D2568">
            <w:pPr>
              <w:jc w:val="both"/>
              <w:rPr>
                <w:rFonts w:ascii="Times New Roman" w:eastAsia="Times New Roman" w:hAnsi="Times New Roman" w:cs="Times New Roman"/>
                <w:b/>
                <w:sz w:val="24"/>
                <w:szCs w:val="28"/>
              </w:rPr>
            </w:pPr>
            <w:r w:rsidRPr="002A61CE">
              <w:rPr>
                <w:rFonts w:ascii="Times New Roman" w:eastAsia="Times New Roman" w:hAnsi="Times New Roman" w:cs="Times New Roman"/>
                <w:b/>
                <w:sz w:val="24"/>
                <w:szCs w:val="28"/>
              </w:rPr>
              <w:t>2015</w:t>
            </w:r>
          </w:p>
        </w:tc>
      </w:tr>
      <w:tr w:rsidR="00153E07" w:rsidRPr="00E3313E" w:rsidTr="00F405EC">
        <w:tc>
          <w:tcPr>
            <w:tcW w:w="3652" w:type="dxa"/>
            <w:shd w:val="clear" w:color="auto" w:fill="BFBFBF" w:themeFill="background1" w:themeFillShade="BF"/>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Бардымский </w:t>
            </w:r>
          </w:p>
        </w:tc>
        <w:tc>
          <w:tcPr>
            <w:tcW w:w="2126" w:type="dxa"/>
            <w:shd w:val="clear" w:color="auto" w:fill="BFBFBF" w:themeFill="background1" w:themeFillShade="BF"/>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25,07</w:t>
            </w:r>
          </w:p>
        </w:tc>
        <w:tc>
          <w:tcPr>
            <w:tcW w:w="1984" w:type="dxa"/>
            <w:shd w:val="clear" w:color="auto" w:fill="BFBFBF" w:themeFill="background1" w:themeFillShade="BF"/>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52,11</w:t>
            </w:r>
          </w:p>
        </w:tc>
        <w:tc>
          <w:tcPr>
            <w:tcW w:w="2127" w:type="dxa"/>
            <w:shd w:val="clear" w:color="auto" w:fill="BFBFBF" w:themeFill="background1" w:themeFillShade="BF"/>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33,87</w:t>
            </w:r>
          </w:p>
        </w:tc>
      </w:tr>
      <w:tr w:rsidR="00153E07" w:rsidRPr="00E3313E" w:rsidTr="00F405EC">
        <w:tc>
          <w:tcPr>
            <w:tcW w:w="3652" w:type="dxa"/>
          </w:tcPr>
          <w:p w:rsidR="00153E07" w:rsidRPr="002A61CE" w:rsidRDefault="00E97C6A"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Бардымс</w:t>
            </w:r>
            <w:r w:rsidR="00153E07" w:rsidRPr="002A61CE">
              <w:rPr>
                <w:rFonts w:ascii="Times New Roman" w:eastAsia="Times New Roman" w:hAnsi="Times New Roman" w:cs="Times New Roman"/>
                <w:sz w:val="24"/>
                <w:szCs w:val="28"/>
              </w:rPr>
              <w:t xml:space="preserve">ский </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93,41</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75,01</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11,36</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Березовский </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12,78</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21,67</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36,77</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Большесосновский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26,94</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33,91</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2,77</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Верещагинский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31,22</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52,42</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17,47</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Горнозаводский </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59,96</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31,52</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4,15</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Гремячинский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2,75</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58,07</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1,46</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Добрянский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48,30</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73,35</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88,29</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Еловский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10,68</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1,33</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0,14</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Ильинский </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48,28</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44,76</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12,92</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Карагайский </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6,69</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13,54</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11,04</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lastRenderedPageBreak/>
              <w:t>Кизеловский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7,53</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5,64</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1,47</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Кишертский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8,57</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7,68</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5,07</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Красновишерский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148,18</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19,64</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43,61</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Краснокамский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40,04</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61,13</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52,37</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Куединский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111,23</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45,56</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29,00</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Кунгурский </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236,55</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66,12</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30,74</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Нытвенский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23,80</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33,11</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14,69</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Октябрьский </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67,28</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78,45</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42,42</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Ординский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18,36</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16,02</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36,22</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Осинский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12,48</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16,19</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28,49</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Оханский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7,55</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7,66</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7,19</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Очерский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9,46</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12,01</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39,60</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Пермский </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386,71</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205,76</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129,56</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Сивинский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12,01</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17,88</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3,38</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Соликамский </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27,50</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17,04</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10,99</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Суксунский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38,82</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88,44</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26,70</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Уинский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8,68</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21,46</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21,55</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Усольский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17,17</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50,10</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29,13</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Чайковский </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35,39</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17,93</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53,05</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Частинский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85,85</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27,39</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1,00</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Чердынский </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18,79</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10,68</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7,78</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Чернушинский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60,05</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56,62</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76,19</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Чусовской</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42,85</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35,25</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25,86</w:t>
            </w:r>
          </w:p>
        </w:tc>
      </w:tr>
      <w:tr w:rsidR="00153E07" w:rsidRPr="00E3313E" w:rsidTr="00F405EC">
        <w:tc>
          <w:tcPr>
            <w:tcW w:w="3652"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Итого</w:t>
            </w:r>
          </w:p>
        </w:tc>
        <w:tc>
          <w:tcPr>
            <w:tcW w:w="2126"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1790,9</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1375,5</w:t>
            </w:r>
          </w:p>
        </w:tc>
        <w:tc>
          <w:tcPr>
            <w:tcW w:w="2127"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936,3</w:t>
            </w:r>
          </w:p>
        </w:tc>
      </w:tr>
    </w:tbl>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По объему расходов местного бюджета</w:t>
      </w:r>
      <w:r w:rsidR="00127DAF">
        <w:rPr>
          <w:rFonts w:ascii="Times New Roman" w:eastAsia="Times New Roman" w:hAnsi="Times New Roman" w:cs="Times New Roman"/>
          <w:sz w:val="28"/>
          <w:szCs w:val="28"/>
        </w:rPr>
        <w:t xml:space="preserve"> </w:t>
      </w:r>
      <w:r w:rsidRPr="00E3313E">
        <w:rPr>
          <w:rFonts w:ascii="Times New Roman" w:eastAsia="Times New Roman" w:hAnsi="Times New Roman" w:cs="Times New Roman"/>
          <w:sz w:val="28"/>
          <w:szCs w:val="28"/>
        </w:rPr>
        <w:t xml:space="preserve">в 2016 году Бардымский район занимает 14 место (688,12 млн. руб.), что соответствует 2,6% общих расходов местных бюджетов всего Пермского края. Наибольшие расходы зафиксированы в Пермском (2780,15 млн. руб.) и Чайковском (1977, 87 млн. руб.) районах.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Расходы местного бюджета Бардымского района в 2016 году увеличились на 2,8%, или 18,56 млн. руб. по сравнению с годом ранее.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noProof/>
          <w:sz w:val="28"/>
          <w:szCs w:val="28"/>
        </w:rPr>
        <w:lastRenderedPageBreak/>
        <w:drawing>
          <wp:inline distT="0" distB="0" distL="0" distR="0">
            <wp:extent cx="5648325" cy="6524625"/>
            <wp:effectExtent l="0" t="0" r="0" b="0"/>
            <wp:docPr id="2205"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153E07" w:rsidRPr="00127DAF" w:rsidRDefault="00153E07" w:rsidP="006D2568">
      <w:pPr>
        <w:spacing w:after="0" w:line="240" w:lineRule="auto"/>
        <w:ind w:firstLine="709"/>
        <w:jc w:val="both"/>
        <w:rPr>
          <w:rFonts w:ascii="Times New Roman" w:eastAsia="Times New Roman" w:hAnsi="Times New Roman" w:cs="Times New Roman"/>
          <w:b/>
          <w:sz w:val="28"/>
          <w:szCs w:val="28"/>
        </w:rPr>
      </w:pPr>
      <w:r w:rsidRPr="00127DAF">
        <w:rPr>
          <w:rFonts w:ascii="Times New Roman" w:eastAsia="Times New Roman" w:hAnsi="Times New Roman" w:cs="Times New Roman"/>
          <w:b/>
          <w:sz w:val="28"/>
          <w:szCs w:val="28"/>
        </w:rPr>
        <w:t>Рисунок 1.8</w:t>
      </w:r>
      <w:r w:rsidR="00127DAF" w:rsidRPr="00127DAF">
        <w:rPr>
          <w:rFonts w:ascii="Times New Roman" w:eastAsia="Times New Roman" w:hAnsi="Times New Roman" w:cs="Times New Roman"/>
          <w:b/>
          <w:sz w:val="28"/>
          <w:szCs w:val="28"/>
        </w:rPr>
        <w:t>0</w:t>
      </w:r>
      <w:r w:rsidRPr="00127DAF">
        <w:rPr>
          <w:rFonts w:ascii="Times New Roman" w:eastAsia="Times New Roman" w:hAnsi="Times New Roman" w:cs="Times New Roman"/>
          <w:b/>
          <w:sz w:val="28"/>
          <w:szCs w:val="28"/>
        </w:rPr>
        <w:t>. Расходы местного бюджета, фактически исполненные, тысяча рублей, млн. руб. 2016 г.</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E3313E" w:rsidRDefault="00153E07" w:rsidP="006D2568">
      <w:pPr>
        <w:spacing w:after="0" w:line="240" w:lineRule="auto"/>
        <w:ind w:firstLine="709"/>
        <w:jc w:val="right"/>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Таблица 1.</w:t>
      </w:r>
      <w:r w:rsidR="00127DAF">
        <w:rPr>
          <w:rFonts w:ascii="Times New Roman" w:eastAsia="Times New Roman" w:hAnsi="Times New Roman" w:cs="Times New Roman"/>
          <w:sz w:val="28"/>
          <w:szCs w:val="28"/>
        </w:rPr>
        <w:t>29</w:t>
      </w:r>
    </w:p>
    <w:p w:rsidR="00153E07" w:rsidRPr="00E3313E" w:rsidRDefault="00153E07" w:rsidP="006D2568">
      <w:pPr>
        <w:spacing w:after="0" w:line="240" w:lineRule="auto"/>
        <w:ind w:firstLine="709"/>
        <w:jc w:val="center"/>
        <w:rPr>
          <w:rFonts w:ascii="Times New Roman" w:eastAsia="Times New Roman" w:hAnsi="Times New Roman" w:cs="Times New Roman"/>
          <w:b/>
          <w:sz w:val="28"/>
          <w:szCs w:val="28"/>
        </w:rPr>
      </w:pPr>
      <w:r w:rsidRPr="00E3313E">
        <w:rPr>
          <w:rFonts w:ascii="Times New Roman" w:eastAsia="Times New Roman" w:hAnsi="Times New Roman" w:cs="Times New Roman"/>
          <w:b/>
          <w:sz w:val="28"/>
          <w:szCs w:val="28"/>
        </w:rPr>
        <w:t>Расходы местного бюджета, фактически исполненные, тысяча рублей, млн. руб. 2016 г.</w:t>
      </w:r>
    </w:p>
    <w:tbl>
      <w:tblPr>
        <w:tblStyle w:val="a7"/>
        <w:tblW w:w="9747" w:type="dxa"/>
        <w:tblLook w:val="04A0"/>
      </w:tblPr>
      <w:tblGrid>
        <w:gridCol w:w="3369"/>
        <w:gridCol w:w="2126"/>
        <w:gridCol w:w="2126"/>
        <w:gridCol w:w="2126"/>
      </w:tblGrid>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b/>
                <w:sz w:val="24"/>
                <w:szCs w:val="24"/>
              </w:rPr>
            </w:pPr>
            <w:r w:rsidRPr="002A61CE">
              <w:rPr>
                <w:rFonts w:ascii="Times New Roman" w:eastAsia="Times New Roman" w:hAnsi="Times New Roman" w:cs="Times New Roman"/>
                <w:b/>
                <w:sz w:val="24"/>
                <w:szCs w:val="24"/>
              </w:rPr>
              <w:t>Муниципальный район</w:t>
            </w:r>
          </w:p>
        </w:tc>
        <w:tc>
          <w:tcPr>
            <w:tcW w:w="2126" w:type="dxa"/>
          </w:tcPr>
          <w:p w:rsidR="00153E07" w:rsidRPr="002A61CE" w:rsidRDefault="00153E07" w:rsidP="006D2568">
            <w:pPr>
              <w:jc w:val="both"/>
              <w:rPr>
                <w:rFonts w:ascii="Times New Roman" w:eastAsia="Times New Roman" w:hAnsi="Times New Roman" w:cs="Times New Roman"/>
                <w:b/>
                <w:sz w:val="24"/>
                <w:szCs w:val="24"/>
              </w:rPr>
            </w:pPr>
            <w:r w:rsidRPr="002A61CE">
              <w:rPr>
                <w:rFonts w:ascii="Times New Roman" w:eastAsia="Times New Roman" w:hAnsi="Times New Roman" w:cs="Times New Roman"/>
                <w:b/>
                <w:sz w:val="24"/>
                <w:szCs w:val="24"/>
              </w:rPr>
              <w:t>2014</w:t>
            </w:r>
          </w:p>
        </w:tc>
        <w:tc>
          <w:tcPr>
            <w:tcW w:w="2126" w:type="dxa"/>
          </w:tcPr>
          <w:p w:rsidR="00153E07" w:rsidRPr="002A61CE" w:rsidRDefault="00153E07" w:rsidP="006D2568">
            <w:pPr>
              <w:jc w:val="both"/>
              <w:rPr>
                <w:rFonts w:ascii="Times New Roman" w:eastAsia="Times New Roman" w:hAnsi="Times New Roman" w:cs="Times New Roman"/>
                <w:b/>
                <w:sz w:val="24"/>
                <w:szCs w:val="24"/>
              </w:rPr>
            </w:pPr>
            <w:r w:rsidRPr="002A61CE">
              <w:rPr>
                <w:rFonts w:ascii="Times New Roman" w:eastAsia="Times New Roman" w:hAnsi="Times New Roman" w:cs="Times New Roman"/>
                <w:b/>
                <w:sz w:val="24"/>
                <w:szCs w:val="24"/>
              </w:rPr>
              <w:t>2015</w:t>
            </w:r>
          </w:p>
        </w:tc>
        <w:tc>
          <w:tcPr>
            <w:tcW w:w="2126" w:type="dxa"/>
          </w:tcPr>
          <w:p w:rsidR="00153E07" w:rsidRPr="002A61CE" w:rsidRDefault="00153E07" w:rsidP="006D2568">
            <w:pPr>
              <w:jc w:val="both"/>
              <w:rPr>
                <w:rFonts w:ascii="Times New Roman" w:eastAsia="Times New Roman" w:hAnsi="Times New Roman" w:cs="Times New Roman"/>
                <w:b/>
                <w:sz w:val="24"/>
                <w:szCs w:val="24"/>
              </w:rPr>
            </w:pPr>
            <w:r w:rsidRPr="002A61CE">
              <w:rPr>
                <w:rFonts w:ascii="Times New Roman" w:eastAsia="Times New Roman" w:hAnsi="Times New Roman" w:cs="Times New Roman"/>
                <w:b/>
                <w:sz w:val="24"/>
                <w:szCs w:val="24"/>
              </w:rPr>
              <w:t>2016</w:t>
            </w:r>
          </w:p>
        </w:tc>
      </w:tr>
      <w:tr w:rsidR="00153E07" w:rsidRPr="00E3313E" w:rsidTr="00F405EC">
        <w:tc>
          <w:tcPr>
            <w:tcW w:w="3369" w:type="dxa"/>
            <w:shd w:val="clear" w:color="auto" w:fill="BFBFBF" w:themeFill="background1" w:themeFillShade="BF"/>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 xml:space="preserve">Бардымский </w:t>
            </w:r>
          </w:p>
        </w:tc>
        <w:tc>
          <w:tcPr>
            <w:tcW w:w="2126" w:type="dxa"/>
            <w:shd w:val="clear" w:color="auto" w:fill="BFBFBF" w:themeFill="background1" w:themeFillShade="BF"/>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7</w:t>
            </w:r>
            <w:r w:rsidR="00F405EC" w:rsidRPr="002A61CE">
              <w:rPr>
                <w:rFonts w:ascii="Times New Roman" w:eastAsia="Times New Roman" w:hAnsi="Times New Roman" w:cs="Times New Roman"/>
                <w:sz w:val="24"/>
                <w:szCs w:val="24"/>
              </w:rPr>
              <w:t>20,24</w:t>
            </w:r>
          </w:p>
        </w:tc>
        <w:tc>
          <w:tcPr>
            <w:tcW w:w="2126" w:type="dxa"/>
            <w:shd w:val="clear" w:color="auto" w:fill="BFBFBF" w:themeFill="background1" w:themeFillShade="BF"/>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669,56</w:t>
            </w:r>
          </w:p>
        </w:tc>
        <w:tc>
          <w:tcPr>
            <w:tcW w:w="2126" w:type="dxa"/>
            <w:shd w:val="clear" w:color="auto" w:fill="BFBFBF" w:themeFill="background1" w:themeFillShade="BF"/>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688,12</w:t>
            </w:r>
          </w:p>
        </w:tc>
      </w:tr>
      <w:tr w:rsidR="00153E07" w:rsidRPr="00E3313E" w:rsidTr="00F405EC">
        <w:tc>
          <w:tcPr>
            <w:tcW w:w="3369" w:type="dxa"/>
          </w:tcPr>
          <w:p w:rsidR="00153E07" w:rsidRPr="002A61CE" w:rsidRDefault="00E97C6A"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Бардымс</w:t>
            </w:r>
            <w:r w:rsidR="00153E07" w:rsidRPr="002A61CE">
              <w:rPr>
                <w:rFonts w:ascii="Times New Roman" w:eastAsia="Times New Roman" w:hAnsi="Times New Roman" w:cs="Times New Roman"/>
                <w:sz w:val="24"/>
                <w:szCs w:val="24"/>
              </w:rPr>
              <w:t xml:space="preserve">кий </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635,21</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637,65</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720,86</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 xml:space="preserve">Березовский </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428,92</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435,37</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408,60</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Большесосновский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415,60</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463,94</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420,77</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Верещагинский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1022,09</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949,32</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965,41</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 xml:space="preserve">Горнозаводский </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597,26</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526,56</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553,07</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Гремячинский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294,59</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248,47</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238,93</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lastRenderedPageBreak/>
              <w:t>Добрянский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1350,05</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1286,90</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1189,99</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Еловский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397,52</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308,50</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315,56</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 xml:space="preserve">Ильинский </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591,01</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549,70</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537,71</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 xml:space="preserve">Карагайский </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680,68</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723,36</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684,91</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Кизеловский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632,65</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456,26</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470,06</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Кишертский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341,36</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323,37</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417,07</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Красновишерский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859,18</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653,89</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628,50</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Краснокамский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1369,96</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1269,84</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1445,30</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Куединский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839,94</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888,15</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899,94</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 xml:space="preserve">Кунгурский </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1128,93</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1270,04</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1081,59</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Нытвенский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928,73</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877,51</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929,65</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 xml:space="preserve">Октябрьский </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808,39</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805,88</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807,45</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Ординский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481,01</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463,55</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484,08</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Осинский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711,64</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782,11</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758,23</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Оханский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390,58</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376,24</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381,95</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Очерский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526,10</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613,94</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530,05</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 xml:space="preserve">Пермский </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2847,09</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2749,61</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2780,15</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Сивинский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478,31</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454,13</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517,30</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 xml:space="preserve">Соликамский </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451,82</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453,96</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429,21</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Суксунский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547,45</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497,91</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542,17</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Уинский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365,65</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354,91</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333,85</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Усольский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394,99</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344,24</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463,71</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 xml:space="preserve">Чайковский </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2068,58</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1917,51</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1977,87</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Частинский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482,21</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524,36</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477,72</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 xml:space="preserve">Чердынский </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548,19</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494,67</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497,70</w:t>
            </w:r>
          </w:p>
        </w:tc>
      </w:tr>
      <w:tr w:rsidR="00153E07" w:rsidRPr="00E3313E" w:rsidTr="00F405EC">
        <w:trPr>
          <w:trHeight w:val="70"/>
        </w:trPr>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Чернушинский</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1342,06</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1378,88</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1337,19</w:t>
            </w:r>
          </w:p>
        </w:tc>
      </w:tr>
      <w:tr w:rsidR="00153E07" w:rsidRPr="00E3313E" w:rsidTr="00F405EC">
        <w:tc>
          <w:tcPr>
            <w:tcW w:w="3369"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 xml:space="preserve">Чусовской </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1296,33</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1258,54</w:t>
            </w:r>
          </w:p>
        </w:tc>
        <w:tc>
          <w:tcPr>
            <w:tcW w:w="2126" w:type="dxa"/>
          </w:tcPr>
          <w:p w:rsidR="00153E07" w:rsidRPr="002A61CE" w:rsidRDefault="00153E07" w:rsidP="006D2568">
            <w:pPr>
              <w:jc w:val="both"/>
              <w:rPr>
                <w:rFonts w:ascii="Times New Roman" w:eastAsia="Times New Roman" w:hAnsi="Times New Roman" w:cs="Times New Roman"/>
                <w:sz w:val="24"/>
                <w:szCs w:val="24"/>
              </w:rPr>
            </w:pPr>
            <w:r w:rsidRPr="002A61CE">
              <w:rPr>
                <w:rFonts w:ascii="Times New Roman" w:eastAsia="Times New Roman" w:hAnsi="Times New Roman" w:cs="Times New Roman"/>
                <w:sz w:val="24"/>
                <w:szCs w:val="24"/>
              </w:rPr>
              <w:t>1531,54</w:t>
            </w:r>
          </w:p>
        </w:tc>
      </w:tr>
    </w:tbl>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Объем доходов Бардымского района в 2016 году составил 696, 57 млн. руб., что на 3,5%, или 23,66 млн. руб. больше, чем в 2015 году. По данному показателю район занимает 14 место среди 34 муниципальных районов Пермского края.</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Среди лидеров выделяется Пермский и Чайковский районы, их доходы составляют 2773,22 и 2008 млн. руб. соответственно.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noProof/>
          <w:sz w:val="28"/>
          <w:szCs w:val="28"/>
        </w:rPr>
        <w:lastRenderedPageBreak/>
        <w:drawing>
          <wp:inline distT="0" distB="0" distL="0" distR="0">
            <wp:extent cx="5743575" cy="4940135"/>
            <wp:effectExtent l="0" t="0" r="0" b="0"/>
            <wp:docPr id="2206"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153E07" w:rsidRPr="00127DAF" w:rsidRDefault="00153E07" w:rsidP="006D2568">
      <w:pPr>
        <w:spacing w:after="0" w:line="240" w:lineRule="auto"/>
        <w:jc w:val="both"/>
        <w:rPr>
          <w:rFonts w:ascii="Times New Roman" w:eastAsia="Times New Roman" w:hAnsi="Times New Roman" w:cs="Times New Roman"/>
          <w:b/>
          <w:sz w:val="28"/>
          <w:szCs w:val="28"/>
        </w:rPr>
      </w:pPr>
      <w:r w:rsidRPr="00127DAF">
        <w:rPr>
          <w:rFonts w:ascii="Times New Roman" w:eastAsia="Times New Roman" w:hAnsi="Times New Roman" w:cs="Times New Roman"/>
          <w:b/>
          <w:sz w:val="28"/>
          <w:szCs w:val="28"/>
        </w:rPr>
        <w:t>Рисунок 1.8</w:t>
      </w:r>
      <w:r w:rsidR="00127DAF" w:rsidRPr="00127DAF">
        <w:rPr>
          <w:rFonts w:ascii="Times New Roman" w:eastAsia="Times New Roman" w:hAnsi="Times New Roman" w:cs="Times New Roman"/>
          <w:b/>
          <w:sz w:val="28"/>
          <w:szCs w:val="28"/>
        </w:rPr>
        <w:t>1</w:t>
      </w:r>
      <w:r w:rsidRPr="00127DAF">
        <w:rPr>
          <w:rFonts w:ascii="Times New Roman" w:eastAsia="Times New Roman" w:hAnsi="Times New Roman" w:cs="Times New Roman"/>
          <w:b/>
          <w:sz w:val="28"/>
          <w:szCs w:val="28"/>
        </w:rPr>
        <w:t>. Доходы местного бюджета, фактически исполненные, млн. руб. 2016</w:t>
      </w:r>
      <w:r w:rsidR="00127DAF">
        <w:rPr>
          <w:rFonts w:ascii="Times New Roman" w:eastAsia="Times New Roman" w:hAnsi="Times New Roman" w:cs="Times New Roman"/>
          <w:b/>
          <w:sz w:val="28"/>
          <w:szCs w:val="28"/>
        </w:rPr>
        <w:t xml:space="preserve"> </w:t>
      </w:r>
      <w:r w:rsidRPr="00127DAF">
        <w:rPr>
          <w:rFonts w:ascii="Times New Roman" w:eastAsia="Times New Roman" w:hAnsi="Times New Roman" w:cs="Times New Roman"/>
          <w:b/>
          <w:sz w:val="28"/>
          <w:szCs w:val="28"/>
        </w:rPr>
        <w:t>г.</w:t>
      </w:r>
    </w:p>
    <w:p w:rsidR="00153E07" w:rsidRPr="00127DAF" w:rsidRDefault="00153E07" w:rsidP="006D2568">
      <w:pPr>
        <w:spacing w:after="0" w:line="240" w:lineRule="auto"/>
        <w:ind w:firstLine="709"/>
        <w:jc w:val="right"/>
        <w:rPr>
          <w:rFonts w:ascii="Times New Roman" w:eastAsia="Times New Roman" w:hAnsi="Times New Roman" w:cs="Times New Roman"/>
          <w:sz w:val="28"/>
          <w:szCs w:val="28"/>
        </w:rPr>
      </w:pPr>
      <w:r w:rsidRPr="00127DAF">
        <w:rPr>
          <w:rFonts w:ascii="Times New Roman" w:eastAsia="Times New Roman" w:hAnsi="Times New Roman" w:cs="Times New Roman"/>
          <w:sz w:val="28"/>
          <w:szCs w:val="28"/>
        </w:rPr>
        <w:t>Таблица 1.3</w:t>
      </w:r>
      <w:r w:rsidR="00127DAF">
        <w:rPr>
          <w:rFonts w:ascii="Times New Roman" w:eastAsia="Times New Roman" w:hAnsi="Times New Roman" w:cs="Times New Roman"/>
          <w:sz w:val="28"/>
          <w:szCs w:val="28"/>
        </w:rPr>
        <w:t>0</w:t>
      </w:r>
    </w:p>
    <w:p w:rsidR="00153E07" w:rsidRPr="00E3313E" w:rsidRDefault="00153E07" w:rsidP="006D2568">
      <w:pPr>
        <w:spacing w:after="0" w:line="240" w:lineRule="auto"/>
        <w:jc w:val="center"/>
        <w:rPr>
          <w:rFonts w:ascii="Times New Roman" w:eastAsia="Times New Roman" w:hAnsi="Times New Roman" w:cs="Times New Roman"/>
          <w:b/>
          <w:sz w:val="28"/>
          <w:szCs w:val="28"/>
        </w:rPr>
      </w:pPr>
      <w:r w:rsidRPr="00E3313E">
        <w:rPr>
          <w:rFonts w:ascii="Times New Roman" w:eastAsia="Times New Roman" w:hAnsi="Times New Roman" w:cs="Times New Roman"/>
          <w:b/>
          <w:sz w:val="28"/>
          <w:szCs w:val="28"/>
        </w:rPr>
        <w:t>Доходы местного бюджета, фактически исполненные, млн. руб. 2016 г.</w:t>
      </w:r>
    </w:p>
    <w:tbl>
      <w:tblPr>
        <w:tblStyle w:val="a7"/>
        <w:tblW w:w="0" w:type="auto"/>
        <w:tblLook w:val="04A0"/>
      </w:tblPr>
      <w:tblGrid>
        <w:gridCol w:w="3794"/>
        <w:gridCol w:w="1984"/>
        <w:gridCol w:w="1843"/>
        <w:gridCol w:w="1843"/>
      </w:tblGrid>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b/>
                <w:sz w:val="24"/>
                <w:szCs w:val="28"/>
              </w:rPr>
            </w:pPr>
            <w:r w:rsidRPr="002A61CE">
              <w:rPr>
                <w:rFonts w:ascii="Times New Roman" w:eastAsia="Times New Roman" w:hAnsi="Times New Roman" w:cs="Times New Roman"/>
                <w:b/>
                <w:sz w:val="24"/>
                <w:szCs w:val="28"/>
              </w:rPr>
              <w:t>Муниципальный район</w:t>
            </w:r>
          </w:p>
        </w:tc>
        <w:tc>
          <w:tcPr>
            <w:tcW w:w="1984" w:type="dxa"/>
          </w:tcPr>
          <w:p w:rsidR="00153E07" w:rsidRPr="002A61CE" w:rsidRDefault="00153E07" w:rsidP="006D2568">
            <w:pPr>
              <w:jc w:val="both"/>
              <w:rPr>
                <w:rFonts w:ascii="Times New Roman" w:eastAsia="Times New Roman" w:hAnsi="Times New Roman" w:cs="Times New Roman"/>
                <w:b/>
                <w:sz w:val="24"/>
                <w:szCs w:val="28"/>
              </w:rPr>
            </w:pPr>
            <w:r w:rsidRPr="002A61CE">
              <w:rPr>
                <w:rFonts w:ascii="Times New Roman" w:eastAsia="Times New Roman" w:hAnsi="Times New Roman" w:cs="Times New Roman"/>
                <w:b/>
                <w:sz w:val="24"/>
                <w:szCs w:val="28"/>
              </w:rPr>
              <w:t>2014</w:t>
            </w:r>
          </w:p>
        </w:tc>
        <w:tc>
          <w:tcPr>
            <w:tcW w:w="1843" w:type="dxa"/>
          </w:tcPr>
          <w:p w:rsidR="00153E07" w:rsidRPr="002A61CE" w:rsidRDefault="00153E07" w:rsidP="006D2568">
            <w:pPr>
              <w:jc w:val="both"/>
              <w:rPr>
                <w:rFonts w:ascii="Times New Roman" w:eastAsia="Times New Roman" w:hAnsi="Times New Roman" w:cs="Times New Roman"/>
                <w:b/>
                <w:sz w:val="24"/>
                <w:szCs w:val="28"/>
              </w:rPr>
            </w:pPr>
            <w:r w:rsidRPr="002A61CE">
              <w:rPr>
                <w:rFonts w:ascii="Times New Roman" w:eastAsia="Times New Roman" w:hAnsi="Times New Roman" w:cs="Times New Roman"/>
                <w:b/>
                <w:sz w:val="24"/>
                <w:szCs w:val="28"/>
              </w:rPr>
              <w:t>2015</w:t>
            </w:r>
          </w:p>
        </w:tc>
        <w:tc>
          <w:tcPr>
            <w:tcW w:w="1843" w:type="dxa"/>
          </w:tcPr>
          <w:p w:rsidR="00153E07" w:rsidRPr="002A61CE" w:rsidRDefault="00153E07" w:rsidP="006D2568">
            <w:pPr>
              <w:jc w:val="both"/>
              <w:rPr>
                <w:rFonts w:ascii="Times New Roman" w:eastAsia="Times New Roman" w:hAnsi="Times New Roman" w:cs="Times New Roman"/>
                <w:b/>
                <w:sz w:val="24"/>
                <w:szCs w:val="28"/>
              </w:rPr>
            </w:pPr>
            <w:r w:rsidRPr="002A61CE">
              <w:rPr>
                <w:rFonts w:ascii="Times New Roman" w:eastAsia="Times New Roman" w:hAnsi="Times New Roman" w:cs="Times New Roman"/>
                <w:b/>
                <w:sz w:val="24"/>
                <w:szCs w:val="28"/>
              </w:rPr>
              <w:t>2016</w:t>
            </w:r>
          </w:p>
        </w:tc>
      </w:tr>
      <w:tr w:rsidR="00153E07" w:rsidRPr="00E3313E" w:rsidTr="00127DAF">
        <w:tc>
          <w:tcPr>
            <w:tcW w:w="3794" w:type="dxa"/>
            <w:shd w:val="clear" w:color="auto" w:fill="BFBFBF" w:themeFill="background1" w:themeFillShade="BF"/>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Бардымский </w:t>
            </w:r>
          </w:p>
        </w:tc>
        <w:tc>
          <w:tcPr>
            <w:tcW w:w="1984" w:type="dxa"/>
            <w:shd w:val="clear" w:color="auto" w:fill="BFBFBF" w:themeFill="background1" w:themeFillShade="BF"/>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714,26</w:t>
            </w:r>
          </w:p>
        </w:tc>
        <w:tc>
          <w:tcPr>
            <w:tcW w:w="1843" w:type="dxa"/>
            <w:shd w:val="clear" w:color="auto" w:fill="BFBFBF" w:themeFill="background1" w:themeFillShade="BF"/>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672,91</w:t>
            </w:r>
          </w:p>
        </w:tc>
        <w:tc>
          <w:tcPr>
            <w:tcW w:w="1843" w:type="dxa"/>
            <w:shd w:val="clear" w:color="auto" w:fill="BFBFBF" w:themeFill="background1" w:themeFillShade="BF"/>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696,57</w:t>
            </w:r>
          </w:p>
        </w:tc>
      </w:tr>
      <w:tr w:rsidR="00153E07" w:rsidRPr="00E3313E" w:rsidTr="00127DAF">
        <w:tc>
          <w:tcPr>
            <w:tcW w:w="3794" w:type="dxa"/>
          </w:tcPr>
          <w:p w:rsidR="00153E07" w:rsidRPr="002A61CE" w:rsidRDefault="00E97C6A"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Бардымс</w:t>
            </w:r>
            <w:r w:rsidR="00153E07" w:rsidRPr="002A61CE">
              <w:rPr>
                <w:rFonts w:ascii="Times New Roman" w:eastAsia="Times New Roman" w:hAnsi="Times New Roman" w:cs="Times New Roman"/>
                <w:sz w:val="24"/>
                <w:szCs w:val="28"/>
              </w:rPr>
              <w:t xml:space="preserve">ский </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633,48</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638,35</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716,48</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Березовский </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427,29</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411,94</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406,60</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Большесосновский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441,24</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426,72</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417,71</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Верещагинский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1018,41</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956,52</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972,08</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Горнозаводский </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557,27</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514,70</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550,06</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Гремячинский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263,55</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223,59</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223,24</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Добрянский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1371,24</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1249,33</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1213,56</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Еловский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374,69</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306,33</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317,50</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Ильинский </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585,93</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537,21</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539,77</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Карагайский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677,53</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684,33</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680,67</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Кизеловский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463,08</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432,43</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466,74</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Кишертский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327,85</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323,77</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422,29</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Красновишерский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608,15</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653,14</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613,68</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Краснокамский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1369,66</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1254,63</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1444,38</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Куединский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845,47</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894,22</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911,92</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Кунгурский </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1104,86</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1209,27</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1089,45</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Нытвенский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914,79</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868,06</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939,25</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lastRenderedPageBreak/>
              <w:t xml:space="preserve">Октябрьский </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818,12</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791,71</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828,43</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Ординский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467,48</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455,29</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509,27</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Осинский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727,32</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748,33</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752,18</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Оханский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379,82</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378,40</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378,68</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Очерский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514,40</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517,27</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499,77</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Пермский </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2833,73</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2726,99</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2773,22</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Сивинский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476,79</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457,74</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525,17</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Соликамский </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434,08</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449,07</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470,49</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Суксунский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538,46</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505,17</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528,33</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Уинский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358,16</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350,82</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331,46</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Усольский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411,98</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336,92</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464,07</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Чайковский </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2107,13</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1862,21</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2008,00</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Частинский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476,96</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536,77</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478,40</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 xml:space="preserve">Чердынский </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529,46</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487,19</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520,82</w:t>
            </w:r>
          </w:p>
        </w:tc>
      </w:tr>
      <w:tr w:rsidR="00153E07" w:rsidRPr="00E3313E" w:rsidTr="00127DAF">
        <w:tc>
          <w:tcPr>
            <w:tcW w:w="379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Чернушинский</w:t>
            </w:r>
          </w:p>
        </w:tc>
        <w:tc>
          <w:tcPr>
            <w:tcW w:w="1984"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1327,50</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1381,06</w:t>
            </w:r>
          </w:p>
        </w:tc>
        <w:tc>
          <w:tcPr>
            <w:tcW w:w="1843" w:type="dxa"/>
          </w:tcPr>
          <w:p w:rsidR="00153E07" w:rsidRPr="002A61CE" w:rsidRDefault="00153E07" w:rsidP="006D2568">
            <w:pPr>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1334,65</w:t>
            </w:r>
          </w:p>
        </w:tc>
      </w:tr>
    </w:tbl>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Таким образом, Бардымский муниципальный район занимает среднее место среди районов Пермского края, уступая более развитым в экономическом отношении районам, таким как Пермский, Чайковский районы. Наличие производственных, социальных связей с г. Пермь, оказывают влияние на социально-экономическое развитие муниципального района, что находит отражение в оживлении ряда экономических процессов – небольшого роста инвестиционных потоков, увеличения расходов и доходов местного бюджета, роста ввода нового жилья и др.</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Опосредованный положительный экономический эффект на развитие и освоение территории оказывает добыча и переработка нефти, однако основная доля налоговых поступлений аккумулируется в федеральном бюджете.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Наличие социально-демографических, инфраструктурных и производственных проблем сдерживает развитие территории.</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В условиях современных требований к уровню социальных услуг и производственного процесса сохраняются кадровые проблемы по количеству трудовых ресурсов.</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Сохранятся проблемы, касаемо инфраструктурного обеспечения и развития сельской местности, характеризующееся высоким уровнем износа инженерных коммуникаций, жилого фонда, дорожной инфраструктуры.</w:t>
      </w:r>
    </w:p>
    <w:p w:rsidR="00153E07"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В целом необходимо отметить, что среди территорий сельскохозяйственной направленности Пермского края Бардымский муниципальный район играет важное место в развитии субъекта РФ.</w:t>
      </w:r>
    </w:p>
    <w:p w:rsidR="006D2568" w:rsidRDefault="006D2568" w:rsidP="006D2568">
      <w:pPr>
        <w:spacing w:after="0" w:line="240" w:lineRule="auto"/>
        <w:ind w:firstLine="709"/>
        <w:jc w:val="both"/>
        <w:rPr>
          <w:rFonts w:ascii="Times New Roman" w:eastAsia="Times New Roman" w:hAnsi="Times New Roman" w:cs="Times New Roman"/>
          <w:sz w:val="28"/>
          <w:szCs w:val="28"/>
        </w:rPr>
      </w:pPr>
    </w:p>
    <w:p w:rsidR="00153E07" w:rsidRDefault="00153E07" w:rsidP="006D2568">
      <w:pPr>
        <w:pStyle w:val="1"/>
        <w:numPr>
          <w:ilvl w:val="1"/>
          <w:numId w:val="17"/>
        </w:numPr>
        <w:spacing w:line="240" w:lineRule="auto"/>
      </w:pPr>
      <w:r w:rsidRPr="00E3313E">
        <w:t>Типология городских и сельских поселений Бардымского муниципального района</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Типология сельских поселений Бардымского муниципального района была проведена с использованием СП 42.13330.2016 </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СНиП 2.07.01-89. Градостроительство. Планировка и застройка городских и сельских поселений</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 утвержденным Приказом Министерства строительства и жилищно-коммунального хозяйства Российской Федерации № 1034/прот 30.12.2016 г., введена в действие с 1.07.2017г.Городские и сельские поселения подразделяются на группы в соответствии с таблицей 1.32.</w:t>
      </w:r>
    </w:p>
    <w:p w:rsidR="00153E07" w:rsidRPr="00E3313E" w:rsidRDefault="00153E07" w:rsidP="006D2568">
      <w:pPr>
        <w:spacing w:after="0" w:line="240" w:lineRule="auto"/>
        <w:ind w:firstLine="709"/>
        <w:jc w:val="right"/>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lastRenderedPageBreak/>
        <w:t>Таблица 1.3</w:t>
      </w:r>
      <w:r w:rsidR="00127DAF">
        <w:rPr>
          <w:rFonts w:ascii="Times New Roman" w:eastAsia="Times New Roman" w:hAnsi="Times New Roman" w:cs="Times New Roman"/>
          <w:sz w:val="28"/>
          <w:szCs w:val="28"/>
        </w:rPr>
        <w:t>1</w:t>
      </w:r>
    </w:p>
    <w:p w:rsidR="00153E07" w:rsidRPr="00E3313E" w:rsidRDefault="00153E07" w:rsidP="006D2568">
      <w:pPr>
        <w:spacing w:after="0" w:line="240" w:lineRule="auto"/>
        <w:jc w:val="center"/>
        <w:rPr>
          <w:rFonts w:ascii="Times New Roman" w:eastAsia="Times New Roman" w:hAnsi="Times New Roman" w:cs="Times New Roman"/>
          <w:b/>
          <w:sz w:val="28"/>
          <w:szCs w:val="28"/>
        </w:rPr>
      </w:pPr>
      <w:r w:rsidRPr="00E3313E">
        <w:rPr>
          <w:rFonts w:ascii="Times New Roman" w:eastAsia="Times New Roman" w:hAnsi="Times New Roman" w:cs="Times New Roman"/>
          <w:b/>
          <w:sz w:val="28"/>
          <w:szCs w:val="28"/>
        </w:rPr>
        <w:t>Классификация городских и сельских поселений в соответствии с численностью населения</w:t>
      </w:r>
      <w:r w:rsidRPr="00E3313E">
        <w:rPr>
          <w:rStyle w:val="aff2"/>
          <w:rFonts w:ascii="Times New Roman" w:eastAsia="Times New Roman" w:hAnsi="Times New Roman" w:cs="Times New Roman"/>
          <w:b/>
          <w:sz w:val="28"/>
          <w:szCs w:val="28"/>
        </w:rPr>
        <w:footnoteReference w:id="4"/>
      </w:r>
    </w:p>
    <w:tbl>
      <w:tblPr>
        <w:tblW w:w="5000" w:type="pct"/>
        <w:jc w:val="center"/>
        <w:tblLook w:val="04A0"/>
      </w:tblPr>
      <w:tblGrid>
        <w:gridCol w:w="2819"/>
        <w:gridCol w:w="3659"/>
        <w:gridCol w:w="3659"/>
      </w:tblGrid>
      <w:tr w:rsidR="00153E07" w:rsidRPr="00E3313E" w:rsidTr="00153E07">
        <w:trPr>
          <w:trHeight w:val="315"/>
          <w:jc w:val="center"/>
        </w:trPr>
        <w:tc>
          <w:tcPr>
            <w:tcW w:w="13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b/>
                <w:color w:val="000000"/>
                <w:sz w:val="24"/>
                <w:szCs w:val="28"/>
              </w:rPr>
            </w:pPr>
            <w:r w:rsidRPr="002A61CE">
              <w:rPr>
                <w:rFonts w:ascii="Times New Roman" w:eastAsia="Times New Roman" w:hAnsi="Times New Roman" w:cs="Times New Roman"/>
                <w:b/>
                <w:color w:val="000000"/>
                <w:sz w:val="24"/>
                <w:szCs w:val="28"/>
              </w:rPr>
              <w:t>Группы</w:t>
            </w:r>
          </w:p>
        </w:tc>
        <w:tc>
          <w:tcPr>
            <w:tcW w:w="3610" w:type="pct"/>
            <w:gridSpan w:val="2"/>
            <w:tcBorders>
              <w:top w:val="single" w:sz="4" w:space="0" w:color="auto"/>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b/>
                <w:color w:val="000000"/>
                <w:sz w:val="24"/>
                <w:szCs w:val="28"/>
              </w:rPr>
            </w:pPr>
            <w:r w:rsidRPr="002A61CE">
              <w:rPr>
                <w:rFonts w:ascii="Times New Roman" w:eastAsia="Times New Roman" w:hAnsi="Times New Roman" w:cs="Times New Roman"/>
                <w:b/>
                <w:color w:val="000000"/>
                <w:sz w:val="24"/>
                <w:szCs w:val="28"/>
              </w:rPr>
              <w:t>Население, тыс. чел.</w:t>
            </w:r>
          </w:p>
        </w:tc>
      </w:tr>
      <w:tr w:rsidR="00153E07" w:rsidRPr="00E3313E" w:rsidTr="00153E07">
        <w:trPr>
          <w:trHeight w:val="300"/>
          <w:jc w:val="center"/>
        </w:trPr>
        <w:tc>
          <w:tcPr>
            <w:tcW w:w="1390" w:type="pct"/>
            <w:vMerge/>
            <w:tcBorders>
              <w:top w:val="single" w:sz="4" w:space="0" w:color="auto"/>
              <w:left w:val="single" w:sz="4" w:space="0" w:color="auto"/>
              <w:bottom w:val="single" w:sz="4" w:space="0" w:color="auto"/>
              <w:right w:val="single" w:sz="4" w:space="0" w:color="auto"/>
            </w:tcBorders>
            <w:vAlign w:val="center"/>
            <w:hideMark/>
          </w:tcPr>
          <w:p w:rsidR="00153E07" w:rsidRPr="002A61CE" w:rsidRDefault="00153E07" w:rsidP="006D2568">
            <w:pPr>
              <w:spacing w:after="0" w:line="240" w:lineRule="auto"/>
              <w:jc w:val="both"/>
              <w:rPr>
                <w:rFonts w:ascii="Times New Roman" w:eastAsia="Times New Roman" w:hAnsi="Times New Roman" w:cs="Times New Roman"/>
                <w:b/>
                <w:color w:val="000000"/>
                <w:sz w:val="24"/>
                <w:szCs w:val="28"/>
              </w:rPr>
            </w:pP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b/>
                <w:color w:val="000000"/>
                <w:sz w:val="24"/>
                <w:szCs w:val="28"/>
              </w:rPr>
            </w:pPr>
            <w:r w:rsidRPr="002A61CE">
              <w:rPr>
                <w:rFonts w:ascii="Times New Roman" w:eastAsia="Times New Roman" w:hAnsi="Times New Roman" w:cs="Times New Roman"/>
                <w:b/>
                <w:color w:val="000000"/>
                <w:sz w:val="24"/>
                <w:szCs w:val="28"/>
              </w:rPr>
              <w:t>Города</w:t>
            </w: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b/>
                <w:color w:val="000000"/>
                <w:sz w:val="24"/>
                <w:szCs w:val="28"/>
              </w:rPr>
            </w:pPr>
            <w:r w:rsidRPr="002A61CE">
              <w:rPr>
                <w:rFonts w:ascii="Times New Roman" w:eastAsia="Times New Roman" w:hAnsi="Times New Roman" w:cs="Times New Roman"/>
                <w:b/>
                <w:color w:val="000000"/>
                <w:sz w:val="24"/>
                <w:szCs w:val="28"/>
              </w:rPr>
              <w:t>Сельские поселения</w:t>
            </w:r>
          </w:p>
        </w:tc>
      </w:tr>
      <w:tr w:rsidR="00153E07" w:rsidRPr="00E3313E" w:rsidTr="00153E07">
        <w:trPr>
          <w:trHeight w:val="300"/>
          <w:jc w:val="center"/>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Крупнейшие</w:t>
            </w: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Свыше 1000</w:t>
            </w: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w:t>
            </w:r>
          </w:p>
        </w:tc>
      </w:tr>
      <w:tr w:rsidR="00153E07" w:rsidRPr="00E3313E" w:rsidTr="00153E07">
        <w:trPr>
          <w:trHeight w:val="300"/>
          <w:jc w:val="center"/>
        </w:trPr>
        <w:tc>
          <w:tcPr>
            <w:tcW w:w="1390" w:type="pct"/>
            <w:vMerge w:val="restart"/>
            <w:tcBorders>
              <w:top w:val="nil"/>
              <w:left w:val="single" w:sz="4" w:space="0" w:color="auto"/>
              <w:bottom w:val="single" w:sz="4" w:space="0" w:color="000000"/>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Крупные</w:t>
            </w: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500-1000</w:t>
            </w: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Свыше 5</w:t>
            </w:r>
          </w:p>
        </w:tc>
      </w:tr>
      <w:tr w:rsidR="00153E07" w:rsidRPr="00E3313E" w:rsidTr="00153E07">
        <w:trPr>
          <w:trHeight w:val="300"/>
          <w:jc w:val="center"/>
        </w:trPr>
        <w:tc>
          <w:tcPr>
            <w:tcW w:w="1390" w:type="pct"/>
            <w:vMerge/>
            <w:tcBorders>
              <w:top w:val="nil"/>
              <w:left w:val="single" w:sz="4" w:space="0" w:color="auto"/>
              <w:bottom w:val="single" w:sz="4" w:space="0" w:color="000000"/>
              <w:right w:val="single" w:sz="4" w:space="0" w:color="auto"/>
            </w:tcBorders>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250-500</w:t>
            </w: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3-5</w:t>
            </w:r>
          </w:p>
        </w:tc>
      </w:tr>
      <w:tr w:rsidR="00153E07" w:rsidRPr="00E3313E" w:rsidTr="00153E07">
        <w:trPr>
          <w:trHeight w:val="300"/>
          <w:jc w:val="center"/>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Большие</w:t>
            </w: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100-250</w:t>
            </w: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1-3</w:t>
            </w:r>
          </w:p>
        </w:tc>
      </w:tr>
      <w:tr w:rsidR="00153E07" w:rsidRPr="00E3313E" w:rsidTr="00153E07">
        <w:trPr>
          <w:trHeight w:val="300"/>
          <w:jc w:val="center"/>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Средние</w:t>
            </w: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50-100</w:t>
            </w: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0,2-1</w:t>
            </w:r>
          </w:p>
        </w:tc>
      </w:tr>
      <w:tr w:rsidR="00153E07" w:rsidRPr="00E3313E" w:rsidTr="00153E07">
        <w:trPr>
          <w:trHeight w:val="300"/>
          <w:jc w:val="center"/>
        </w:trPr>
        <w:tc>
          <w:tcPr>
            <w:tcW w:w="1390" w:type="pct"/>
            <w:vMerge w:val="restart"/>
            <w:tcBorders>
              <w:top w:val="nil"/>
              <w:left w:val="single" w:sz="4" w:space="0" w:color="auto"/>
              <w:bottom w:val="single" w:sz="4" w:space="0" w:color="000000"/>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Малые*</w:t>
            </w: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20-50</w:t>
            </w: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0,05-0,2</w:t>
            </w:r>
          </w:p>
        </w:tc>
      </w:tr>
      <w:tr w:rsidR="00153E07" w:rsidRPr="00E3313E" w:rsidTr="00153E07">
        <w:trPr>
          <w:trHeight w:val="300"/>
          <w:jc w:val="center"/>
        </w:trPr>
        <w:tc>
          <w:tcPr>
            <w:tcW w:w="1390" w:type="pct"/>
            <w:vMerge/>
            <w:tcBorders>
              <w:top w:val="nil"/>
              <w:left w:val="single" w:sz="4" w:space="0" w:color="auto"/>
              <w:bottom w:val="single" w:sz="4" w:space="0" w:color="000000"/>
              <w:right w:val="single" w:sz="4" w:space="0" w:color="auto"/>
            </w:tcBorders>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10-20</w:t>
            </w: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0,05</w:t>
            </w:r>
          </w:p>
        </w:tc>
      </w:tr>
      <w:tr w:rsidR="00153E07" w:rsidRPr="00E3313E" w:rsidTr="00153E07">
        <w:trPr>
          <w:trHeight w:val="300"/>
          <w:jc w:val="center"/>
        </w:trPr>
        <w:tc>
          <w:tcPr>
            <w:tcW w:w="1390" w:type="pct"/>
            <w:vMerge/>
            <w:tcBorders>
              <w:top w:val="nil"/>
              <w:left w:val="single" w:sz="4" w:space="0" w:color="auto"/>
              <w:bottom w:val="single" w:sz="4" w:space="0" w:color="000000"/>
              <w:right w:val="single" w:sz="4" w:space="0" w:color="auto"/>
            </w:tcBorders>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w:t>
            </w:r>
          </w:p>
        </w:tc>
        <w:tc>
          <w:tcPr>
            <w:tcW w:w="1805" w:type="pct"/>
            <w:tcBorders>
              <w:top w:val="nil"/>
              <w:left w:val="nil"/>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p>
        </w:tc>
      </w:tr>
      <w:tr w:rsidR="00153E07" w:rsidRPr="00E3313E" w:rsidTr="00153E07">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2A61CE" w:rsidRDefault="00153E07"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 В группу малых городов включаются поселки городского типа</w:t>
            </w:r>
          </w:p>
        </w:tc>
      </w:tr>
    </w:tbl>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Структура численности населения Бардымского муниципального района в разрезе сельских поселений представлена в таблице 1.3</w:t>
      </w:r>
      <w:r w:rsidR="00127DAF">
        <w:rPr>
          <w:rFonts w:ascii="Times New Roman" w:eastAsia="Times New Roman" w:hAnsi="Times New Roman" w:cs="Times New Roman"/>
          <w:sz w:val="28"/>
          <w:szCs w:val="28"/>
        </w:rPr>
        <w:t>2</w:t>
      </w:r>
      <w:r w:rsidRPr="00E3313E">
        <w:rPr>
          <w:rFonts w:ascii="Times New Roman" w:eastAsia="Times New Roman" w:hAnsi="Times New Roman" w:cs="Times New Roman"/>
          <w:sz w:val="28"/>
          <w:szCs w:val="28"/>
        </w:rPr>
        <w:t>.</w:t>
      </w:r>
    </w:p>
    <w:p w:rsidR="00E3313E" w:rsidRDefault="00E3313E" w:rsidP="006D2568">
      <w:pPr>
        <w:spacing w:after="0" w:line="240" w:lineRule="auto"/>
        <w:ind w:firstLine="709"/>
        <w:jc w:val="right"/>
        <w:rPr>
          <w:rFonts w:ascii="Times New Roman" w:eastAsia="Times New Roman" w:hAnsi="Times New Roman" w:cs="Times New Roman"/>
          <w:sz w:val="28"/>
          <w:szCs w:val="28"/>
        </w:rPr>
      </w:pPr>
    </w:p>
    <w:p w:rsidR="00153E07" w:rsidRPr="00E3313E" w:rsidRDefault="00153E07" w:rsidP="006D2568">
      <w:pPr>
        <w:spacing w:after="0" w:line="240" w:lineRule="auto"/>
        <w:ind w:firstLine="709"/>
        <w:jc w:val="right"/>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Таблица 1.3</w:t>
      </w:r>
      <w:r w:rsidR="00127DAF">
        <w:rPr>
          <w:rFonts w:ascii="Times New Roman" w:eastAsia="Times New Roman" w:hAnsi="Times New Roman" w:cs="Times New Roman"/>
          <w:sz w:val="28"/>
          <w:szCs w:val="28"/>
        </w:rPr>
        <w:t>2</w:t>
      </w:r>
    </w:p>
    <w:p w:rsidR="00153E07" w:rsidRPr="00E3313E" w:rsidRDefault="00153E07" w:rsidP="006D2568">
      <w:pPr>
        <w:spacing w:after="0" w:line="240" w:lineRule="auto"/>
        <w:jc w:val="center"/>
        <w:rPr>
          <w:rFonts w:ascii="Times New Roman" w:eastAsia="Times New Roman" w:hAnsi="Times New Roman" w:cs="Times New Roman"/>
          <w:b/>
          <w:color w:val="000000"/>
          <w:sz w:val="28"/>
          <w:szCs w:val="28"/>
        </w:rPr>
      </w:pPr>
      <w:r w:rsidRPr="00E3313E">
        <w:rPr>
          <w:rFonts w:ascii="Times New Roman" w:eastAsia="Times New Roman" w:hAnsi="Times New Roman" w:cs="Times New Roman"/>
          <w:b/>
          <w:sz w:val="28"/>
          <w:szCs w:val="28"/>
        </w:rPr>
        <w:t>Структура численности населения в разрезе сельских поселений Бардымского муниципального района на 01.01.2017</w:t>
      </w:r>
      <w:r w:rsidR="00127DAF">
        <w:rPr>
          <w:rFonts w:ascii="Times New Roman" w:eastAsia="Times New Roman" w:hAnsi="Times New Roman" w:cs="Times New Roman"/>
          <w:b/>
          <w:sz w:val="28"/>
          <w:szCs w:val="28"/>
        </w:rPr>
        <w:t xml:space="preserve"> </w:t>
      </w:r>
      <w:r w:rsidRPr="00E3313E">
        <w:rPr>
          <w:rFonts w:ascii="Times New Roman" w:eastAsia="Times New Roman" w:hAnsi="Times New Roman" w:cs="Times New Roman"/>
          <w:b/>
          <w:sz w:val="28"/>
          <w:szCs w:val="28"/>
        </w:rPr>
        <w:t>г.</w:t>
      </w:r>
      <w:r w:rsidRPr="00E3313E">
        <w:rPr>
          <w:rStyle w:val="aff2"/>
          <w:rFonts w:ascii="Times New Roman" w:eastAsia="Times New Roman" w:hAnsi="Times New Roman" w:cs="Times New Roman"/>
          <w:b/>
          <w:color w:val="000000"/>
          <w:sz w:val="28"/>
          <w:szCs w:val="28"/>
        </w:rPr>
        <w:footnoteReference w:id="5"/>
      </w:r>
    </w:p>
    <w:tbl>
      <w:tblPr>
        <w:tblW w:w="5000" w:type="pct"/>
        <w:tblLayout w:type="fixed"/>
        <w:tblLook w:val="04A0"/>
      </w:tblPr>
      <w:tblGrid>
        <w:gridCol w:w="3718"/>
        <w:gridCol w:w="3455"/>
        <w:gridCol w:w="1504"/>
        <w:gridCol w:w="1460"/>
      </w:tblGrid>
      <w:tr w:rsidR="00153E07" w:rsidRPr="00E3313E" w:rsidTr="00153E07">
        <w:trPr>
          <w:trHeight w:val="300"/>
        </w:trPr>
        <w:tc>
          <w:tcPr>
            <w:tcW w:w="183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3E07" w:rsidRPr="00D922B3" w:rsidRDefault="00153E07" w:rsidP="006D2568">
            <w:pPr>
              <w:spacing w:after="0" w:line="240" w:lineRule="auto"/>
              <w:jc w:val="center"/>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Сельское поселение</w:t>
            </w:r>
          </w:p>
        </w:tc>
        <w:tc>
          <w:tcPr>
            <w:tcW w:w="170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3E07" w:rsidRPr="00D922B3" w:rsidRDefault="00153E07" w:rsidP="006D2568">
            <w:pPr>
              <w:spacing w:after="0" w:line="240" w:lineRule="auto"/>
              <w:jc w:val="center"/>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Группа</w:t>
            </w:r>
          </w:p>
        </w:tc>
        <w:tc>
          <w:tcPr>
            <w:tcW w:w="1462" w:type="pct"/>
            <w:gridSpan w:val="2"/>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6D2568">
            <w:pPr>
              <w:spacing w:after="0" w:line="240" w:lineRule="auto"/>
              <w:jc w:val="center"/>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Население на 01.01.2017г.</w:t>
            </w:r>
          </w:p>
        </w:tc>
      </w:tr>
      <w:tr w:rsidR="00153E07" w:rsidRPr="00E3313E" w:rsidTr="00153E07">
        <w:trPr>
          <w:trHeight w:val="300"/>
        </w:trPr>
        <w:tc>
          <w:tcPr>
            <w:tcW w:w="1834" w:type="pct"/>
            <w:vMerge/>
            <w:tcBorders>
              <w:top w:val="single" w:sz="4" w:space="0" w:color="auto"/>
              <w:left w:val="single" w:sz="4" w:space="0" w:color="auto"/>
              <w:bottom w:val="single" w:sz="4" w:space="0" w:color="000000"/>
              <w:right w:val="single" w:sz="4" w:space="0" w:color="auto"/>
            </w:tcBorders>
            <w:vAlign w:val="center"/>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p>
        </w:tc>
        <w:tc>
          <w:tcPr>
            <w:tcW w:w="1704" w:type="pct"/>
            <w:vMerge/>
            <w:tcBorders>
              <w:top w:val="single" w:sz="4" w:space="0" w:color="auto"/>
              <w:left w:val="single" w:sz="4" w:space="0" w:color="auto"/>
              <w:bottom w:val="single" w:sz="4" w:space="0" w:color="000000"/>
              <w:right w:val="single" w:sz="4" w:space="0" w:color="auto"/>
            </w:tcBorders>
            <w:vAlign w:val="center"/>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p>
        </w:tc>
        <w:tc>
          <w:tcPr>
            <w:tcW w:w="742" w:type="pct"/>
            <w:tcBorders>
              <w:top w:val="nil"/>
              <w:left w:val="nil"/>
              <w:bottom w:val="single" w:sz="4" w:space="0" w:color="auto"/>
              <w:right w:val="single" w:sz="4" w:space="0" w:color="auto"/>
            </w:tcBorders>
            <w:shd w:val="clear" w:color="auto" w:fill="auto"/>
            <w:vAlign w:val="center"/>
            <w:hideMark/>
          </w:tcPr>
          <w:p w:rsidR="00153E07" w:rsidRPr="00D922B3" w:rsidRDefault="00153E07" w:rsidP="006D2568">
            <w:pPr>
              <w:spacing w:after="0" w:line="240" w:lineRule="auto"/>
              <w:jc w:val="center"/>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человек</w:t>
            </w:r>
          </w:p>
        </w:tc>
        <w:tc>
          <w:tcPr>
            <w:tcW w:w="720" w:type="pct"/>
            <w:tcBorders>
              <w:top w:val="nil"/>
              <w:left w:val="nil"/>
              <w:bottom w:val="single" w:sz="4" w:space="0" w:color="auto"/>
              <w:right w:val="single" w:sz="4" w:space="0" w:color="auto"/>
            </w:tcBorders>
            <w:shd w:val="clear" w:color="auto" w:fill="auto"/>
            <w:vAlign w:val="center"/>
            <w:hideMark/>
          </w:tcPr>
          <w:p w:rsidR="00153E07" w:rsidRPr="00D922B3" w:rsidRDefault="00153E07" w:rsidP="006D2568">
            <w:pPr>
              <w:spacing w:after="0" w:line="240" w:lineRule="auto"/>
              <w:jc w:val="center"/>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Удельный вес, %</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Бардымское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Крупное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9827</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38,9%</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Красноярское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Большое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2249</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8,9%</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Елпачихинское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Большое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1916</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7,6%</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Березниковское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Большое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1364</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5,4%</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Сарашевское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Большое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2487</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9,8%</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Тюндюковское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Большое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1312</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5,2%</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Бичуринское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Большое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1652</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6,5%</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Брюзлинское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Среднее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792</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3,1%</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Федорковское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Большое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1184</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4,7%</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Печменское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Большое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1607</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6,4%</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Новоашапское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Среднее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422</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1,7%</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Шермейское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Среднее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479</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1,9%</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noWrap/>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Итого</w:t>
            </w:r>
          </w:p>
        </w:tc>
        <w:tc>
          <w:tcPr>
            <w:tcW w:w="1704" w:type="pct"/>
            <w:tcBorders>
              <w:top w:val="nil"/>
              <w:left w:val="nil"/>
              <w:bottom w:val="single" w:sz="4" w:space="0" w:color="auto"/>
              <w:right w:val="single" w:sz="4" w:space="0" w:color="auto"/>
            </w:tcBorders>
            <w:shd w:val="clear" w:color="auto" w:fill="auto"/>
            <w:noWrap/>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25291</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100%</w:t>
            </w:r>
          </w:p>
        </w:tc>
      </w:tr>
    </w:tbl>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p>
    <w:p w:rsidR="00140697" w:rsidRPr="00127DAF" w:rsidRDefault="00140697" w:rsidP="00980ED1">
      <w:pPr>
        <w:spacing w:after="0" w:line="240" w:lineRule="auto"/>
        <w:jc w:val="both"/>
        <w:rPr>
          <w:rFonts w:ascii="Times New Roman" w:eastAsia="Times New Roman" w:hAnsi="Times New Roman" w:cs="Times New Roman"/>
          <w:b/>
          <w:sz w:val="28"/>
          <w:szCs w:val="28"/>
        </w:rPr>
      </w:pPr>
      <w:r w:rsidRPr="00127DAF">
        <w:rPr>
          <w:rFonts w:ascii="Times New Roman" w:eastAsia="Times New Roman" w:hAnsi="Times New Roman" w:cs="Times New Roman"/>
          <w:b/>
          <w:sz w:val="28"/>
          <w:szCs w:val="28"/>
        </w:rPr>
        <w:t>1.4.1 Типология населенных пунктов Бардымского муниципального района</w:t>
      </w:r>
    </w:p>
    <w:p w:rsidR="00EE309F" w:rsidRDefault="00EE309F"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Бардымском муниципальном районе расположен 61 населенный пункт. В соответствии с численностью населения в данных населенных пунктах их можно подразделить на 3 группы: развиваемые, сохраняемые и неперспективные населенные пункты.</w:t>
      </w:r>
    </w:p>
    <w:p w:rsidR="00EE309F" w:rsidRDefault="00EE309F"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развиваемым населенным пунктам можно отнести те, в которых численность населения составляет от 300 до 10000 человек.</w:t>
      </w:r>
    </w:p>
    <w:p w:rsidR="00EE309F" w:rsidRDefault="00EE309F"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Сохраняемыми населенными пунктами выступают села и деревни с численностью населения от 10 до 300 человек.</w:t>
      </w:r>
    </w:p>
    <w:p w:rsidR="00EE309F" w:rsidRDefault="00EE309F"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Неперспективными считаются те, населенные пункты, в которых проживает до 10 человек, так называемые однодворки.</w:t>
      </w:r>
    </w:p>
    <w:p w:rsidR="00EE309F" w:rsidRDefault="00EE309F"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таблице 1.3</w:t>
      </w:r>
      <w:r w:rsidR="00127DAF">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представлены населенные пункты Бардымского муниципального района в разрезе данной группировки.</w:t>
      </w:r>
    </w:p>
    <w:p w:rsidR="00EE309F" w:rsidRDefault="00EE309F" w:rsidP="006D2568">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1.3</w:t>
      </w:r>
      <w:r w:rsidR="00127DAF">
        <w:rPr>
          <w:rFonts w:ascii="Times New Roman" w:eastAsia="Times New Roman" w:hAnsi="Times New Roman" w:cs="Times New Roman"/>
          <w:sz w:val="28"/>
          <w:szCs w:val="28"/>
        </w:rPr>
        <w:t>3</w:t>
      </w:r>
    </w:p>
    <w:p w:rsidR="00EE309F" w:rsidRPr="00EF6379" w:rsidRDefault="00EE309F" w:rsidP="006D2568">
      <w:pPr>
        <w:spacing w:after="0" w:line="240" w:lineRule="auto"/>
        <w:ind w:firstLine="709"/>
        <w:jc w:val="center"/>
        <w:rPr>
          <w:rFonts w:ascii="Times New Roman" w:eastAsia="Times New Roman" w:hAnsi="Times New Roman" w:cs="Times New Roman"/>
          <w:b/>
          <w:sz w:val="28"/>
          <w:szCs w:val="28"/>
        </w:rPr>
      </w:pPr>
      <w:r w:rsidRPr="00EF6379">
        <w:rPr>
          <w:rFonts w:ascii="Times New Roman" w:eastAsia="Times New Roman" w:hAnsi="Times New Roman" w:cs="Times New Roman"/>
          <w:b/>
          <w:sz w:val="28"/>
          <w:szCs w:val="28"/>
        </w:rPr>
        <w:t xml:space="preserve">Населенные пункты Бардымского муниципального района </w:t>
      </w:r>
    </w:p>
    <w:p w:rsidR="00EE309F" w:rsidRPr="00EF6379" w:rsidRDefault="00EE309F" w:rsidP="006D2568">
      <w:pPr>
        <w:spacing w:after="0" w:line="240" w:lineRule="auto"/>
        <w:ind w:firstLine="709"/>
        <w:jc w:val="center"/>
        <w:rPr>
          <w:rFonts w:ascii="Times New Roman" w:eastAsia="Times New Roman" w:hAnsi="Times New Roman" w:cs="Times New Roman"/>
          <w:b/>
          <w:sz w:val="28"/>
          <w:szCs w:val="28"/>
        </w:rPr>
      </w:pPr>
      <w:r w:rsidRPr="00EF6379">
        <w:rPr>
          <w:rFonts w:ascii="Times New Roman" w:eastAsia="Times New Roman" w:hAnsi="Times New Roman" w:cs="Times New Roman"/>
          <w:b/>
          <w:sz w:val="28"/>
          <w:szCs w:val="28"/>
        </w:rPr>
        <w:t>по категориям развития</w:t>
      </w:r>
    </w:p>
    <w:tbl>
      <w:tblPr>
        <w:tblW w:w="5000" w:type="pct"/>
        <w:jc w:val="center"/>
        <w:tblLook w:val="04A0"/>
      </w:tblPr>
      <w:tblGrid>
        <w:gridCol w:w="2794"/>
        <w:gridCol w:w="2313"/>
        <w:gridCol w:w="2226"/>
        <w:gridCol w:w="2804"/>
      </w:tblGrid>
      <w:tr w:rsidR="00EE309F" w:rsidRPr="00EE309F" w:rsidTr="00EE309F">
        <w:trPr>
          <w:trHeight w:val="900"/>
          <w:jc w:val="center"/>
        </w:trPr>
        <w:tc>
          <w:tcPr>
            <w:tcW w:w="137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Сельское поселение / Населенный пункт</w:t>
            </w:r>
          </w:p>
        </w:tc>
        <w:tc>
          <w:tcPr>
            <w:tcW w:w="1141" w:type="pct"/>
            <w:tcBorders>
              <w:top w:val="single" w:sz="4" w:space="0" w:color="auto"/>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Развиваемый</w:t>
            </w:r>
          </w:p>
        </w:tc>
        <w:tc>
          <w:tcPr>
            <w:tcW w:w="1098" w:type="pct"/>
            <w:tcBorders>
              <w:top w:val="single" w:sz="4" w:space="0" w:color="auto"/>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Сохраняемый</w:t>
            </w:r>
          </w:p>
        </w:tc>
        <w:tc>
          <w:tcPr>
            <w:tcW w:w="1383" w:type="pct"/>
            <w:tcBorders>
              <w:top w:val="single" w:sz="4" w:space="0" w:color="auto"/>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Неперспективный</w:t>
            </w: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Бардымское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Барда</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 xml:space="preserve">д. Мостовая </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Старый Чад</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Чалково</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Березниковское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3</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Березники</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Ишимово</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Кудаш</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Чувашаево</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Куземьярово</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Бичуринское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3</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Бичурино</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Бардабашка-I</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Бардабашка-II</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Учкул</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Брюзлинское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Брюзли</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Батырбай</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Сюзянь</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Елпачихинское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Елпачиха</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Искирь</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Конюково</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Усть-Тунтор</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Красноярское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1</w:t>
            </w: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lastRenderedPageBreak/>
              <w:t>с. Краснояр-I</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Краснояр-II</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Утяй</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Новоашапское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4</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Новый Ашап</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Верхний Ашап</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Никольск</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Талканка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Усть-Шлык</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Печменское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5</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Печмень</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Амировка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Асюл</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Зязелга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Кармановка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75"/>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Нижняя Искильда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Константиновка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Сарашевское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3</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Сараши</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3A4F1A" w:rsidP="006D2568">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w:t>
            </w:r>
            <w:r w:rsidR="00EE309F" w:rsidRPr="00EE309F">
              <w:rPr>
                <w:rFonts w:ascii="Times New Roman" w:eastAsia="Times New Roman" w:hAnsi="Times New Roman" w:cs="Times New Roman"/>
                <w:color w:val="000000"/>
              </w:rPr>
              <w:t xml:space="preserve"> Игатка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Нарадка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 xml:space="preserve">д. Усаклы </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Усть-Ашап</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Султанай</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Танып</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Тюндюковское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4</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Тюндюк</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Новая Казанка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Верх-Шлык</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 xml:space="preserve">д. Новый Чад  </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Старый Ашап</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Аклуши</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Федорковское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3</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Федорки</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Юкшур</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Акбаш</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Уймуж</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Шермейское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7</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Шермейка</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Антуфьево</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Зайцево</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Караул</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Низовское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Шабарка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Шермеинск</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Щипа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п. Искирский</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lastRenderedPageBreak/>
              <w:t>Итого</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23</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33</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5</w:t>
            </w:r>
          </w:p>
        </w:tc>
      </w:tr>
    </w:tbl>
    <w:p w:rsidR="00140697" w:rsidRDefault="00DE336E"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к категории развиваемых относится 23 населенных пункта, из них </w:t>
      </w:r>
      <w:r w:rsidR="001B40D6">
        <w:rPr>
          <w:rFonts w:ascii="Times New Roman" w:eastAsia="Times New Roman" w:hAnsi="Times New Roman" w:cs="Times New Roman"/>
          <w:sz w:val="28"/>
          <w:szCs w:val="28"/>
        </w:rPr>
        <w:t xml:space="preserve">наибольшая доля располагается в Бардымском, Березниковском, Брюзлинском, Красноярском, </w:t>
      </w:r>
      <w:r w:rsidR="00592655">
        <w:rPr>
          <w:rFonts w:ascii="Times New Roman" w:eastAsia="Times New Roman" w:hAnsi="Times New Roman" w:cs="Times New Roman"/>
          <w:sz w:val="28"/>
          <w:szCs w:val="28"/>
        </w:rPr>
        <w:t xml:space="preserve">Елпачихинском и Федорковском сельских поселениях. При этом, по доле численности населения, приходящегося на </w:t>
      </w:r>
      <w:r w:rsidR="006034AD">
        <w:rPr>
          <w:rFonts w:ascii="Times New Roman" w:eastAsia="Times New Roman" w:hAnsi="Times New Roman" w:cs="Times New Roman"/>
          <w:sz w:val="28"/>
          <w:szCs w:val="28"/>
        </w:rPr>
        <w:t>развиваемые населенные пункты сюда также можно также добавить Сарашевское сельское поселение. В целом в развиваемых населенных пунктах проживает 87,2% всего населения Бардымского муниципального района.</w:t>
      </w:r>
    </w:p>
    <w:p w:rsidR="006034AD" w:rsidRDefault="006034AD"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сохраняемым населенным пунктам можно отнести</w:t>
      </w:r>
      <w:r w:rsidR="00FF0C59">
        <w:rPr>
          <w:rFonts w:ascii="Times New Roman" w:eastAsia="Times New Roman" w:hAnsi="Times New Roman" w:cs="Times New Roman"/>
          <w:sz w:val="28"/>
          <w:szCs w:val="28"/>
        </w:rPr>
        <w:t xml:space="preserve"> 33 населенных пункта, в которых проживает 12,7% населения всего Бардымского района. Наибольшая </w:t>
      </w:r>
      <w:r w:rsidR="008B4C8B">
        <w:rPr>
          <w:rFonts w:ascii="Times New Roman" w:eastAsia="Times New Roman" w:hAnsi="Times New Roman" w:cs="Times New Roman"/>
          <w:sz w:val="28"/>
          <w:szCs w:val="28"/>
        </w:rPr>
        <w:t>доля сохраняемых населенных пунктов располагается в Бичуринском, Новоашапском, Печменском, Тюндюковском и Шермейском населенных пунктах.</w:t>
      </w:r>
    </w:p>
    <w:p w:rsidR="008B4C8B" w:rsidRDefault="008B4C8B"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неперспективным (однодворкам) относится </w:t>
      </w:r>
      <w:r w:rsidR="003A4F1A">
        <w:rPr>
          <w:rFonts w:ascii="Times New Roman" w:eastAsia="Times New Roman" w:hAnsi="Times New Roman" w:cs="Times New Roman"/>
          <w:sz w:val="28"/>
          <w:szCs w:val="28"/>
        </w:rPr>
        <w:t xml:space="preserve">5 населенных пунктов. Доля населения, проживающего в них составляет 0,1% от всего сельского населения Бардымского муниципального района. </w:t>
      </w:r>
    </w:p>
    <w:p w:rsidR="003A4F1A" w:rsidRDefault="003A4F1A"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Неперспективными населенными пунктами являются деревня Утяй, в которой проживает 2 человека Красноярского сельского поселения, д. Усаклы (5 чел) и д. </w:t>
      </w:r>
      <w:r w:rsidR="00E36F81">
        <w:rPr>
          <w:rFonts w:ascii="Times New Roman" w:eastAsia="Times New Roman" w:hAnsi="Times New Roman" w:cs="Times New Roman"/>
          <w:sz w:val="28"/>
          <w:szCs w:val="28"/>
        </w:rPr>
        <w:t>Игатка (8 чел) С</w:t>
      </w:r>
      <w:r>
        <w:rPr>
          <w:rFonts w:ascii="Times New Roman" w:eastAsia="Times New Roman" w:hAnsi="Times New Roman" w:cs="Times New Roman"/>
          <w:sz w:val="28"/>
          <w:szCs w:val="28"/>
        </w:rPr>
        <w:t>арашевского сельского поселения, п. Искирский (3 чел.) и д. Шермеинск (3 чел.) Шермейского сельского поселения.</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Формирование территорий сельских поселений Бардымского муниципального района, в соответствии с действующим законодательством, произведено на основе закрепления их границ, путем разработки соответствующих картографических описаний, состав и содержание которых, а также порядок их утверждения определен органами государственной власти Пермского края.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Федеральным законом </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Об общих принципах организации местного самоуправления в Российской Федерации</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 xml:space="preserve"> установлены требования к формированию территорий сельских поселений. В соответствии с данным законом: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 Границы территорий муниципальных образований устанавливаются и изменяются законами субъектов Российской Федерации;</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 Территория субъекта Российской Федерации, за исключением территорий с низкой плотностью населения, разграничиваются между поселениями;</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3. Территорию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рекреационные земли, земли для развития поселения;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 Границы сельского поселения, в состав которого входят два и более населенных пункта устанавливаются с учетом пешеходной доступности до административного центра сельского поселения, туда и обратно в течение рабочего дня для жителей всех населенных пунктов, входящих в состав поселения;</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5. Границы поселения не могут пересекаться границами населенного пункта;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lastRenderedPageBreak/>
        <w:t>6. Территория поселения не может находиться внутри территории другого поселения;</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7. Границы муниципального района не могут пересекаться границами поселения.</w:t>
      </w:r>
      <w:r w:rsidRPr="00E3313E">
        <w:rPr>
          <w:rStyle w:val="aff2"/>
          <w:rFonts w:ascii="Times New Roman" w:eastAsia="Times New Roman" w:hAnsi="Times New Roman" w:cs="Times New Roman"/>
          <w:sz w:val="28"/>
          <w:szCs w:val="28"/>
        </w:rPr>
        <w:footnoteReference w:id="6"/>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В связи с тем, что законом предусматриваются особые условия установления границ на территориях с низкой плотностью населения, Правительством РФ установлены территории, относящиеся к территориям с низкой плотностью населения. На таких территориях формируются так называемые межселенные территории, не относящиеся к территории сельских поселений.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Бардымский муниципальный район включает в себя 12 сельских поселений, из них 1 сельское поселение относится к группе крупных поселений, 8 – к группе больших сельских поселений и 3 классифицируются как средние сельские поселения (таблица </w:t>
      </w:r>
      <w:r w:rsidR="0044735E">
        <w:rPr>
          <w:rFonts w:ascii="Times New Roman" w:eastAsia="Times New Roman" w:hAnsi="Times New Roman" w:cs="Times New Roman"/>
          <w:sz w:val="28"/>
          <w:szCs w:val="28"/>
        </w:rPr>
        <w:t>1.33</w:t>
      </w:r>
      <w:r w:rsidRPr="00E3313E">
        <w:rPr>
          <w:rFonts w:ascii="Times New Roman" w:eastAsia="Times New Roman" w:hAnsi="Times New Roman" w:cs="Times New Roman"/>
          <w:sz w:val="28"/>
          <w:szCs w:val="28"/>
        </w:rPr>
        <w:t xml:space="preserve">). Городских поселений и межселенных территорий Бардымский муниципальный район не имеет.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При установлении в 2004 году границ муниципальных образований Бардымского района Пермского края – сельских поселений учитывалось существующее кадастровое деление территории муниципального района, а также предложения органов местного самоуправления и населения района (картографическое описание) границ муниципальных образований Бардымского муниципального района Пермской области, Закона Пермской области № 1715-347 от 10.11.2004 г. </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Об утверждении границ и о наделении статусом муниципальных образований Бардымского района Пермского края</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 xml:space="preserve"> (в ред. от 14.12.2013г.).</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При установлении границ муниципальных образований Бардымского района соблюдались следующие требования: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 Сельские поселения агрегировались, как правило, из двух-пяти населенных пунктов и прилегающих к ним территорий. Населенный пункт с наибольшей численностью населения определялся административным центром сельского поселения. При этом соблюдалось условие о максимально возможной удаленности населенных пунктов от административного центра поселения.</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2. К территориям традиционного природопользования были отнесены земли сельскохозяйственного назначения, которые использовались хозяйствующими субъектами, расположенными в соответствующих населенных пунктах. Границы сельскохозяйственных угодий за последние годы существенно не изменились, в том числе и в результате преобразования отношений собственности на землю.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Фактическое сокращение вовлечения сельхозугодий в хозяйственную деятельность в течение последних десяти лет, также не привело к изменению юридических границ землепользований. Поэтому на первом этапе эти границы рассматривались как базовые. Таким образом, формирование границ поселений осуществлялось в соответствии с ранее утвержденной землеустроительной документацией, что позволяет учесть интересы землепользователей. </w:t>
      </w:r>
    </w:p>
    <w:p w:rsidR="00153E07" w:rsidRPr="00E3313E" w:rsidRDefault="00153E07" w:rsidP="006D2568">
      <w:pPr>
        <w:spacing w:line="240" w:lineRule="auto"/>
        <w:ind w:firstLine="708"/>
        <w:jc w:val="both"/>
        <w:rPr>
          <w:rFonts w:ascii="Times New Roman" w:hAnsi="Times New Roman" w:cs="Times New Roman"/>
          <w:sz w:val="28"/>
          <w:szCs w:val="28"/>
        </w:rPr>
      </w:pPr>
      <w:r w:rsidRPr="00E3313E">
        <w:rPr>
          <w:rFonts w:ascii="Times New Roman" w:eastAsia="Times New Roman" w:hAnsi="Times New Roman" w:cs="Times New Roman"/>
          <w:sz w:val="28"/>
          <w:szCs w:val="28"/>
        </w:rPr>
        <w:lastRenderedPageBreak/>
        <w:t>3. Разграничение между поселениями земель лесного фонда осуществлено по принципу максимального их тяготения к сопредельным населенным пунктам. Деление таких территорий на части произведено по естественным и искусственным рубежам (линиям электропередачи, автодорогам, лесным и полевым дорогам и тропам, руслам рек).</w:t>
      </w:r>
    </w:p>
    <w:bookmarkEnd w:id="2"/>
    <w:bookmarkEnd w:id="3"/>
    <w:p w:rsidR="00E36F81" w:rsidRDefault="00E36F81" w:rsidP="006D2568">
      <w:pPr>
        <w:spacing w:line="240" w:lineRule="auto"/>
        <w:rPr>
          <w:rFonts w:ascii="Times New Roman" w:eastAsiaTheme="majorEastAsia" w:hAnsi="Times New Roman" w:cs="Times New Roman"/>
          <w:b/>
          <w:bCs/>
          <w:sz w:val="28"/>
          <w:szCs w:val="28"/>
        </w:rPr>
      </w:pPr>
      <w:r>
        <w:br w:type="page"/>
      </w:r>
    </w:p>
    <w:p w:rsidR="005E327B" w:rsidRPr="00333885" w:rsidRDefault="005E327B" w:rsidP="006D2568">
      <w:pPr>
        <w:pStyle w:val="1"/>
        <w:spacing w:line="240" w:lineRule="auto"/>
      </w:pPr>
      <w:r w:rsidRPr="00E3313E">
        <w:lastRenderedPageBreak/>
        <w:t xml:space="preserve">2 </w:t>
      </w:r>
      <w:bookmarkStart w:id="4" w:name="_Toc491943099"/>
      <w:r w:rsidRPr="00E3313E">
        <w:t>П</w:t>
      </w:r>
      <w:r w:rsidR="00E3313E">
        <w:t xml:space="preserve">редпосылки формирования Стратегии социально-экономического развития Бардымского муниципального района на </w:t>
      </w:r>
      <w:r w:rsidRPr="00E3313E">
        <w:t>2018-2030</w:t>
      </w:r>
      <w:r w:rsidR="00E3313E">
        <w:t xml:space="preserve"> годы в условиях современных угроз и ограничений</w:t>
      </w:r>
      <w:bookmarkEnd w:id="4"/>
    </w:p>
    <w:p w:rsidR="002A61CE" w:rsidRPr="00333885" w:rsidRDefault="002A61CE" w:rsidP="002A61CE"/>
    <w:p w:rsidR="005E327B" w:rsidRPr="00E3313E" w:rsidRDefault="005E327B"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Общемировые тенденции, характеризующие ухудшение демографической ситуации, введение санкций в адрес России, замедление экономического роста, ухудшение экологической ситуации требуют планирования использования имеющихся ресурсов и поиска направлений по их восстановлению.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Предпосылками формирования стратегии социально-экономического развития Бардымского муниципального района выступают приоритетные направления социально-экономического развития Российской Федерации, а именно, развитие промышленного производства, развитие человеческого капитала, ориентир на импортозамещение, развитие агропромышленного сектора, увеличение производительности труда и объемов производства на фоне сокращений численности трудоспособного населения за счет достижений научно-технического прогресса.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p>
    <w:p w:rsidR="005E327B" w:rsidRPr="00153E07" w:rsidRDefault="005E327B" w:rsidP="006D2568">
      <w:pPr>
        <w:pStyle w:val="1"/>
        <w:numPr>
          <w:ilvl w:val="1"/>
          <w:numId w:val="1"/>
        </w:numPr>
        <w:spacing w:line="240" w:lineRule="auto"/>
      </w:pPr>
      <w:bookmarkStart w:id="5" w:name="_Toc491943100"/>
      <w:r w:rsidRPr="00153E07">
        <w:t>Общемировые и общероссийские тенденции социально-экономического развития до 2030 года</w:t>
      </w:r>
      <w:bookmarkEnd w:id="5"/>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Период с 2011 по 2016 год характеризуется постепенным ослаблением динамики социально-экономического развития России. Основной спад макроэкономических показателей пришелся на 2014 год, на что повлияло усиление экономических санкций в отношении Российской Федерации в связи с обострением геополитической обстановки.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 ведением санкций российские компании оказались ограничены в доступе к мировым финансовым ресурсам, что увеличило стоимость кредитования физических и юридических лиц и соответственно оказало негативное влияние на инвестиционную политику и потребительские настроения.</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Дальнейший экономический спад был обусловлен падением цен на нефть и обострением ситуации на внешнем рынке. Данные факторы спровоцировали рост неопределенности и ухудшение предпринимательской уверенности.</w:t>
      </w:r>
    </w:p>
    <w:p w:rsidR="00D922B3" w:rsidRDefault="00D922B3" w:rsidP="006D2568">
      <w:pPr>
        <w:spacing w:after="0" w:line="240" w:lineRule="auto"/>
        <w:ind w:firstLine="709"/>
        <w:jc w:val="right"/>
        <w:rPr>
          <w:rFonts w:ascii="Times New Roman" w:eastAsia="Times New Roman" w:hAnsi="Times New Roman" w:cs="Times New Roman"/>
          <w:sz w:val="28"/>
          <w:szCs w:val="28"/>
        </w:rPr>
      </w:pPr>
    </w:p>
    <w:p w:rsidR="005E327B" w:rsidRPr="00153E07" w:rsidRDefault="00DE2D0E" w:rsidP="006D2568">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2.1</w:t>
      </w:r>
    </w:p>
    <w:p w:rsidR="005E327B" w:rsidRPr="002F6162" w:rsidRDefault="005E327B" w:rsidP="006D2568">
      <w:pPr>
        <w:spacing w:after="0" w:line="240" w:lineRule="auto"/>
        <w:jc w:val="center"/>
        <w:rPr>
          <w:rFonts w:ascii="Times New Roman" w:eastAsia="Times New Roman" w:hAnsi="Times New Roman" w:cs="Times New Roman"/>
          <w:b/>
          <w:sz w:val="28"/>
          <w:szCs w:val="28"/>
        </w:rPr>
      </w:pPr>
      <w:r w:rsidRPr="002F6162">
        <w:rPr>
          <w:rFonts w:ascii="Times New Roman" w:eastAsia="Times New Roman" w:hAnsi="Times New Roman" w:cs="Times New Roman"/>
          <w:b/>
          <w:sz w:val="28"/>
          <w:szCs w:val="28"/>
        </w:rPr>
        <w:t>Динамика основных показателей социально-экономического развития Российской Федерации в 2011 – 2016 годах, %</w:t>
      </w:r>
    </w:p>
    <w:tbl>
      <w:tblPr>
        <w:tblW w:w="5000" w:type="pct"/>
        <w:tblLook w:val="04A0"/>
      </w:tblPr>
      <w:tblGrid>
        <w:gridCol w:w="4331"/>
        <w:gridCol w:w="967"/>
        <w:gridCol w:w="969"/>
        <w:gridCol w:w="967"/>
        <w:gridCol w:w="969"/>
        <w:gridCol w:w="967"/>
        <w:gridCol w:w="967"/>
      </w:tblGrid>
      <w:tr w:rsidR="005E327B" w:rsidRPr="00153E07" w:rsidTr="005E327B">
        <w:trPr>
          <w:trHeight w:val="315"/>
        </w:trPr>
        <w:tc>
          <w:tcPr>
            <w:tcW w:w="213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b/>
                <w:color w:val="000000"/>
                <w:sz w:val="24"/>
                <w:szCs w:val="28"/>
              </w:rPr>
            </w:pPr>
            <w:r w:rsidRPr="002A61CE">
              <w:rPr>
                <w:rFonts w:ascii="Times New Roman" w:eastAsia="Times New Roman" w:hAnsi="Times New Roman" w:cs="Times New Roman"/>
                <w:b/>
                <w:color w:val="000000"/>
                <w:sz w:val="24"/>
                <w:szCs w:val="28"/>
              </w:rPr>
              <w:t>Показатели</w:t>
            </w:r>
          </w:p>
        </w:tc>
        <w:tc>
          <w:tcPr>
            <w:tcW w:w="477" w:type="pct"/>
            <w:tcBorders>
              <w:top w:val="single" w:sz="4" w:space="0" w:color="auto"/>
              <w:left w:val="nil"/>
              <w:bottom w:val="single" w:sz="4" w:space="0" w:color="auto"/>
              <w:right w:val="single" w:sz="4" w:space="0" w:color="auto"/>
            </w:tcBorders>
            <w:shd w:val="clear" w:color="auto" w:fill="auto"/>
            <w:hideMark/>
          </w:tcPr>
          <w:p w:rsidR="005E327B" w:rsidRPr="002A61CE" w:rsidRDefault="005E327B" w:rsidP="006D2568">
            <w:pPr>
              <w:spacing w:after="0" w:line="240" w:lineRule="auto"/>
              <w:jc w:val="both"/>
              <w:rPr>
                <w:rFonts w:ascii="Times New Roman" w:eastAsia="Times New Roman" w:hAnsi="Times New Roman" w:cs="Times New Roman"/>
                <w:b/>
                <w:color w:val="000000"/>
                <w:sz w:val="24"/>
                <w:szCs w:val="28"/>
              </w:rPr>
            </w:pPr>
            <w:r w:rsidRPr="002A61CE">
              <w:rPr>
                <w:rFonts w:ascii="Times New Roman" w:eastAsia="Times New Roman" w:hAnsi="Times New Roman" w:cs="Times New Roman"/>
                <w:b/>
                <w:color w:val="000000"/>
                <w:sz w:val="24"/>
                <w:szCs w:val="28"/>
              </w:rPr>
              <w:t>2011</w:t>
            </w:r>
          </w:p>
        </w:tc>
        <w:tc>
          <w:tcPr>
            <w:tcW w:w="478" w:type="pct"/>
            <w:tcBorders>
              <w:top w:val="single" w:sz="4" w:space="0" w:color="auto"/>
              <w:left w:val="nil"/>
              <w:bottom w:val="single" w:sz="4" w:space="0" w:color="auto"/>
              <w:right w:val="single" w:sz="4" w:space="0" w:color="auto"/>
            </w:tcBorders>
            <w:shd w:val="clear" w:color="auto" w:fill="auto"/>
            <w:hideMark/>
          </w:tcPr>
          <w:p w:rsidR="005E327B" w:rsidRPr="002A61CE" w:rsidRDefault="005E327B" w:rsidP="006D2568">
            <w:pPr>
              <w:spacing w:after="0" w:line="240" w:lineRule="auto"/>
              <w:jc w:val="both"/>
              <w:rPr>
                <w:rFonts w:ascii="Times New Roman" w:eastAsia="Times New Roman" w:hAnsi="Times New Roman" w:cs="Times New Roman"/>
                <w:b/>
                <w:color w:val="000000"/>
                <w:sz w:val="24"/>
                <w:szCs w:val="28"/>
              </w:rPr>
            </w:pPr>
            <w:r w:rsidRPr="002A61CE">
              <w:rPr>
                <w:rFonts w:ascii="Times New Roman" w:eastAsia="Times New Roman" w:hAnsi="Times New Roman" w:cs="Times New Roman"/>
                <w:b/>
                <w:color w:val="000000"/>
                <w:sz w:val="24"/>
                <w:szCs w:val="28"/>
              </w:rPr>
              <w:t>2012</w:t>
            </w:r>
          </w:p>
        </w:tc>
        <w:tc>
          <w:tcPr>
            <w:tcW w:w="477" w:type="pct"/>
            <w:tcBorders>
              <w:top w:val="single" w:sz="4" w:space="0" w:color="auto"/>
              <w:left w:val="nil"/>
              <w:bottom w:val="single" w:sz="4" w:space="0" w:color="auto"/>
              <w:right w:val="single" w:sz="4" w:space="0" w:color="auto"/>
            </w:tcBorders>
            <w:shd w:val="clear" w:color="auto" w:fill="auto"/>
            <w:hideMark/>
          </w:tcPr>
          <w:p w:rsidR="005E327B" w:rsidRPr="002A61CE" w:rsidRDefault="005E327B" w:rsidP="006D2568">
            <w:pPr>
              <w:spacing w:after="0" w:line="240" w:lineRule="auto"/>
              <w:jc w:val="both"/>
              <w:rPr>
                <w:rFonts w:ascii="Times New Roman" w:eastAsia="Times New Roman" w:hAnsi="Times New Roman" w:cs="Times New Roman"/>
                <w:b/>
                <w:color w:val="000000"/>
                <w:sz w:val="24"/>
                <w:szCs w:val="28"/>
              </w:rPr>
            </w:pPr>
            <w:r w:rsidRPr="002A61CE">
              <w:rPr>
                <w:rFonts w:ascii="Times New Roman" w:eastAsia="Times New Roman" w:hAnsi="Times New Roman" w:cs="Times New Roman"/>
                <w:b/>
                <w:color w:val="000000"/>
                <w:sz w:val="24"/>
                <w:szCs w:val="28"/>
              </w:rPr>
              <w:t>2013</w:t>
            </w:r>
          </w:p>
        </w:tc>
        <w:tc>
          <w:tcPr>
            <w:tcW w:w="478" w:type="pct"/>
            <w:tcBorders>
              <w:top w:val="single" w:sz="4" w:space="0" w:color="auto"/>
              <w:left w:val="nil"/>
              <w:bottom w:val="single" w:sz="4" w:space="0" w:color="auto"/>
              <w:right w:val="single" w:sz="4" w:space="0" w:color="auto"/>
            </w:tcBorders>
            <w:shd w:val="clear" w:color="auto" w:fill="auto"/>
            <w:hideMark/>
          </w:tcPr>
          <w:p w:rsidR="005E327B" w:rsidRPr="002A61CE" w:rsidRDefault="005E327B" w:rsidP="006D2568">
            <w:pPr>
              <w:spacing w:after="0" w:line="240" w:lineRule="auto"/>
              <w:jc w:val="both"/>
              <w:rPr>
                <w:rFonts w:ascii="Times New Roman" w:eastAsia="Times New Roman" w:hAnsi="Times New Roman" w:cs="Times New Roman"/>
                <w:b/>
                <w:color w:val="000000"/>
                <w:sz w:val="24"/>
                <w:szCs w:val="28"/>
              </w:rPr>
            </w:pPr>
            <w:r w:rsidRPr="002A61CE">
              <w:rPr>
                <w:rFonts w:ascii="Times New Roman" w:eastAsia="Times New Roman" w:hAnsi="Times New Roman" w:cs="Times New Roman"/>
                <w:b/>
                <w:color w:val="000000"/>
                <w:sz w:val="24"/>
                <w:szCs w:val="28"/>
              </w:rPr>
              <w:t>2014</w:t>
            </w:r>
          </w:p>
        </w:tc>
        <w:tc>
          <w:tcPr>
            <w:tcW w:w="477" w:type="pct"/>
            <w:tcBorders>
              <w:top w:val="single" w:sz="4" w:space="0" w:color="auto"/>
              <w:left w:val="nil"/>
              <w:bottom w:val="single" w:sz="4" w:space="0" w:color="auto"/>
              <w:right w:val="single" w:sz="4" w:space="0" w:color="auto"/>
            </w:tcBorders>
            <w:shd w:val="clear" w:color="auto" w:fill="auto"/>
            <w:hideMark/>
          </w:tcPr>
          <w:p w:rsidR="005E327B" w:rsidRPr="002A61CE" w:rsidRDefault="005E327B" w:rsidP="006D2568">
            <w:pPr>
              <w:spacing w:after="0" w:line="240" w:lineRule="auto"/>
              <w:jc w:val="both"/>
              <w:rPr>
                <w:rFonts w:ascii="Times New Roman" w:eastAsia="Times New Roman" w:hAnsi="Times New Roman" w:cs="Times New Roman"/>
                <w:b/>
                <w:color w:val="000000"/>
                <w:sz w:val="24"/>
                <w:szCs w:val="28"/>
              </w:rPr>
            </w:pPr>
            <w:r w:rsidRPr="002A61CE">
              <w:rPr>
                <w:rFonts w:ascii="Times New Roman" w:eastAsia="Times New Roman" w:hAnsi="Times New Roman" w:cs="Times New Roman"/>
                <w:b/>
                <w:color w:val="000000"/>
                <w:sz w:val="24"/>
                <w:szCs w:val="28"/>
              </w:rPr>
              <w:t>2015</w:t>
            </w:r>
          </w:p>
        </w:tc>
        <w:tc>
          <w:tcPr>
            <w:tcW w:w="477" w:type="pct"/>
            <w:tcBorders>
              <w:top w:val="single" w:sz="4" w:space="0" w:color="auto"/>
              <w:left w:val="nil"/>
              <w:bottom w:val="single" w:sz="4" w:space="0" w:color="auto"/>
              <w:right w:val="single" w:sz="4" w:space="0" w:color="auto"/>
            </w:tcBorders>
            <w:shd w:val="clear" w:color="auto" w:fill="auto"/>
            <w:hideMark/>
          </w:tcPr>
          <w:p w:rsidR="005E327B" w:rsidRPr="002A61CE" w:rsidRDefault="005E327B" w:rsidP="006D2568">
            <w:pPr>
              <w:spacing w:after="0" w:line="240" w:lineRule="auto"/>
              <w:jc w:val="both"/>
              <w:rPr>
                <w:rFonts w:ascii="Times New Roman" w:eastAsia="Times New Roman" w:hAnsi="Times New Roman" w:cs="Times New Roman"/>
                <w:b/>
                <w:color w:val="000000"/>
                <w:sz w:val="24"/>
                <w:szCs w:val="28"/>
              </w:rPr>
            </w:pPr>
            <w:r w:rsidRPr="002A61CE">
              <w:rPr>
                <w:rFonts w:ascii="Times New Roman" w:eastAsia="Times New Roman" w:hAnsi="Times New Roman" w:cs="Times New Roman"/>
                <w:b/>
                <w:color w:val="000000"/>
                <w:sz w:val="24"/>
                <w:szCs w:val="28"/>
              </w:rPr>
              <w:t>2016</w:t>
            </w:r>
          </w:p>
        </w:tc>
      </w:tr>
      <w:tr w:rsidR="005E327B" w:rsidRPr="00153E07" w:rsidTr="005E327B">
        <w:trPr>
          <w:trHeight w:val="315"/>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bCs/>
                <w:color w:val="000000"/>
                <w:sz w:val="24"/>
                <w:szCs w:val="28"/>
              </w:rPr>
              <w:t>ВВП</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113,07</w:t>
            </w:r>
          </w:p>
        </w:tc>
        <w:tc>
          <w:tcPr>
            <w:tcW w:w="478"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103,7</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101,8</w:t>
            </w:r>
          </w:p>
        </w:tc>
        <w:tc>
          <w:tcPr>
            <w:tcW w:w="478"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100,7</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97,2</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99,8</w:t>
            </w:r>
          </w:p>
        </w:tc>
      </w:tr>
      <w:tr w:rsidR="005E327B" w:rsidRPr="00153E07" w:rsidTr="005E327B">
        <w:trPr>
          <w:trHeight w:val="630"/>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bCs/>
                <w:color w:val="000000"/>
                <w:sz w:val="24"/>
                <w:szCs w:val="28"/>
              </w:rPr>
              <w:t xml:space="preserve">Индекс  потребительских цен, на конец года </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106,1</w:t>
            </w:r>
          </w:p>
        </w:tc>
        <w:tc>
          <w:tcPr>
            <w:tcW w:w="478"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106,6</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106,5</w:t>
            </w:r>
          </w:p>
        </w:tc>
        <w:tc>
          <w:tcPr>
            <w:tcW w:w="478"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111,4</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112,9</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105,4</w:t>
            </w:r>
          </w:p>
        </w:tc>
      </w:tr>
      <w:tr w:rsidR="005E327B" w:rsidRPr="00153E07" w:rsidTr="005E327B">
        <w:trPr>
          <w:trHeight w:val="630"/>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bCs/>
                <w:color w:val="000000"/>
                <w:sz w:val="24"/>
                <w:szCs w:val="28"/>
              </w:rPr>
              <w:t>Индекс промышленного производства</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105,0</w:t>
            </w:r>
          </w:p>
        </w:tc>
        <w:tc>
          <w:tcPr>
            <w:tcW w:w="478"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103,4</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100,4</w:t>
            </w:r>
          </w:p>
        </w:tc>
        <w:tc>
          <w:tcPr>
            <w:tcW w:w="478"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101,7</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96,6</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101,1</w:t>
            </w:r>
          </w:p>
        </w:tc>
      </w:tr>
      <w:tr w:rsidR="005E327B" w:rsidRPr="00153E07" w:rsidTr="005E327B">
        <w:trPr>
          <w:trHeight w:val="630"/>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bCs/>
                <w:color w:val="000000"/>
                <w:sz w:val="24"/>
                <w:szCs w:val="28"/>
              </w:rPr>
              <w:t>Индекс производства продукции сельского хозяйства</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94,9</w:t>
            </w:r>
          </w:p>
        </w:tc>
        <w:tc>
          <w:tcPr>
            <w:tcW w:w="478"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110,8</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102,7</w:t>
            </w:r>
          </w:p>
        </w:tc>
        <w:tc>
          <w:tcPr>
            <w:tcW w:w="478"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114,1</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108,5</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101,8</w:t>
            </w:r>
          </w:p>
        </w:tc>
      </w:tr>
      <w:tr w:rsidR="005E327B" w:rsidRPr="00153E07" w:rsidTr="005E327B">
        <w:trPr>
          <w:trHeight w:val="315"/>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bCs/>
                <w:color w:val="000000"/>
                <w:sz w:val="24"/>
                <w:szCs w:val="28"/>
              </w:rPr>
              <w:t>Инвестиции в основной капитал</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110,8</w:t>
            </w:r>
          </w:p>
        </w:tc>
        <w:tc>
          <w:tcPr>
            <w:tcW w:w="478"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106,8</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100,8</w:t>
            </w:r>
          </w:p>
        </w:tc>
        <w:tc>
          <w:tcPr>
            <w:tcW w:w="478"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98,5</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89,9</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99,1</w:t>
            </w:r>
          </w:p>
        </w:tc>
      </w:tr>
      <w:tr w:rsidR="005E327B" w:rsidRPr="00153E07" w:rsidTr="005E327B">
        <w:trPr>
          <w:trHeight w:val="630"/>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lastRenderedPageBreak/>
              <w:t>Доля инвестиций в основной капитал, в % к ВВП</w:t>
            </w:r>
          </w:p>
        </w:tc>
        <w:tc>
          <w:tcPr>
            <w:tcW w:w="477" w:type="pct"/>
            <w:tcBorders>
              <w:top w:val="nil"/>
              <w:left w:val="nil"/>
              <w:bottom w:val="single" w:sz="4" w:space="0" w:color="auto"/>
              <w:right w:val="nil"/>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20,7</w:t>
            </w:r>
          </w:p>
        </w:tc>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20,9</w:t>
            </w:r>
          </w:p>
        </w:tc>
        <w:tc>
          <w:tcPr>
            <w:tcW w:w="477" w:type="pct"/>
            <w:tcBorders>
              <w:top w:val="nil"/>
              <w:left w:val="nil"/>
              <w:bottom w:val="single" w:sz="4" w:space="0" w:color="auto"/>
              <w:right w:val="nil"/>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21,2</w:t>
            </w:r>
          </w:p>
        </w:tc>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20,5</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19,6</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20,4</w:t>
            </w:r>
          </w:p>
        </w:tc>
      </w:tr>
      <w:tr w:rsidR="005E327B" w:rsidRPr="00153E07" w:rsidTr="005E327B">
        <w:trPr>
          <w:trHeight w:val="630"/>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bCs/>
                <w:color w:val="000000"/>
                <w:sz w:val="24"/>
                <w:szCs w:val="28"/>
              </w:rPr>
              <w:t>Реальные располагаемые денежные доходы</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100,5</w:t>
            </w:r>
          </w:p>
        </w:tc>
        <w:tc>
          <w:tcPr>
            <w:tcW w:w="478"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104,6</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104</w:t>
            </w:r>
          </w:p>
        </w:tc>
        <w:tc>
          <w:tcPr>
            <w:tcW w:w="478"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99,3</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96,8</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94,1</w:t>
            </w:r>
          </w:p>
        </w:tc>
      </w:tr>
      <w:tr w:rsidR="005E327B" w:rsidRPr="00153E07" w:rsidTr="005E327B">
        <w:trPr>
          <w:trHeight w:val="630"/>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bCs/>
                <w:color w:val="000000"/>
                <w:sz w:val="24"/>
                <w:szCs w:val="28"/>
              </w:rPr>
              <w:t>Реальная начисленная среднемесячная заработная плата</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102,8</w:t>
            </w:r>
          </w:p>
        </w:tc>
        <w:tc>
          <w:tcPr>
            <w:tcW w:w="478"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108,4</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104,8</w:t>
            </w:r>
          </w:p>
        </w:tc>
        <w:tc>
          <w:tcPr>
            <w:tcW w:w="478"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101,2</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91,0</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100,8</w:t>
            </w:r>
          </w:p>
        </w:tc>
      </w:tr>
      <w:tr w:rsidR="005E327B" w:rsidRPr="00153E07" w:rsidTr="005E327B">
        <w:trPr>
          <w:trHeight w:val="315"/>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bCs/>
                <w:color w:val="000000"/>
                <w:sz w:val="24"/>
                <w:szCs w:val="28"/>
              </w:rPr>
              <w:t>Оборот розничной торговли</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107,1</w:t>
            </w:r>
          </w:p>
        </w:tc>
        <w:tc>
          <w:tcPr>
            <w:tcW w:w="478"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106,3</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103,9</w:t>
            </w:r>
          </w:p>
        </w:tc>
        <w:tc>
          <w:tcPr>
            <w:tcW w:w="478"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102,7</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90,0</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95,4</w:t>
            </w:r>
          </w:p>
        </w:tc>
      </w:tr>
      <w:tr w:rsidR="005E327B" w:rsidRPr="00153E07" w:rsidTr="005E327B">
        <w:trPr>
          <w:trHeight w:val="315"/>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bCs/>
                <w:color w:val="000000"/>
                <w:sz w:val="24"/>
                <w:szCs w:val="28"/>
              </w:rPr>
            </w:pPr>
            <w:r w:rsidRPr="002A61CE">
              <w:rPr>
                <w:rFonts w:ascii="Times New Roman" w:eastAsia="Times New Roman" w:hAnsi="Times New Roman" w:cs="Times New Roman"/>
                <w:color w:val="000000"/>
                <w:sz w:val="24"/>
                <w:szCs w:val="28"/>
              </w:rPr>
              <w:t>Объем платных услуг населению</w:t>
            </w:r>
          </w:p>
        </w:tc>
        <w:tc>
          <w:tcPr>
            <w:tcW w:w="477"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103,2</w:t>
            </w:r>
          </w:p>
        </w:tc>
        <w:tc>
          <w:tcPr>
            <w:tcW w:w="478"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sz w:val="24"/>
                <w:szCs w:val="28"/>
              </w:rPr>
            </w:pPr>
            <w:r w:rsidRPr="002A61CE">
              <w:rPr>
                <w:rFonts w:ascii="Times New Roman" w:eastAsia="Times New Roman" w:hAnsi="Times New Roman" w:cs="Times New Roman"/>
                <w:sz w:val="24"/>
                <w:szCs w:val="28"/>
              </w:rPr>
              <w:t>103,5</w:t>
            </w:r>
          </w:p>
        </w:tc>
        <w:tc>
          <w:tcPr>
            <w:tcW w:w="477"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102,0</w:t>
            </w:r>
          </w:p>
        </w:tc>
        <w:tc>
          <w:tcPr>
            <w:tcW w:w="478"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101,0</w:t>
            </w:r>
          </w:p>
        </w:tc>
        <w:tc>
          <w:tcPr>
            <w:tcW w:w="477"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98,9</w:t>
            </w:r>
          </w:p>
        </w:tc>
        <w:tc>
          <w:tcPr>
            <w:tcW w:w="477"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100,7</w:t>
            </w:r>
          </w:p>
        </w:tc>
      </w:tr>
      <w:tr w:rsidR="005E327B" w:rsidRPr="00153E07" w:rsidTr="005E327B">
        <w:trPr>
          <w:trHeight w:val="315"/>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bCs/>
                <w:color w:val="000000"/>
                <w:sz w:val="24"/>
                <w:szCs w:val="28"/>
              </w:rPr>
              <w:t xml:space="preserve">Экспорт товаров </w:t>
            </w:r>
          </w:p>
        </w:tc>
        <w:tc>
          <w:tcPr>
            <w:tcW w:w="477"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131,3</w:t>
            </w:r>
          </w:p>
        </w:tc>
        <w:tc>
          <w:tcPr>
            <w:tcW w:w="478"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102,3</w:t>
            </w:r>
          </w:p>
        </w:tc>
        <w:tc>
          <w:tcPr>
            <w:tcW w:w="477"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99,2</w:t>
            </w:r>
          </w:p>
        </w:tc>
        <w:tc>
          <w:tcPr>
            <w:tcW w:w="478"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95,1</w:t>
            </w:r>
          </w:p>
        </w:tc>
        <w:tc>
          <w:tcPr>
            <w:tcW w:w="477"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69,1</w:t>
            </w:r>
          </w:p>
        </w:tc>
        <w:tc>
          <w:tcPr>
            <w:tcW w:w="477"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83,1</w:t>
            </w:r>
          </w:p>
        </w:tc>
      </w:tr>
      <w:tr w:rsidR="005E327B" w:rsidRPr="00153E07" w:rsidTr="005E327B">
        <w:trPr>
          <w:trHeight w:val="315"/>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bCs/>
                <w:color w:val="000000"/>
                <w:sz w:val="24"/>
                <w:szCs w:val="28"/>
              </w:rPr>
              <w:t xml:space="preserve">Импорт товаров </w:t>
            </w:r>
          </w:p>
        </w:tc>
        <w:tc>
          <w:tcPr>
            <w:tcW w:w="477"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129,7</w:t>
            </w:r>
          </w:p>
        </w:tc>
        <w:tc>
          <w:tcPr>
            <w:tcW w:w="478"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105,4</w:t>
            </w:r>
          </w:p>
        </w:tc>
        <w:tc>
          <w:tcPr>
            <w:tcW w:w="477"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101,7</w:t>
            </w:r>
          </w:p>
        </w:tc>
        <w:tc>
          <w:tcPr>
            <w:tcW w:w="478"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90,2</w:t>
            </w:r>
          </w:p>
        </w:tc>
        <w:tc>
          <w:tcPr>
            <w:tcW w:w="477"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63,7</w:t>
            </w:r>
          </w:p>
        </w:tc>
        <w:tc>
          <w:tcPr>
            <w:tcW w:w="477" w:type="pct"/>
            <w:tcBorders>
              <w:top w:val="nil"/>
              <w:left w:val="nil"/>
              <w:bottom w:val="single" w:sz="4" w:space="0" w:color="auto"/>
              <w:right w:val="single" w:sz="4" w:space="0" w:color="auto"/>
            </w:tcBorders>
            <w:shd w:val="clear" w:color="auto" w:fill="auto"/>
            <w:vAlign w:val="center"/>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99,7</w:t>
            </w:r>
          </w:p>
        </w:tc>
      </w:tr>
      <w:tr w:rsidR="005E327B" w:rsidRPr="00153E07" w:rsidTr="005E327B">
        <w:trPr>
          <w:trHeight w:val="315"/>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2A61CE" w:rsidRDefault="00EE5B9E" w:rsidP="006D2568">
            <w:pPr>
              <w:spacing w:after="0" w:line="240" w:lineRule="auto"/>
              <w:jc w:val="both"/>
              <w:rPr>
                <w:rFonts w:ascii="Times New Roman" w:eastAsia="Times New Roman" w:hAnsi="Times New Roman" w:cs="Times New Roman"/>
                <w:color w:val="000000"/>
                <w:sz w:val="24"/>
                <w:szCs w:val="28"/>
              </w:rPr>
            </w:pPr>
            <w:bookmarkStart w:id="6" w:name="_GoBack"/>
            <w:bookmarkEnd w:id="6"/>
            <w:r w:rsidRPr="00EE5B9E">
              <w:rPr>
                <w:rFonts w:ascii="Times New Roman" w:eastAsia="Times New Roman" w:hAnsi="Times New Roman" w:cs="Times New Roman"/>
                <w:bCs/>
                <w:noProof/>
                <w:color w:val="000000"/>
                <w:sz w:val="24"/>
                <w:szCs w:val="28"/>
              </w:rPr>
              <w:pict>
                <v:shapetype id="_x0000_t202" coordsize="21600,21600" o:spt="202" path="m,l,21600r21600,l21600,xe">
                  <v:stroke joinstyle="miter"/>
                  <v:path gradientshapeok="t" o:connecttype="rect"/>
                </v:shapetype>
                <v:shape id="Текст 13" o:spid="_x0000_s1026" type="#_x0000_t202" style="position:absolute;left:0;text-align:left;margin-left:33.75pt;margin-top:5.25pt;width:0;height:0;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cxFQIAAO8DAAAOAAAAZHJzL2Uyb0RvYy54bWysU81uEzEQviPxDpbvZDcpP9UqmwpagpAK&#10;RSo8gNf27lrYHmM72e0RHoV34MJTpG/E2JukUbkhfLA89sw3M998Xl6MRpOt9EGBrel8VlIiLQeh&#10;bFfTL5/Xz84pCZFZwTRYWdM7GejF6umT5eAquYAetJCeIIgN1eBq2sfoqqIIvJeGhRk4afGxBW9Y&#10;RNN3hfBsQHSji0VZviwG8MJ54DIEvL2aHukq47et5PGmbYOMRNcUa4t593lv0l6slqzqPHO94vsy&#10;2D9UYZiymPQIdcUiIxuv/oIyinsI0MYZB1NA2youcw/Yzbx81M1tz5zMvSA5wR1pCv8Pln/cfvJE&#10;iZouyhdzSiwzOKXdz92v3e/77/c/yPwscTS4UKHrrUPnOL6BEWed+w3uGvjXQCxc9sx28rX3MPSS&#10;CaxxniKLk9AJJySQZvgAAjOxTYQMNLbeJAKREoLoOKu743zkGAmfLvnhtmDVIcT5EN9JMCQdaupx&#10;6BmSba9DTCWw6uCSMgTQSqyV1tnwXXOpPdkyFMg6r1z1IzdtyXBo2UIKzsIxKqJ6tTI1PS/TmvSU&#10;+n9rRXaJTOnpjGVouyckcTCxEcdmRMfEUgPiDqnB3xRvcGs1YE6ulaNkQIXWNHzbMC8p0e8t0rt4&#10;9fxsgZI+NXw2kLzmcGCW94CCj5RsnFddjww9DAZVlfnZ/4Ak21M7V/vwT1d/AAAA//8DAFBLAwQU&#10;AAYACAAAACEAnx+IwNgAAAAHAQAADwAAAGRycy9kb3ducmV2LnhtbEyOwU7DMBBE70j8g7VI3KgD&#10;UkMV4lQVggsnmpaeN/GSBOJ1FLtN4OtZ4ACn1eyMZl6+nl2vTjSGzrOB60UCirj2tuPGwH73eLUC&#10;FSKyxd4zGfigAOvi/CzHzPqJt3QqY6OkhEOGBtoYh0zrULfkMCz8QCzeqx8dRpFjo+2Ik5S7Xt8k&#10;SaoddiwLLQ5031L9Xh6dgdXhZYm8+Xybut3+sC1t+lA9PxlzeTFv7kBFmuNfGL7xBR0KYar8kW1Q&#10;vYH0dilJ+Sdyxf/R1a/WRa7/8xdfAAAA//8DAFBLAQItABQABgAIAAAAIQC2gziS/gAAAOEBAAAT&#10;AAAAAAAAAAAAAAAAAAAAAABbQ29udGVudF9UeXBlc10ueG1sUEsBAi0AFAAGAAgAAAAhADj9If/W&#10;AAAAlAEAAAsAAAAAAAAAAAAAAAAALwEAAF9yZWxzLy5yZWxzUEsBAi0AFAAGAAgAAAAhAEJZtzEV&#10;AgAA7wMAAA4AAAAAAAAAAAAAAAAALgIAAGRycy9lMm9Eb2MueG1sUEsBAi0AFAAGAAgAAAAhAJ8f&#10;iMDYAAAABwEAAA8AAAAAAAAAAAAAAAAAbwQAAGRycy9kb3ducmV2LnhtbFBLBQYAAAAABAAEAPMA&#10;AAB0BQAAAAA=&#10;" stroked="f" strokeweight="3e-5mm">
                  <v:textbox style="mso-next-textbox:#Текст 13" inset="2.16pt,2.16pt,0,0">
                    <w:txbxContent>
                      <w:p w:rsidR="00333885" w:rsidRDefault="00333885" w:rsidP="005E327B">
                        <w:pPr>
                          <w:pStyle w:val="a8"/>
                          <w:spacing w:before="0" w:beforeAutospacing="0" w:after="0" w:afterAutospacing="0"/>
                        </w:pPr>
                        <w:r>
                          <w:rPr>
                            <w:color w:val="000000"/>
                          </w:rPr>
                          <w:t>1996 год</w:t>
                        </w:r>
                      </w:p>
                      <w:p w:rsidR="00333885" w:rsidRDefault="00333885" w:rsidP="005E327B">
                        <w:pPr>
                          <w:pStyle w:val="a8"/>
                          <w:spacing w:before="0" w:beforeAutospacing="0" w:after="0" w:afterAutospacing="0"/>
                        </w:pPr>
                        <w:r>
                          <w:rPr>
                            <w:color w:val="000000"/>
                          </w:rPr>
                          <w:t>1996 год</w:t>
                        </w:r>
                      </w:p>
                    </w:txbxContent>
                  </v:textbox>
                </v:shape>
              </w:pict>
            </w:r>
            <w:r w:rsidRPr="00EE5B9E">
              <w:rPr>
                <w:rFonts w:ascii="Times New Roman" w:eastAsia="Times New Roman" w:hAnsi="Times New Roman" w:cs="Times New Roman"/>
                <w:bCs/>
                <w:noProof/>
                <w:color w:val="000000"/>
                <w:sz w:val="24"/>
                <w:szCs w:val="28"/>
              </w:rPr>
              <w:pict>
                <v:shape id="Текст 14" o:spid="_x0000_s1027" type="#_x0000_t202" style="position:absolute;left:0;text-align:left;margin-left:33.75pt;margin-top:5.25pt;width:0;height:0;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kfvFgIAAPYDAAAOAAAAZHJzL2Uyb0RvYy54bWysU0FuEzEU3SNxB8t7MpNQoBplUkFLEFKh&#10;SIUDeGzPjIXtb2wnM1nCUbgDG07R3ohvT5JGZYfwwvK3v5/ff/95eTEaTbbSBwW2pvNZSYm0HISy&#10;XU2/fF4/O6ckRGYF02BlTXcy0IvV0yfLwVVyAT1oIT1BEBuqwdW0j9FVRRF4Lw0LM3DS4mEL3rCI&#10;oe8K4dmA6EYXi7J8WQzghfPAZQi4ezUd0lXGb1vJ403bBhmJrilyi3n2eW7SXKyWrOo8c73iexrs&#10;H1gYpiw+eoS6YpGRjVd/QRnFPQRo44yDKaBtFZe5BqxmXj6q5rZnTuZaUJzgjjKF/wfLP24/eaJE&#10;TRflCxTIMoNduvt59+vu9/33+x9kfpY0GlyoMPXWYXIc38CIvc71BncN/GsgFi57Zjv52nsYeskE&#10;cpynm8XJ1QknJJBm+AACX2KbCBlobL1JAqIkBNGRyu7YHzlGwqdNftgtWHW44nyI7yQYkhY19dj0&#10;DMm21yEmCqw6pKQXAmgl1krrHPiuudSebBkaZJ1HZv0oTVsyHEq2kC5n4xgV0b1amZqel2lMfkr1&#10;v7Uip0Sm9LRGGtruBUkaTGrEsRmz/lmtJFYDYocK4aeKNzi1GvBprpWjZECj1jR82zAvKdHvLaq8&#10;eHX2fIHOPg18DlDD5rBglveAvo+UbJxXXY9CPfQHzZVl2n+E5N7TOJN++K6rPwAAAP//AwBQSwME&#10;FAAGAAgAAAAhAJ8fiMDYAAAABwEAAA8AAABkcnMvZG93bnJldi54bWxMjsFOwzAQRO9I/IO1SNyo&#10;A1JDFeJUFYILJ5qWnjfxkgTidRS7TeDrWeAAp9XsjGZevp5dr040hs6zgetFAoq49rbjxsB+93i1&#10;AhUissXeMxn4oADr4vwsx8z6ibd0KmOjpIRDhgbaGIdM61C35DAs/EAs3qsfHUaRY6PtiJOUu17f&#10;JEmqHXYsCy0OdN9S/V4enYHV4WWJvPl8m7rd/rAtbfpQPT8Zc3kxb+5ARZrjXxi+8QUdCmGq/JFt&#10;UL2B9HYpSfkncsX/0dWv1kWu//MXXwAAAP//AwBQSwECLQAUAAYACAAAACEAtoM4kv4AAADhAQAA&#10;EwAAAAAAAAAAAAAAAAAAAAAAW0NvbnRlbnRfVHlwZXNdLnhtbFBLAQItABQABgAIAAAAIQA4/SH/&#10;1gAAAJQBAAALAAAAAAAAAAAAAAAAAC8BAABfcmVscy8ucmVsc1BLAQItABQABgAIAAAAIQC8rkfv&#10;FgIAAPYDAAAOAAAAAAAAAAAAAAAAAC4CAABkcnMvZTJvRG9jLnhtbFBLAQItABQABgAIAAAAIQCf&#10;H4jA2AAAAAcBAAAPAAAAAAAAAAAAAAAAAHAEAABkcnMvZG93bnJldi54bWxQSwUGAAAAAAQABADz&#10;AAAAdQUAAAAA&#10;" stroked="f" strokeweight="3e-5mm">
                  <v:textbox style="mso-next-textbox:#Текст 14" inset="2.16pt,2.16pt,0,0">
                    <w:txbxContent>
                      <w:p w:rsidR="00333885" w:rsidRDefault="00333885" w:rsidP="005E327B">
                        <w:pPr>
                          <w:pStyle w:val="a8"/>
                          <w:spacing w:before="0" w:beforeAutospacing="0" w:after="0" w:afterAutospacing="0"/>
                        </w:pPr>
                        <w:r>
                          <w:rPr>
                            <w:color w:val="000000"/>
                            <w:lang w:val="en-US"/>
                          </w:rPr>
                          <w:t xml:space="preserve">I </w:t>
                        </w:r>
                        <w:r>
                          <w:rPr>
                            <w:color w:val="000000"/>
                          </w:rPr>
                          <w:t>квартал</w:t>
                        </w:r>
                      </w:p>
                    </w:txbxContent>
                  </v:textbox>
                </v:shape>
              </w:pict>
            </w:r>
            <w:r w:rsidR="005E327B" w:rsidRPr="002A61CE">
              <w:rPr>
                <w:rFonts w:ascii="Times New Roman" w:eastAsia="Times New Roman" w:hAnsi="Times New Roman" w:cs="Times New Roman"/>
                <w:bCs/>
                <w:color w:val="000000"/>
                <w:sz w:val="24"/>
                <w:szCs w:val="28"/>
              </w:rPr>
              <w:t>Счет текущих операций, в % к ВВП</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5,2</w:t>
            </w:r>
          </w:p>
        </w:tc>
        <w:tc>
          <w:tcPr>
            <w:tcW w:w="478"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3,2</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1,5</w:t>
            </w:r>
          </w:p>
        </w:tc>
        <w:tc>
          <w:tcPr>
            <w:tcW w:w="478"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4,1</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6,0</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1,8</w:t>
            </w:r>
          </w:p>
        </w:tc>
      </w:tr>
      <w:tr w:rsidR="005E327B" w:rsidRPr="00153E07" w:rsidTr="005E327B">
        <w:trPr>
          <w:trHeight w:val="630"/>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bCs/>
                <w:color w:val="000000"/>
                <w:sz w:val="24"/>
                <w:szCs w:val="28"/>
              </w:rPr>
              <w:t>Денежная масса в национальном определении (агрегат М2)</w:t>
            </w:r>
          </w:p>
        </w:tc>
        <w:tc>
          <w:tcPr>
            <w:tcW w:w="477" w:type="pct"/>
            <w:tcBorders>
              <w:top w:val="nil"/>
              <w:left w:val="nil"/>
              <w:bottom w:val="single" w:sz="4" w:space="0" w:color="auto"/>
              <w:right w:val="single" w:sz="4" w:space="0" w:color="auto"/>
            </w:tcBorders>
            <w:shd w:val="clear" w:color="auto" w:fill="auto"/>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121</w:t>
            </w:r>
          </w:p>
        </w:tc>
        <w:tc>
          <w:tcPr>
            <w:tcW w:w="478"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112,2</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114,7</w:t>
            </w:r>
          </w:p>
        </w:tc>
        <w:tc>
          <w:tcPr>
            <w:tcW w:w="478"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101,5</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111,3</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2A61CE" w:rsidRDefault="005E327B" w:rsidP="006D2568">
            <w:pPr>
              <w:spacing w:after="0" w:line="240" w:lineRule="auto"/>
              <w:jc w:val="both"/>
              <w:rPr>
                <w:rFonts w:ascii="Times New Roman" w:eastAsia="Times New Roman" w:hAnsi="Times New Roman" w:cs="Times New Roman"/>
                <w:color w:val="000000"/>
                <w:sz w:val="24"/>
                <w:szCs w:val="28"/>
              </w:rPr>
            </w:pPr>
            <w:r w:rsidRPr="002A61CE">
              <w:rPr>
                <w:rFonts w:ascii="Times New Roman" w:eastAsia="Times New Roman" w:hAnsi="Times New Roman" w:cs="Times New Roman"/>
                <w:color w:val="000000"/>
                <w:sz w:val="24"/>
                <w:szCs w:val="28"/>
              </w:rPr>
              <w:t>109,2</w:t>
            </w:r>
          </w:p>
        </w:tc>
      </w:tr>
    </w:tbl>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Отток капитала и сокращение инвестиционной активности в первую очередь был обусловлен ростом стоимости кредитования, которое в свою очередь произошло благодаря увеличению ставки рефинансирования. По той же причине снизилась потребительская активность, о чем свидетельствует</w:t>
      </w:r>
      <w:r w:rsidR="00F405EC">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xml:space="preserve">снижение показателей оборота розничной торговли.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Однако, основным фактором, оказывающим влияние на потребительский спрос, является сокращение реальных располагаемых доходов населения и резкое снижение реальной номинальной начисленной заработной платы.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Показатель денежной массы в национальном определении имеет скачкообразную динамику. Резкий спад прироста агрегата М2 наблюдался в 2014 году, на что повлияло сокращение наличных денег в обращении, отток переводных депозитов (вкладов до востребования), принадлежащих как населению, так и организациям, отток срочных депозитов в банках, размещенных населением.</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2015 году на прирост денежной массы преимущественно оказало население страны: прирост переводных депозитов от населения составил 18,4%, срочных вкладов и вкладов в иностранной валюте – 19,7% к уровню 2014 года.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структуре денежной массы произошло сокращение доли наличных денег в обращении с 25% в 2011 году до 20% в 2016 году, на что повлияло несколько факторов: общая политика банков на постепенный переход в сторону интернет-услуг, и осуществление безналичных операций, решение населения размещать деньги в долгосрочном аспекте и в иностранной валюте.</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снижение экспорта и импорта в течение анализируемого периода времени помимо санкций повлияло изменение политики государства в пользу импортозамещения, что в свою очередь привело к оседанию экспорт-ориентированных товаров в России.</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Общемировые и общероссийские тенденции в долгосрочной перспективе определяются возможностями использования капитальных и человеческих ресурсов, темпами развития научно-технического прогресса.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настоящее время имеют место экологические и демографические ограничения, что предопределяет приоритетные направления развития такие как </w:t>
      </w:r>
      <w:r w:rsidRPr="00153E07">
        <w:rPr>
          <w:rFonts w:ascii="Times New Roman" w:eastAsia="Times New Roman" w:hAnsi="Times New Roman" w:cs="Times New Roman"/>
          <w:sz w:val="28"/>
          <w:szCs w:val="28"/>
        </w:rPr>
        <w:lastRenderedPageBreak/>
        <w:t>инновационные технологии, экономика знаний, что позволит увеличить производительность труда при недостатке трудоспособного населения.</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Приоритетными направлениями социально-экономического развития России являются образование, здравоохранение, физическое развитие, улучшение условий жизни населения, т.е. создание, воспитание и поддержание на высоком уровне человеческого капитала как ресурса.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Еще одним немаловажным приоритетом в развитии государства является государственная поддержка предпринимательства, так как малый бизнес играет немаловажную роль в экономике России.</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долгосрочном периоде главными тенденциями развития мировой экономики станут: </w:t>
      </w:r>
    </w:p>
    <w:p w:rsidR="005E327B" w:rsidRPr="00153E07" w:rsidRDefault="005E327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восстановление экономического баланса и удержание на высоких позициях темпов научно-технического прогресса и производительности труда;</w:t>
      </w:r>
    </w:p>
    <w:p w:rsidR="005E327B" w:rsidRPr="00153E07" w:rsidRDefault="005E327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увеличение продолжительности жизни населения с целью сохранения экономической активности населения;</w:t>
      </w:r>
    </w:p>
    <w:p w:rsidR="005E327B" w:rsidRPr="00153E07" w:rsidRDefault="005E327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рост динамики потребления в странах с высокой сберегательной способностью, снижение излишних трудовых ресурсов в странах с развивающейся экономикой;</w:t>
      </w:r>
    </w:p>
    <w:p w:rsidR="005E327B" w:rsidRPr="00153E07" w:rsidRDefault="005E327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выход на торговую арену рынков Африки, Азии и Латинской Америки.</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Основными факторами замедления мирового экономического роста в ближайшие годы могут стать сокращение численности трудоспособного населения, сокращение производительности труда, увеличение экологических ограничений.</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Проблема демографических ограничений заключается в изменении структуры возрастного состава населения в сторону пожилого возраста, что увеличит демографическую нагрузку в большинстве стран. С целью поддержания и увеличения доли экономически активного населения возможен пересмотр миграционной политики в сторону сокращения ограничений для мигрантов.</w:t>
      </w:r>
    </w:p>
    <w:p w:rsidR="00E21B77" w:rsidRDefault="00E21B77" w:rsidP="006D2568">
      <w:pPr>
        <w:spacing w:after="160" w:line="240" w:lineRule="auto"/>
        <w:jc w:val="both"/>
        <w:rPr>
          <w:rFonts w:ascii="Times New Roman" w:hAnsi="Times New Roman" w:cs="Times New Roman"/>
          <w:sz w:val="28"/>
          <w:szCs w:val="28"/>
        </w:rPr>
      </w:pPr>
    </w:p>
    <w:p w:rsidR="005E327B" w:rsidRDefault="005E327B" w:rsidP="006D2568">
      <w:pPr>
        <w:pStyle w:val="1"/>
        <w:numPr>
          <w:ilvl w:val="1"/>
          <w:numId w:val="1"/>
        </w:numPr>
        <w:spacing w:line="240" w:lineRule="auto"/>
      </w:pPr>
      <w:bookmarkStart w:id="7" w:name="_Toc491943101"/>
      <w:r w:rsidRPr="00153E07">
        <w:t>Основные принципы формирования Стратегии социально-экономического развития Бардымского муниципального района на период 2018-2030 годы</w:t>
      </w:r>
      <w:bookmarkEnd w:id="7"/>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Разработка и реализация агломерационных подходов при формировании системы пространственной организации Стратегии строится с учетом следующих принципов:</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 </w:t>
      </w:r>
      <w:r w:rsidRPr="00D922B3">
        <w:rPr>
          <w:rFonts w:ascii="Times New Roman" w:eastAsia="Times New Roman" w:hAnsi="Times New Roman" w:cs="Times New Roman"/>
          <w:b/>
          <w:sz w:val="28"/>
          <w:szCs w:val="28"/>
        </w:rPr>
        <w:t>Принцип ограниченности ресурсов</w:t>
      </w:r>
      <w:r w:rsidRPr="00153E07">
        <w:rPr>
          <w:rFonts w:ascii="Times New Roman" w:eastAsia="Times New Roman" w:hAnsi="Times New Roman" w:cs="Times New Roman"/>
          <w:sz w:val="28"/>
          <w:szCs w:val="28"/>
        </w:rPr>
        <w:t xml:space="preserve"> позволяет концентрировать усилия на определении ключевых точек роста и формировании Стратегии исходя из существующего конкурентного потенциала территории с учетом прогноза социально-экономического роста на среднесрочную перспективу;</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 </w:t>
      </w:r>
      <w:r w:rsidRPr="00D922B3">
        <w:rPr>
          <w:rFonts w:ascii="Times New Roman" w:eastAsia="Times New Roman" w:hAnsi="Times New Roman" w:cs="Times New Roman"/>
          <w:b/>
          <w:sz w:val="28"/>
          <w:szCs w:val="28"/>
        </w:rPr>
        <w:t>Принцип перманентной взаимосвязи</w:t>
      </w:r>
      <w:r w:rsidRPr="00153E07">
        <w:rPr>
          <w:rFonts w:ascii="Times New Roman" w:eastAsia="Times New Roman" w:hAnsi="Times New Roman" w:cs="Times New Roman"/>
          <w:sz w:val="28"/>
          <w:szCs w:val="28"/>
        </w:rPr>
        <w:t xml:space="preserve"> основных участников процесса: власти, бизнеса и граждан, который позволяет генерировать общественно ценные идеи и обеспечить практическую реализацию этих идей в рамках реализации целевых проектов и программ.</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D922B3">
        <w:rPr>
          <w:rFonts w:ascii="Times New Roman" w:eastAsia="Times New Roman" w:hAnsi="Times New Roman" w:cs="Times New Roman"/>
          <w:sz w:val="28"/>
          <w:szCs w:val="28"/>
        </w:rPr>
        <w:t xml:space="preserve">- </w:t>
      </w:r>
      <w:r w:rsidRPr="00D922B3">
        <w:rPr>
          <w:rFonts w:ascii="Times New Roman" w:eastAsia="Times New Roman" w:hAnsi="Times New Roman" w:cs="Times New Roman"/>
          <w:b/>
          <w:sz w:val="28"/>
          <w:szCs w:val="28"/>
        </w:rPr>
        <w:t>Принцип синергетического эффекта</w:t>
      </w:r>
      <w:r w:rsidRPr="00153E07">
        <w:rPr>
          <w:rFonts w:ascii="Times New Roman" w:eastAsia="Times New Roman" w:hAnsi="Times New Roman" w:cs="Times New Roman"/>
          <w:sz w:val="28"/>
          <w:szCs w:val="28"/>
        </w:rPr>
        <w:t xml:space="preserve">, который определен в формировании системы пространственной организации с учетом </w:t>
      </w:r>
      <w:r w:rsidRPr="00153E07">
        <w:rPr>
          <w:rFonts w:ascii="Times New Roman" w:eastAsia="Times New Roman" w:hAnsi="Times New Roman" w:cs="Times New Roman"/>
          <w:sz w:val="28"/>
          <w:szCs w:val="28"/>
        </w:rPr>
        <w:lastRenderedPageBreak/>
        <w:t>местонахождения, природных, климатических, социально-экономических особенностей, уровне взаимодействия с соседними муниципальными районами.</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Центральным районом, ядром агломерации, а также многофункциональным центром в агломерации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Бардымского муниципального района</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является село Барда. Здесь находятся промышленные предприятия и организации, цех добычи нефти и газа, участок управления магистральных газопроводов, лесничество, а также объекты социальной, культурной, спортивной и медицинской сфер.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Интегрированность поселений в составе муниципального района и их взаимосвязь являются важным фактором определения агломерационных подходов.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 учетом муниципальных и региональных программ сформирована система пространственной организации Бардымского муниципального района на</w:t>
      </w:r>
      <w:r w:rsidR="007C405B">
        <w:rPr>
          <w:rFonts w:ascii="Times New Roman" w:eastAsia="Times New Roman" w:hAnsi="Times New Roman" w:cs="Times New Roman"/>
          <w:sz w:val="28"/>
          <w:szCs w:val="28"/>
        </w:rPr>
        <w:t xml:space="preserve"> период до 2030 г. </w:t>
      </w:r>
      <w:r w:rsidRPr="00153E07">
        <w:rPr>
          <w:rFonts w:ascii="Times New Roman" w:eastAsia="Times New Roman" w:hAnsi="Times New Roman" w:cs="Times New Roman"/>
          <w:sz w:val="28"/>
          <w:szCs w:val="28"/>
        </w:rPr>
        <w:t>При ее формировании учтены пространственное месторасположение сельских поселений муниципального района, функциональная специализация, уровень инноваций, а также взаимодействия района с другими муниципальными образованиями Пермского края.</w:t>
      </w:r>
    </w:p>
    <w:p w:rsidR="00E21B77" w:rsidRDefault="00E21B77" w:rsidP="006D2568">
      <w:pPr>
        <w:spacing w:after="160" w:line="240" w:lineRule="auto"/>
        <w:jc w:val="both"/>
        <w:rPr>
          <w:rFonts w:ascii="Times New Roman" w:hAnsi="Times New Roman" w:cs="Times New Roman"/>
          <w:sz w:val="28"/>
          <w:szCs w:val="28"/>
        </w:rPr>
      </w:pPr>
    </w:p>
    <w:p w:rsidR="005E327B" w:rsidRDefault="005E327B" w:rsidP="006D2568">
      <w:pPr>
        <w:pStyle w:val="1"/>
        <w:numPr>
          <w:ilvl w:val="2"/>
          <w:numId w:val="1"/>
        </w:numPr>
        <w:spacing w:line="240" w:lineRule="auto"/>
      </w:pPr>
      <w:bookmarkStart w:id="8" w:name="_Toc491943102"/>
      <w:r w:rsidRPr="00153E07">
        <w:t>Агломерационный подход при формировании системы пространственной организации и Стратегии социально-экономического развития Бардымского муниципального района</w:t>
      </w:r>
      <w:bookmarkEnd w:id="8"/>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Бардымский муниципальный район представляет собой административно-территориальную единицу муниципального образования в составе Пермского края Российской Федерации.</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Основными документами субъекта РФ, направленными на формирование пространственной организации Бардымского муниципального района Пермского края, являются:</w:t>
      </w:r>
    </w:p>
    <w:p w:rsidR="005E327B" w:rsidRPr="00153E07" w:rsidRDefault="005E327B" w:rsidP="006D2568">
      <w:pPr>
        <w:pStyle w:val="af1"/>
        <w:numPr>
          <w:ilvl w:val="0"/>
          <w:numId w:val="4"/>
        </w:numPr>
        <w:spacing w:after="0" w:line="240" w:lineRule="auto"/>
        <w:jc w:val="both"/>
        <w:rPr>
          <w:rFonts w:ascii="Times New Roman" w:hAnsi="Times New Roman" w:cs="Times New Roman"/>
          <w:sz w:val="28"/>
          <w:szCs w:val="28"/>
        </w:rPr>
      </w:pPr>
      <w:r w:rsidRPr="00153E07">
        <w:rPr>
          <w:rFonts w:ascii="Times New Roman" w:hAnsi="Times New Roman" w:cs="Times New Roman"/>
          <w:sz w:val="28"/>
          <w:szCs w:val="28"/>
        </w:rPr>
        <w:t>Градостроительный кодекс Российской Федерации № 190-ФЗ от 29.12.2004 (ред. от 29.07.2017).</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Данный документ регулирует градостроительные отношения, связанные с планированием развития территорий городов и поселений, градостроительным зонированием, архитектурно-строительным проектированием, строительством, реконструкцией объектов капитального строительства, капитального ремонта, эксплуатацией зданий и сооружений.</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Обязательным условием градостроительной деятельности выступает устойчивое развитие территорий, т.е. обеспечение при ее осуществлении благоприятных условий и безопасности жизнедеятельности человека, ограничение негативного воздействия деятельности человека на окружающую среду, а также обеспечение охраны и рационального использования природных ресурсов в интересах поколений.</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bookmarkStart w:id="9" w:name="dst100011"/>
      <w:bookmarkEnd w:id="9"/>
      <w:r w:rsidRPr="00153E07">
        <w:rPr>
          <w:rFonts w:ascii="Times New Roman" w:eastAsia="Times New Roman" w:hAnsi="Times New Roman" w:cs="Times New Roman"/>
          <w:sz w:val="28"/>
          <w:szCs w:val="28"/>
        </w:rPr>
        <w:t xml:space="preserve">Градостроительный кодекс Российской Федерации устанавливает полномочия органов государственной власти в области градостроительной деятельности на федеральном, региональном уровнях, а также для органов местного самоуправления муниципальных районов и поселений. </w:t>
      </w:r>
    </w:p>
    <w:p w:rsidR="005E327B" w:rsidRPr="00153E07" w:rsidRDefault="005E327B" w:rsidP="006D2568">
      <w:pPr>
        <w:pStyle w:val="af1"/>
        <w:numPr>
          <w:ilvl w:val="0"/>
          <w:numId w:val="4"/>
        </w:numPr>
        <w:spacing w:after="0" w:line="240" w:lineRule="auto"/>
        <w:ind w:left="714" w:hanging="357"/>
        <w:jc w:val="both"/>
        <w:rPr>
          <w:rFonts w:ascii="Times New Roman" w:hAnsi="Times New Roman" w:cs="Times New Roman"/>
          <w:sz w:val="28"/>
          <w:szCs w:val="28"/>
        </w:rPr>
      </w:pPr>
      <w:r w:rsidRPr="00153E07">
        <w:rPr>
          <w:rFonts w:ascii="Times New Roman" w:hAnsi="Times New Roman" w:cs="Times New Roman"/>
          <w:sz w:val="28"/>
          <w:szCs w:val="28"/>
        </w:rPr>
        <w:t xml:space="preserve">Федеральный закон № 172-ФЗ от 28.06.2014 </w:t>
      </w:r>
      <w:r w:rsidR="00DE2D0E">
        <w:rPr>
          <w:rFonts w:ascii="Times New Roman" w:hAnsi="Times New Roman" w:cs="Times New Roman"/>
          <w:sz w:val="28"/>
          <w:szCs w:val="28"/>
        </w:rPr>
        <w:t>«</w:t>
      </w:r>
      <w:r w:rsidRPr="00153E07">
        <w:rPr>
          <w:rFonts w:ascii="Times New Roman" w:hAnsi="Times New Roman" w:cs="Times New Roman"/>
          <w:sz w:val="28"/>
          <w:szCs w:val="28"/>
        </w:rPr>
        <w:t>О стратегическом планировании в Российской Федерации</w:t>
      </w:r>
      <w:r w:rsidR="00DE2D0E">
        <w:rPr>
          <w:rFonts w:ascii="Times New Roman" w:hAnsi="Times New Roman" w:cs="Times New Roman"/>
          <w:sz w:val="28"/>
          <w:szCs w:val="28"/>
        </w:rPr>
        <w:t>»</w:t>
      </w:r>
      <w:r w:rsidRPr="00153E07">
        <w:rPr>
          <w:rFonts w:ascii="Times New Roman" w:hAnsi="Times New Roman" w:cs="Times New Roman"/>
          <w:sz w:val="28"/>
          <w:szCs w:val="28"/>
        </w:rPr>
        <w:t xml:space="preserve"> предусматривает разработку </w:t>
      </w:r>
      <w:r w:rsidRPr="00153E07">
        <w:rPr>
          <w:rFonts w:ascii="Times New Roman" w:hAnsi="Times New Roman" w:cs="Times New Roman"/>
          <w:sz w:val="28"/>
          <w:szCs w:val="28"/>
        </w:rPr>
        <w:lastRenderedPageBreak/>
        <w:t xml:space="preserve">кардинально нового для России документа, сочетающего в себе элементы стратегического и территориального планирования – </w:t>
      </w:r>
      <w:r w:rsidR="00DE2D0E">
        <w:rPr>
          <w:rFonts w:ascii="Times New Roman" w:hAnsi="Times New Roman" w:cs="Times New Roman"/>
          <w:sz w:val="28"/>
          <w:szCs w:val="28"/>
        </w:rPr>
        <w:t>«</w:t>
      </w:r>
      <w:r w:rsidRPr="00153E07">
        <w:rPr>
          <w:rFonts w:ascii="Times New Roman" w:hAnsi="Times New Roman" w:cs="Times New Roman"/>
          <w:sz w:val="28"/>
          <w:szCs w:val="28"/>
        </w:rPr>
        <w:t>Стратегия пространственного развития Российской Федерации</w:t>
      </w:r>
      <w:r w:rsidR="00DE2D0E">
        <w:rPr>
          <w:rFonts w:ascii="Times New Roman" w:hAnsi="Times New Roman" w:cs="Times New Roman"/>
          <w:sz w:val="28"/>
          <w:szCs w:val="28"/>
        </w:rPr>
        <w:t>»</w:t>
      </w:r>
      <w:r w:rsidRPr="00153E07">
        <w:rPr>
          <w:rFonts w:ascii="Times New Roman" w:hAnsi="Times New Roman" w:cs="Times New Roman"/>
          <w:sz w:val="28"/>
          <w:szCs w:val="28"/>
        </w:rPr>
        <w:t>.</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Стратегия пространственного развития Российской Федерации определяет приоритеты, цели и задачи регионального развития территорий Российской Федерации и направлена на поддержание устойчивости системы расселения на территории Российской Федерации, исходя из социально-экономических приоритетов развития с целью гармонизации размещения производительных сил.</w:t>
      </w:r>
    </w:p>
    <w:p w:rsidR="005E327B" w:rsidRPr="00153E07" w:rsidRDefault="005E327B" w:rsidP="006D2568">
      <w:pPr>
        <w:pStyle w:val="af1"/>
        <w:numPr>
          <w:ilvl w:val="0"/>
          <w:numId w:val="4"/>
        </w:numPr>
        <w:spacing w:line="240" w:lineRule="auto"/>
        <w:jc w:val="both"/>
        <w:rPr>
          <w:rFonts w:ascii="Times New Roman" w:hAnsi="Times New Roman" w:cs="Times New Roman"/>
          <w:color w:val="000000"/>
          <w:sz w:val="28"/>
          <w:szCs w:val="28"/>
          <w:shd w:val="clear" w:color="auto" w:fill="FFFFFF"/>
        </w:rPr>
      </w:pPr>
      <w:r w:rsidRPr="00153E07">
        <w:rPr>
          <w:rFonts w:ascii="Times New Roman" w:hAnsi="Times New Roman" w:cs="Times New Roman"/>
          <w:sz w:val="28"/>
          <w:szCs w:val="28"/>
        </w:rPr>
        <w:t xml:space="preserve">Федеральный закон № 131-ФЗ от 06.10.2003 </w:t>
      </w:r>
      <w:r w:rsidR="00DE2D0E">
        <w:rPr>
          <w:rFonts w:ascii="Times New Roman" w:hAnsi="Times New Roman" w:cs="Times New Roman"/>
          <w:sz w:val="28"/>
          <w:szCs w:val="28"/>
        </w:rPr>
        <w:t>«</w:t>
      </w:r>
      <w:r w:rsidRPr="00153E07">
        <w:rPr>
          <w:rFonts w:ascii="Times New Roman" w:hAnsi="Times New Roman" w:cs="Times New Roman"/>
          <w:sz w:val="28"/>
          <w:szCs w:val="28"/>
        </w:rPr>
        <w:t>Об общих принципах организации местного самоуправления в Российской Федерации</w:t>
      </w:r>
      <w:r w:rsidR="00DE2D0E">
        <w:rPr>
          <w:rFonts w:ascii="Times New Roman" w:hAnsi="Times New Roman" w:cs="Times New Roman"/>
          <w:sz w:val="28"/>
          <w:szCs w:val="28"/>
        </w:rPr>
        <w:t>»</w:t>
      </w:r>
      <w:r w:rsidRPr="00153E07">
        <w:rPr>
          <w:rFonts w:ascii="Times New Roman" w:hAnsi="Times New Roman" w:cs="Times New Roman"/>
          <w:sz w:val="28"/>
          <w:szCs w:val="28"/>
        </w:rPr>
        <w:t xml:space="preserve"> позволяет устанавливать общие правовые, территориальные, организационные и экономические принципы организации местного самоуправления в Российской Федерации, а также определяет государственные гарантии его осуществления</w:t>
      </w:r>
      <w:r w:rsidRPr="00153E07">
        <w:rPr>
          <w:rFonts w:ascii="Times New Roman" w:hAnsi="Times New Roman" w:cs="Times New Roman"/>
          <w:color w:val="000000"/>
          <w:sz w:val="28"/>
          <w:szCs w:val="28"/>
          <w:shd w:val="clear" w:color="auto" w:fill="FFFFFF"/>
        </w:rPr>
        <w:t>. Положениями данного закона определено, что границы и территории муниципальных районов устанавливаются, изменяются, преобразуются законами субъектов Российской Федерации по инициативе населения и местного самоуправления муниципальных образований, а также органов региональной и федеральной государственной власти. Закон наделяет муниципальные районы и сельские поселениями по утверждению схем территориального планирования муниципального района, документации по планировке территории, ведению информационной системы обеспечения градостроительной деятельности, осуществляемой на территории муниципального района, резервирования и изъятия земельных участков в границах муниципального района для муниципальных нужд. Федеральный закон</w:t>
      </w:r>
      <w:r w:rsidRPr="00153E07">
        <w:rPr>
          <w:rFonts w:ascii="Times New Roman" w:hAnsi="Times New Roman" w:cs="Times New Roman"/>
          <w:sz w:val="28"/>
          <w:szCs w:val="28"/>
        </w:rPr>
        <w:t>устанавливает требования к системам расселения и формированию территорий сельских поселений.</w:t>
      </w:r>
    </w:p>
    <w:p w:rsidR="005E327B" w:rsidRPr="00153E07" w:rsidRDefault="005E327B" w:rsidP="006D2568">
      <w:pPr>
        <w:pStyle w:val="af1"/>
        <w:numPr>
          <w:ilvl w:val="0"/>
          <w:numId w:val="4"/>
        </w:numPr>
        <w:spacing w:after="0" w:line="240" w:lineRule="auto"/>
        <w:ind w:left="851"/>
        <w:jc w:val="both"/>
        <w:rPr>
          <w:rFonts w:ascii="Times New Roman" w:hAnsi="Times New Roman" w:cs="Times New Roman"/>
          <w:color w:val="000000"/>
          <w:sz w:val="28"/>
          <w:szCs w:val="28"/>
          <w:shd w:val="clear" w:color="auto" w:fill="FFFFFF"/>
        </w:rPr>
      </w:pPr>
      <w:r w:rsidRPr="00153E07">
        <w:rPr>
          <w:rFonts w:ascii="Times New Roman" w:hAnsi="Times New Roman" w:cs="Times New Roman"/>
          <w:sz w:val="28"/>
          <w:szCs w:val="28"/>
        </w:rPr>
        <w:t xml:space="preserve">Указ Президента РФ № 13 от 16.01.2017г. </w:t>
      </w:r>
      <w:r w:rsidR="00DE2D0E">
        <w:rPr>
          <w:rFonts w:ascii="Times New Roman" w:hAnsi="Times New Roman" w:cs="Times New Roman"/>
          <w:sz w:val="28"/>
          <w:szCs w:val="28"/>
        </w:rPr>
        <w:t>«</w:t>
      </w:r>
      <w:r w:rsidRPr="00153E07">
        <w:rPr>
          <w:rFonts w:ascii="Times New Roman" w:hAnsi="Times New Roman" w:cs="Times New Roman"/>
          <w:sz w:val="28"/>
          <w:szCs w:val="28"/>
        </w:rPr>
        <w:t>Об утверждении Основ государственной политики регионального развития Российской Федерации на период до 2025 года</w:t>
      </w:r>
      <w:r w:rsidR="00DE2D0E">
        <w:rPr>
          <w:rFonts w:ascii="Times New Roman" w:hAnsi="Times New Roman" w:cs="Times New Roman"/>
          <w:sz w:val="28"/>
          <w:szCs w:val="28"/>
        </w:rPr>
        <w:t>»</w:t>
      </w:r>
      <w:r w:rsidRPr="00153E07">
        <w:rPr>
          <w:rFonts w:ascii="Times New Roman" w:hAnsi="Times New Roman" w:cs="Times New Roman"/>
          <w:sz w:val="28"/>
          <w:szCs w:val="28"/>
        </w:rPr>
        <w:t xml:space="preserve">, который определяет </w:t>
      </w:r>
      <w:r w:rsidRPr="00153E07">
        <w:rPr>
          <w:rFonts w:ascii="Times New Roman" w:eastAsia="Times New Roman" w:hAnsi="Times New Roman" w:cs="Times New Roman"/>
          <w:sz w:val="28"/>
          <w:szCs w:val="28"/>
        </w:rPr>
        <w:t>приоритеты, цели, задачи, принципы и механизмы реализации политики регионального развития Российской Федерации.</w:t>
      </w:r>
    </w:p>
    <w:p w:rsidR="005E327B" w:rsidRPr="00153E07" w:rsidRDefault="005E327B" w:rsidP="006D2568">
      <w:pPr>
        <w:spacing w:after="0" w:line="240" w:lineRule="auto"/>
        <w:ind w:firstLine="709"/>
        <w:jc w:val="both"/>
        <w:rPr>
          <w:rFonts w:ascii="Times New Roman" w:hAnsi="Times New Roman" w:cs="Times New Roman"/>
          <w:sz w:val="28"/>
          <w:szCs w:val="28"/>
        </w:rPr>
      </w:pPr>
      <w:r w:rsidRPr="00153E07">
        <w:rPr>
          <w:rFonts w:ascii="Times New Roman" w:eastAsia="Times New Roman" w:hAnsi="Times New Roman" w:cs="Times New Roman"/>
          <w:sz w:val="28"/>
          <w:szCs w:val="28"/>
        </w:rPr>
        <w:t>Основными задачами государственной политики регионального развития являются выявление перспективных конкурентных преимуществ регионов и муниципальных образований с учетом территориального разделения труда; определение основных направлений изменения пространственной структуры экономики, утверждения планируемого размещения инженерной, транспортной, энергетической и социальной инфраструктуры на территориях; совершенствование механизмов регулирования внутренней и внешней миграции; совершенствование механизмов стимулирования регионов и муниципальных образований к наращиванию собственного экономического потенциала.</w:t>
      </w:r>
    </w:p>
    <w:p w:rsidR="005E327B" w:rsidRPr="00153E07" w:rsidRDefault="005E327B" w:rsidP="006D2568">
      <w:pPr>
        <w:pStyle w:val="af1"/>
        <w:numPr>
          <w:ilvl w:val="0"/>
          <w:numId w:val="4"/>
        </w:numPr>
        <w:spacing w:after="0" w:line="240" w:lineRule="auto"/>
        <w:jc w:val="both"/>
        <w:rPr>
          <w:rFonts w:ascii="Times New Roman" w:hAnsi="Times New Roman" w:cs="Times New Roman"/>
          <w:sz w:val="28"/>
          <w:szCs w:val="28"/>
        </w:rPr>
      </w:pPr>
      <w:r w:rsidRPr="00153E07">
        <w:rPr>
          <w:rFonts w:ascii="Times New Roman" w:hAnsi="Times New Roman" w:cs="Times New Roman"/>
          <w:sz w:val="28"/>
          <w:szCs w:val="28"/>
        </w:rPr>
        <w:t xml:space="preserve">Распоряжение Правительства Российской Федерации от 07.02.2011 № 165-р </w:t>
      </w:r>
      <w:r w:rsidR="00DE2D0E">
        <w:rPr>
          <w:rFonts w:ascii="Times New Roman" w:hAnsi="Times New Roman" w:cs="Times New Roman"/>
          <w:sz w:val="28"/>
          <w:szCs w:val="28"/>
        </w:rPr>
        <w:t>«</w:t>
      </w:r>
      <w:r w:rsidRPr="00153E07">
        <w:rPr>
          <w:rFonts w:ascii="Times New Roman" w:hAnsi="Times New Roman" w:cs="Times New Roman"/>
          <w:sz w:val="28"/>
          <w:szCs w:val="28"/>
        </w:rPr>
        <w:t>Об утверждении Стратегии социально-экономического развития Приволжского федерального округа на период до 2020 года</w:t>
      </w:r>
      <w:r w:rsidR="00DE2D0E">
        <w:rPr>
          <w:rFonts w:ascii="Times New Roman" w:hAnsi="Times New Roman" w:cs="Times New Roman"/>
          <w:sz w:val="28"/>
          <w:szCs w:val="28"/>
        </w:rPr>
        <w:t>»</w:t>
      </w:r>
      <w:r w:rsidRPr="00153E07">
        <w:rPr>
          <w:rFonts w:ascii="Times New Roman" w:hAnsi="Times New Roman" w:cs="Times New Roman"/>
          <w:sz w:val="28"/>
          <w:szCs w:val="28"/>
        </w:rPr>
        <w:t>;</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Стратегия направлена на реализацию конкурентных преимуществ (географических, технологических, интеллектуальных) Приволжского </w:t>
      </w:r>
      <w:r w:rsidRPr="00153E07">
        <w:rPr>
          <w:rFonts w:ascii="Times New Roman" w:eastAsia="Times New Roman" w:hAnsi="Times New Roman" w:cs="Times New Roman"/>
          <w:sz w:val="28"/>
          <w:szCs w:val="28"/>
        </w:rPr>
        <w:lastRenderedPageBreak/>
        <w:t>федерального округа для обеспечения развития экономики и улучшения жизни людей.</w:t>
      </w:r>
    </w:p>
    <w:p w:rsidR="005E327B" w:rsidRPr="00153E07" w:rsidRDefault="005E327B" w:rsidP="006D2568">
      <w:pPr>
        <w:pStyle w:val="af1"/>
        <w:numPr>
          <w:ilvl w:val="0"/>
          <w:numId w:val="4"/>
        </w:numPr>
        <w:spacing w:after="0" w:line="240" w:lineRule="auto"/>
        <w:jc w:val="both"/>
        <w:rPr>
          <w:rFonts w:ascii="Times New Roman" w:hAnsi="Times New Roman" w:cs="Times New Roman"/>
          <w:sz w:val="28"/>
          <w:szCs w:val="28"/>
        </w:rPr>
      </w:pPr>
      <w:r w:rsidRPr="00153E07">
        <w:rPr>
          <w:rFonts w:ascii="Times New Roman" w:hAnsi="Times New Roman" w:cs="Times New Roman"/>
          <w:sz w:val="28"/>
          <w:szCs w:val="28"/>
        </w:rPr>
        <w:t xml:space="preserve">Стандарт деятельности органов местного самоуправления Пермского края по обеспечению благоприятного инвестиционного климата, утвержденный Протоколом Совета Пермского краевого регионального отделения Общероссийской общественной организации </w:t>
      </w:r>
      <w:r w:rsidR="00DE2D0E">
        <w:rPr>
          <w:rFonts w:ascii="Times New Roman" w:hAnsi="Times New Roman" w:cs="Times New Roman"/>
          <w:sz w:val="28"/>
          <w:szCs w:val="28"/>
        </w:rPr>
        <w:t>«</w:t>
      </w:r>
      <w:r w:rsidRPr="00153E07">
        <w:rPr>
          <w:rFonts w:ascii="Times New Roman" w:hAnsi="Times New Roman" w:cs="Times New Roman"/>
          <w:sz w:val="28"/>
          <w:szCs w:val="28"/>
        </w:rPr>
        <w:t>Деловая Россия</w:t>
      </w:r>
      <w:r w:rsidR="00DE2D0E">
        <w:rPr>
          <w:rFonts w:ascii="Times New Roman" w:hAnsi="Times New Roman" w:cs="Times New Roman"/>
          <w:sz w:val="28"/>
          <w:szCs w:val="28"/>
        </w:rPr>
        <w:t>»</w:t>
      </w:r>
      <w:r w:rsidRPr="00153E07">
        <w:rPr>
          <w:rFonts w:ascii="Times New Roman" w:hAnsi="Times New Roman" w:cs="Times New Roman"/>
          <w:sz w:val="28"/>
          <w:szCs w:val="28"/>
        </w:rPr>
        <w:t xml:space="preserve"> от 21.03.2014 № 3/14;</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Стандарт деятельности органов местного самоуправления Пермского края</w:t>
      </w:r>
      <w:r w:rsidR="002625F2">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направлен на обеспечение благоприятного инвестиционного климата, а именно улучшение инвестиционного климата, как в отдельных муниципальных образованиях, так и в Пермском крае в целом. Данная стратегия предполагает определение инвестиционных приоритетов муниципального образования, таких как, территории, отрасли, технологии, осваиваемые виды продукции, работ и услуг, планируемые к реализации проекты. Также предполагается формирование плана создания инвестиционных объектов и необходимой транспортной, энергетической, социальной, инженерной, коммунальной и телекоммуникационной инфраструктуры.</w:t>
      </w:r>
    </w:p>
    <w:p w:rsidR="005E327B" w:rsidRPr="00153E07" w:rsidRDefault="005E327B" w:rsidP="006D2568">
      <w:pPr>
        <w:pStyle w:val="af1"/>
        <w:numPr>
          <w:ilvl w:val="0"/>
          <w:numId w:val="4"/>
        </w:numPr>
        <w:spacing w:after="0" w:line="240" w:lineRule="auto"/>
        <w:jc w:val="both"/>
        <w:rPr>
          <w:rFonts w:ascii="Times New Roman" w:hAnsi="Times New Roman" w:cs="Times New Roman"/>
          <w:sz w:val="28"/>
          <w:szCs w:val="28"/>
        </w:rPr>
      </w:pPr>
      <w:r w:rsidRPr="00153E07">
        <w:rPr>
          <w:rFonts w:ascii="Times New Roman" w:hAnsi="Times New Roman" w:cs="Times New Roman"/>
          <w:sz w:val="28"/>
          <w:szCs w:val="28"/>
        </w:rPr>
        <w:t xml:space="preserve">Постановление Законодательного собрания Пермского края </w:t>
      </w:r>
      <w:r w:rsidR="00DE2D0E">
        <w:rPr>
          <w:rFonts w:ascii="Times New Roman" w:hAnsi="Times New Roman" w:cs="Times New Roman"/>
          <w:sz w:val="28"/>
          <w:szCs w:val="28"/>
        </w:rPr>
        <w:t>«</w:t>
      </w:r>
      <w:r w:rsidRPr="00153E07">
        <w:rPr>
          <w:rFonts w:ascii="Times New Roman" w:hAnsi="Times New Roman" w:cs="Times New Roman"/>
          <w:sz w:val="28"/>
          <w:szCs w:val="28"/>
        </w:rPr>
        <w:t>Об утверждении Стратегии социально-экономического развития Пермского края до 2026 года</w:t>
      </w:r>
      <w:r w:rsidR="00DE2D0E">
        <w:rPr>
          <w:rFonts w:ascii="Times New Roman" w:hAnsi="Times New Roman" w:cs="Times New Roman"/>
          <w:sz w:val="28"/>
          <w:szCs w:val="28"/>
        </w:rPr>
        <w:t>»</w:t>
      </w:r>
      <w:r w:rsidRPr="00153E07">
        <w:rPr>
          <w:rFonts w:ascii="Times New Roman" w:hAnsi="Times New Roman" w:cs="Times New Roman"/>
          <w:sz w:val="28"/>
          <w:szCs w:val="28"/>
        </w:rPr>
        <w:t xml:space="preserve"> от 01.12.2011 № 3046;</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Стратегия развития Пермского края имеет своей целью повышение численности постоянного населения Пермского края, рост числа вовлеченных в экономическую деятельность на территории края, а также увеличение количества людей, временно находящихся на территории края с личными, деловыми и общественными целями, как отражение привлекательности Пермского края для жизни, труда и отдыха людей.</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числе целей и задач социально-экономического</w:t>
      </w:r>
      <w:r w:rsidR="002625F2">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xml:space="preserve">развития Пермского края, относящихся к пространственному развитию территорий, относятся: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Природопользование и инфраструктура</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Управление земельными ресурсами и имуществом</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Территориальное развитие</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w:t>
      </w:r>
    </w:p>
    <w:p w:rsidR="005E327B" w:rsidRPr="00153E07" w:rsidRDefault="005E327B" w:rsidP="006D2568">
      <w:pPr>
        <w:pStyle w:val="af1"/>
        <w:numPr>
          <w:ilvl w:val="0"/>
          <w:numId w:val="4"/>
        </w:numPr>
        <w:spacing w:line="240" w:lineRule="auto"/>
        <w:jc w:val="both"/>
        <w:rPr>
          <w:rFonts w:ascii="Times New Roman" w:hAnsi="Times New Roman" w:cs="Times New Roman"/>
          <w:sz w:val="28"/>
          <w:szCs w:val="28"/>
        </w:rPr>
      </w:pPr>
      <w:r w:rsidRPr="00153E07">
        <w:rPr>
          <w:rFonts w:ascii="Times New Roman" w:hAnsi="Times New Roman" w:cs="Times New Roman"/>
          <w:sz w:val="28"/>
          <w:szCs w:val="28"/>
        </w:rPr>
        <w:t xml:space="preserve">Устав Бардымского муниципального района Пермского края гласит: </w:t>
      </w:r>
      <w:r w:rsidR="00DE2D0E">
        <w:rPr>
          <w:rFonts w:ascii="Times New Roman" w:hAnsi="Times New Roman" w:cs="Times New Roman"/>
          <w:sz w:val="28"/>
          <w:szCs w:val="28"/>
        </w:rPr>
        <w:t>«</w:t>
      </w:r>
      <w:r w:rsidRPr="00153E07">
        <w:rPr>
          <w:rFonts w:ascii="Times New Roman" w:hAnsi="Times New Roman" w:cs="Times New Roman"/>
          <w:sz w:val="28"/>
          <w:szCs w:val="28"/>
        </w:rPr>
        <w:t>Бардымский муниципальный район - муниципальное образование в составе Пермского края, состоящее из сельских поселений, объединенных общей территорией, в границах которой осуществляется местное самоуправление в целях решения вопросов местного значения межпоселенческого характера населением непосредственно и через выборные и иные органы местного самоуправления</w:t>
      </w:r>
      <w:r w:rsidR="00DE2D0E">
        <w:rPr>
          <w:rFonts w:ascii="Times New Roman" w:hAnsi="Times New Roman" w:cs="Times New Roman"/>
          <w:sz w:val="28"/>
          <w:szCs w:val="28"/>
        </w:rPr>
        <w:t>»</w:t>
      </w:r>
      <w:r w:rsidRPr="00153E07">
        <w:rPr>
          <w:rFonts w:ascii="Times New Roman" w:hAnsi="Times New Roman" w:cs="Times New Roman"/>
          <w:sz w:val="28"/>
          <w:szCs w:val="28"/>
        </w:rPr>
        <w:t>.</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Устав муниципального района регулирует экономические основы местного самоуправления, характеристики и полномочия района в управлении муниципальным имуществом.</w:t>
      </w:r>
    </w:p>
    <w:p w:rsidR="005E327B" w:rsidRPr="00153E07" w:rsidRDefault="005E327B" w:rsidP="006D2568">
      <w:pPr>
        <w:pStyle w:val="af1"/>
        <w:numPr>
          <w:ilvl w:val="0"/>
          <w:numId w:val="4"/>
        </w:numPr>
        <w:spacing w:line="240" w:lineRule="auto"/>
        <w:jc w:val="both"/>
        <w:rPr>
          <w:rFonts w:ascii="Times New Roman" w:hAnsi="Times New Roman" w:cs="Times New Roman"/>
          <w:sz w:val="28"/>
          <w:szCs w:val="28"/>
        </w:rPr>
      </w:pPr>
      <w:r w:rsidRPr="00153E07">
        <w:rPr>
          <w:rFonts w:ascii="Times New Roman" w:hAnsi="Times New Roman" w:cs="Times New Roman"/>
          <w:sz w:val="28"/>
          <w:szCs w:val="28"/>
        </w:rPr>
        <w:t xml:space="preserve">Схема территориального планирования Бардымского муниципального района определяет </w:t>
      </w:r>
      <w:r w:rsidRPr="00153E07">
        <w:rPr>
          <w:rFonts w:ascii="Times New Roman" w:eastAsia="Times New Roman" w:hAnsi="Times New Roman" w:cs="Times New Roman"/>
          <w:sz w:val="28"/>
          <w:szCs w:val="28"/>
        </w:rPr>
        <w:t>назначения территорий на основе анализа социальных, экономических, экологических и иных факторов в целях обеспечения</w:t>
      </w:r>
      <w:hyperlink w:anchor="sub_103" w:history="1">
        <w:r w:rsidRPr="00153E07">
          <w:rPr>
            <w:rFonts w:ascii="Times New Roman" w:eastAsia="Times New Roman" w:hAnsi="Times New Roman" w:cs="Times New Roman"/>
            <w:sz w:val="28"/>
            <w:szCs w:val="28"/>
          </w:rPr>
          <w:t xml:space="preserve"> устойчивого развития территорий</w:t>
        </w:r>
      </w:hyperlink>
      <w:r w:rsidRPr="00153E07">
        <w:rPr>
          <w:rFonts w:ascii="Times New Roman" w:eastAsia="Times New Roman" w:hAnsi="Times New Roman" w:cs="Times New Roman"/>
          <w:sz w:val="28"/>
          <w:szCs w:val="28"/>
        </w:rPr>
        <w:t>, инженерной, транспортной и социальной инфраструктур с обеспечением учета интересов граждан;</w:t>
      </w:r>
    </w:p>
    <w:p w:rsidR="005E327B" w:rsidRPr="00153E07" w:rsidRDefault="005E327B" w:rsidP="006D2568">
      <w:pPr>
        <w:pStyle w:val="af1"/>
        <w:numPr>
          <w:ilvl w:val="0"/>
          <w:numId w:val="4"/>
        </w:numPr>
        <w:spacing w:after="0" w:line="240" w:lineRule="auto"/>
        <w:jc w:val="both"/>
        <w:rPr>
          <w:rFonts w:ascii="Times New Roman" w:hAnsi="Times New Roman" w:cs="Times New Roman"/>
          <w:sz w:val="28"/>
          <w:szCs w:val="28"/>
        </w:rPr>
      </w:pPr>
      <w:r w:rsidRPr="00153E07">
        <w:rPr>
          <w:rFonts w:ascii="Times New Roman" w:hAnsi="Times New Roman" w:cs="Times New Roman"/>
          <w:sz w:val="28"/>
          <w:szCs w:val="28"/>
        </w:rPr>
        <w:lastRenderedPageBreak/>
        <w:t>Генеральные планы поселений, входящих в состав Бардымского муниципального района, включают в себя характеристики территории сельских поселений, природные условия и ресурсы, минерально-сырьевые, лесосырьевые и рекреационные ресурсы, сведения о численности населения, описание социальной инфраструктуры, экономического потенциала с использованием программно-целевого программирования, жилищного строительства, инженерной и транспортной инфраструктуры, схемы озеленения территории и перечень основных факторов риска возникновения чрезвычайных ситуаций природного и техногенного характера. Территориально-планировочная организация территории содержит сведения об оптимизации системы расселения, обоснование территориального развития поселения, проектную организацию территории, архитектурно-планировочное решение.</w:t>
      </w:r>
    </w:p>
    <w:p w:rsidR="005E327B" w:rsidRPr="00153E07" w:rsidRDefault="005E327B" w:rsidP="006D2568">
      <w:pPr>
        <w:pStyle w:val="af1"/>
        <w:numPr>
          <w:ilvl w:val="0"/>
          <w:numId w:val="4"/>
        </w:numPr>
        <w:spacing w:after="0" w:line="240" w:lineRule="auto"/>
        <w:jc w:val="both"/>
        <w:rPr>
          <w:rFonts w:ascii="Times New Roman" w:hAnsi="Times New Roman" w:cs="Times New Roman"/>
          <w:sz w:val="28"/>
          <w:szCs w:val="28"/>
        </w:rPr>
      </w:pPr>
      <w:r w:rsidRPr="00153E07">
        <w:rPr>
          <w:rFonts w:ascii="Times New Roman" w:hAnsi="Times New Roman" w:cs="Times New Roman"/>
          <w:sz w:val="28"/>
          <w:szCs w:val="28"/>
        </w:rPr>
        <w:t>Муниципальные целевые программы Бардымского муниципального района;</w:t>
      </w:r>
    </w:p>
    <w:p w:rsidR="005E327B" w:rsidRPr="00153E07" w:rsidRDefault="005E327B" w:rsidP="006D2568">
      <w:pPr>
        <w:pStyle w:val="af1"/>
        <w:numPr>
          <w:ilvl w:val="0"/>
          <w:numId w:val="4"/>
        </w:numPr>
        <w:spacing w:after="0" w:line="240" w:lineRule="auto"/>
        <w:jc w:val="both"/>
        <w:rPr>
          <w:rFonts w:ascii="Times New Roman" w:hAnsi="Times New Roman" w:cs="Times New Roman"/>
          <w:sz w:val="28"/>
          <w:szCs w:val="28"/>
        </w:rPr>
      </w:pPr>
      <w:r w:rsidRPr="00153E07">
        <w:rPr>
          <w:rFonts w:ascii="Times New Roman" w:hAnsi="Times New Roman" w:cs="Times New Roman"/>
          <w:sz w:val="28"/>
          <w:szCs w:val="28"/>
        </w:rPr>
        <w:t>Инвестиционные муниципальные проекты (программы) Бардымского муниципального района.</w:t>
      </w:r>
    </w:p>
    <w:p w:rsidR="005E327B" w:rsidRPr="00153E07" w:rsidRDefault="005E327B" w:rsidP="006D2568">
      <w:pPr>
        <w:spacing w:after="0" w:line="240" w:lineRule="auto"/>
        <w:ind w:firstLine="709"/>
        <w:jc w:val="both"/>
        <w:rPr>
          <w:rFonts w:ascii="Times New Roman" w:hAnsi="Times New Roman" w:cs="Times New Roman"/>
          <w:sz w:val="28"/>
          <w:szCs w:val="28"/>
        </w:rPr>
      </w:pPr>
      <w:r w:rsidRPr="00153E07">
        <w:rPr>
          <w:rFonts w:ascii="Times New Roman" w:eastAsia="Times New Roman" w:hAnsi="Times New Roman" w:cs="Times New Roman"/>
          <w:sz w:val="28"/>
          <w:szCs w:val="28"/>
        </w:rPr>
        <w:t xml:space="preserve">Перечисленные документы направлены на развитие муниципального района, а именно: </w:t>
      </w:r>
      <w:r w:rsidRPr="00153E07">
        <w:rPr>
          <w:rFonts w:ascii="Times New Roman" w:hAnsi="Times New Roman" w:cs="Times New Roman"/>
          <w:sz w:val="28"/>
          <w:szCs w:val="28"/>
          <w:shd w:val="clear" w:color="auto" w:fill="FFFFFF"/>
        </w:rPr>
        <w:t xml:space="preserve">на повышение численности постоянного населения Пермского края, рост числа вовлеченных в экономическую деятельность на территории края, а также увеличение количества людей, временно находящихся на территории края с личными, деловыми и общественными целями. </w:t>
      </w:r>
    </w:p>
    <w:p w:rsidR="005E327B" w:rsidRPr="00153E07" w:rsidRDefault="005E327B" w:rsidP="006D2568">
      <w:pPr>
        <w:spacing w:after="0" w:line="240" w:lineRule="auto"/>
        <w:ind w:firstLine="709"/>
        <w:contextualSpacing/>
        <w:jc w:val="both"/>
        <w:rPr>
          <w:rFonts w:ascii="Times New Roman" w:hAnsi="Times New Roman" w:cs="Times New Roman"/>
          <w:sz w:val="28"/>
          <w:szCs w:val="28"/>
        </w:rPr>
      </w:pPr>
      <w:r w:rsidRPr="00153E07">
        <w:rPr>
          <w:rFonts w:ascii="Times New Roman" w:hAnsi="Times New Roman" w:cs="Times New Roman"/>
          <w:sz w:val="28"/>
          <w:szCs w:val="28"/>
        </w:rPr>
        <w:t xml:space="preserve">Согласно схеме территориального планирования Пермского края, утвержденной 27 октября 2009 года Постановлением Правительства Пермского края № </w:t>
      </w:r>
      <w:r w:rsidRPr="00153E07">
        <w:rPr>
          <w:rFonts w:ascii="Times New Roman" w:hAnsi="Times New Roman" w:cs="Times New Roman"/>
          <w:bCs/>
          <w:sz w:val="28"/>
          <w:szCs w:val="28"/>
        </w:rPr>
        <w:t xml:space="preserve">780-п, пространственная структура Пермского края формируется как планировочная система, основой которой являются урбанизированный, природно-экологический и историко-культурный каркасы.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представленных документов показал, что на текущий период времени в Бардымском муниципальном районе определены следующие агломерационные направления формирования пространственной организации муниципального образования:</w:t>
      </w:r>
    </w:p>
    <w:p w:rsidR="005E327B" w:rsidRPr="00153E07" w:rsidRDefault="005E327B" w:rsidP="006D2568">
      <w:pPr>
        <w:pStyle w:val="af1"/>
        <w:numPr>
          <w:ilvl w:val="0"/>
          <w:numId w:val="6"/>
        </w:numPr>
        <w:spacing w:after="0" w:line="240" w:lineRule="auto"/>
        <w:ind w:left="709" w:hanging="425"/>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сохранение существующих границ сельских поселений, с сохранением действующего статуса населенных пунктов;</w:t>
      </w:r>
    </w:p>
    <w:p w:rsidR="005E327B" w:rsidRPr="00153E07" w:rsidRDefault="005E327B" w:rsidP="006D2568">
      <w:pPr>
        <w:pStyle w:val="af1"/>
        <w:numPr>
          <w:ilvl w:val="0"/>
          <w:numId w:val="6"/>
        </w:numPr>
        <w:spacing w:after="0" w:line="240" w:lineRule="auto"/>
        <w:ind w:left="709" w:hanging="425"/>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отвод земель под новые микрорайоны, предназначенные под объекты социально-культурного значения и индивидуальное жилищное строительство.</w:t>
      </w:r>
    </w:p>
    <w:p w:rsidR="005E327B" w:rsidRPr="00153E07" w:rsidRDefault="005E327B" w:rsidP="006D2568">
      <w:pPr>
        <w:spacing w:after="0" w:line="240" w:lineRule="auto"/>
        <w:ind w:firstLine="709"/>
        <w:jc w:val="both"/>
        <w:rPr>
          <w:rFonts w:ascii="Times New Roman" w:hAnsi="Times New Roman" w:cs="Times New Roman"/>
          <w:sz w:val="28"/>
          <w:szCs w:val="28"/>
          <w:shd w:val="clear" w:color="auto" w:fill="FFFFFF"/>
        </w:rPr>
      </w:pPr>
      <w:r w:rsidRPr="00153E07">
        <w:rPr>
          <w:rFonts w:ascii="Times New Roman" w:eastAsia="Times New Roman" w:hAnsi="Times New Roman" w:cs="Times New Roman"/>
          <w:sz w:val="28"/>
          <w:szCs w:val="28"/>
        </w:rPr>
        <w:t xml:space="preserve">Так, в </w:t>
      </w:r>
      <w:r w:rsidRPr="00681E8B">
        <w:rPr>
          <w:rFonts w:ascii="Times New Roman" w:eastAsia="Times New Roman" w:hAnsi="Times New Roman" w:cs="Times New Roman"/>
          <w:b/>
          <w:sz w:val="28"/>
          <w:szCs w:val="28"/>
        </w:rPr>
        <w:t>Бардымском сельском поселении в с. Барда</w:t>
      </w:r>
      <w:r w:rsidRPr="00153E07">
        <w:rPr>
          <w:rFonts w:ascii="Times New Roman" w:eastAsia="Times New Roman" w:hAnsi="Times New Roman" w:cs="Times New Roman"/>
          <w:sz w:val="28"/>
          <w:szCs w:val="28"/>
        </w:rPr>
        <w:t xml:space="preserve"> предусматривается размещение на новых территориях 2-х новых </w:t>
      </w:r>
      <w:r w:rsidRPr="00153E07">
        <w:rPr>
          <w:rFonts w:ascii="Times New Roman" w:hAnsi="Times New Roman" w:cs="Times New Roman"/>
          <w:sz w:val="28"/>
          <w:szCs w:val="28"/>
          <w:shd w:val="clear" w:color="auto" w:fill="FFFFFF"/>
        </w:rPr>
        <w:t xml:space="preserve">микрорайонов, которые отводятся под индивидуальное коттеджное строительство, площадью </w:t>
      </w:r>
      <w:r w:rsidR="007C405B">
        <w:rPr>
          <w:rFonts w:ascii="Times New Roman" w:hAnsi="Times New Roman" w:cs="Times New Roman"/>
          <w:sz w:val="28"/>
          <w:szCs w:val="28"/>
          <w:shd w:val="clear" w:color="auto" w:fill="FFFFFF"/>
        </w:rPr>
        <w:t>444,7</w:t>
      </w:r>
      <w:r w:rsidRPr="00153E07">
        <w:rPr>
          <w:rFonts w:ascii="Times New Roman" w:hAnsi="Times New Roman" w:cs="Times New Roman"/>
          <w:sz w:val="28"/>
          <w:szCs w:val="28"/>
          <w:shd w:val="clear" w:color="auto" w:fill="FFFFFF"/>
        </w:rPr>
        <w:t xml:space="preserve"> га. </w:t>
      </w:r>
    </w:p>
    <w:p w:rsidR="005E327B" w:rsidRPr="00153E07" w:rsidRDefault="005E327B" w:rsidP="006D2568">
      <w:pPr>
        <w:spacing w:after="0" w:line="240" w:lineRule="auto"/>
        <w:ind w:firstLine="709"/>
        <w:jc w:val="both"/>
        <w:rPr>
          <w:rFonts w:ascii="Times New Roman" w:hAnsi="Times New Roman" w:cs="Times New Roman"/>
          <w:sz w:val="28"/>
          <w:szCs w:val="28"/>
          <w:shd w:val="clear" w:color="auto" w:fill="FFFFFF"/>
        </w:rPr>
      </w:pPr>
      <w:r w:rsidRPr="00153E07">
        <w:rPr>
          <w:rFonts w:ascii="Times New Roman" w:hAnsi="Times New Roman" w:cs="Times New Roman"/>
          <w:sz w:val="28"/>
          <w:szCs w:val="28"/>
          <w:shd w:val="clear" w:color="auto" w:fill="FFFFFF"/>
        </w:rPr>
        <w:t xml:space="preserve">В </w:t>
      </w:r>
      <w:r w:rsidR="00681E8B" w:rsidRPr="00681E8B">
        <w:rPr>
          <w:rFonts w:ascii="Times New Roman" w:hAnsi="Times New Roman" w:cs="Times New Roman"/>
          <w:sz w:val="28"/>
          <w:szCs w:val="28"/>
          <w:shd w:val="clear" w:color="auto" w:fill="FFFFFF"/>
        </w:rPr>
        <w:t>д.</w:t>
      </w:r>
      <w:r w:rsidRPr="00681E8B">
        <w:rPr>
          <w:rFonts w:ascii="Times New Roman" w:hAnsi="Times New Roman" w:cs="Times New Roman"/>
          <w:sz w:val="28"/>
          <w:szCs w:val="28"/>
          <w:shd w:val="clear" w:color="auto" w:fill="FFFFFF"/>
        </w:rPr>
        <w:t>Мостовая</w:t>
      </w:r>
      <w:r w:rsidRPr="00153E07">
        <w:rPr>
          <w:rFonts w:ascii="Times New Roman" w:hAnsi="Times New Roman" w:cs="Times New Roman"/>
          <w:sz w:val="28"/>
          <w:szCs w:val="28"/>
          <w:shd w:val="clear" w:color="auto" w:fill="FFFFFF"/>
        </w:rPr>
        <w:t xml:space="preserve"> проектом предусмотрено расширение территории под индивидуальное жилищное строительство на юго-восток на 13,5</w:t>
      </w:r>
      <w:r w:rsidR="00681E8B">
        <w:rPr>
          <w:rFonts w:ascii="Times New Roman" w:hAnsi="Times New Roman" w:cs="Times New Roman"/>
          <w:sz w:val="28"/>
          <w:szCs w:val="28"/>
          <w:shd w:val="clear" w:color="auto" w:fill="FFFFFF"/>
        </w:rPr>
        <w:t xml:space="preserve"> га, в д.</w:t>
      </w:r>
      <w:r w:rsidRPr="00153E07">
        <w:rPr>
          <w:rFonts w:ascii="Times New Roman" w:hAnsi="Times New Roman" w:cs="Times New Roman"/>
          <w:sz w:val="28"/>
          <w:szCs w:val="28"/>
          <w:shd w:val="clear" w:color="auto" w:fill="FFFFFF"/>
        </w:rPr>
        <w:t>Старый Чад - на юго-запад для тех же целей на 10</w:t>
      </w:r>
      <w:r w:rsidR="00681E8B">
        <w:rPr>
          <w:rFonts w:ascii="Times New Roman" w:hAnsi="Times New Roman" w:cs="Times New Roman"/>
          <w:sz w:val="28"/>
          <w:szCs w:val="28"/>
          <w:shd w:val="clear" w:color="auto" w:fill="FFFFFF"/>
        </w:rPr>
        <w:t xml:space="preserve"> </w:t>
      </w:r>
      <w:r w:rsidRPr="00153E07">
        <w:rPr>
          <w:rFonts w:ascii="Times New Roman" w:hAnsi="Times New Roman" w:cs="Times New Roman"/>
          <w:sz w:val="28"/>
          <w:szCs w:val="28"/>
          <w:shd w:val="clear" w:color="auto" w:fill="FFFFFF"/>
        </w:rPr>
        <w:t xml:space="preserve">га. </w:t>
      </w:r>
    </w:p>
    <w:p w:rsidR="005E327B" w:rsidRPr="00153E07" w:rsidRDefault="00681E8B" w:rsidP="006D2568">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w:t>
      </w:r>
      <w:r w:rsidRPr="00681E8B">
        <w:rPr>
          <w:rFonts w:ascii="Times New Roman" w:hAnsi="Times New Roman" w:cs="Times New Roman"/>
          <w:sz w:val="28"/>
          <w:szCs w:val="28"/>
          <w:shd w:val="clear" w:color="auto" w:fill="FFFFFF"/>
        </w:rPr>
        <w:t>д.</w:t>
      </w:r>
      <w:r w:rsidR="005E327B" w:rsidRPr="00681E8B">
        <w:rPr>
          <w:rFonts w:ascii="Times New Roman" w:hAnsi="Times New Roman" w:cs="Times New Roman"/>
          <w:sz w:val="28"/>
          <w:szCs w:val="28"/>
          <w:shd w:val="clear" w:color="auto" w:fill="FFFFFF"/>
        </w:rPr>
        <w:t>Чалково</w:t>
      </w:r>
      <w:r w:rsidR="007C405B">
        <w:rPr>
          <w:rFonts w:ascii="Times New Roman" w:hAnsi="Times New Roman" w:cs="Times New Roman"/>
          <w:sz w:val="28"/>
          <w:szCs w:val="28"/>
          <w:shd w:val="clear" w:color="auto" w:fill="FFFFFF"/>
        </w:rPr>
        <w:t xml:space="preserve"> проектом предусмотрено </w:t>
      </w:r>
      <w:r w:rsidR="005E327B" w:rsidRPr="00153E07">
        <w:rPr>
          <w:rFonts w:ascii="Times New Roman" w:hAnsi="Times New Roman" w:cs="Times New Roman"/>
          <w:sz w:val="28"/>
          <w:szCs w:val="28"/>
          <w:shd w:val="clear" w:color="auto" w:fill="FFFFFF"/>
        </w:rPr>
        <w:t xml:space="preserve">расширение </w:t>
      </w:r>
      <w:r w:rsidR="007C405B">
        <w:rPr>
          <w:rFonts w:ascii="Times New Roman" w:hAnsi="Times New Roman" w:cs="Times New Roman"/>
          <w:sz w:val="28"/>
          <w:szCs w:val="28"/>
          <w:shd w:val="clear" w:color="auto" w:fill="FFFFFF"/>
        </w:rPr>
        <w:t xml:space="preserve">территории </w:t>
      </w:r>
      <w:r w:rsidR="005E327B" w:rsidRPr="00153E07">
        <w:rPr>
          <w:rFonts w:ascii="Times New Roman" w:hAnsi="Times New Roman" w:cs="Times New Roman"/>
          <w:sz w:val="28"/>
          <w:szCs w:val="28"/>
          <w:shd w:val="clear" w:color="auto" w:fill="FFFFFF"/>
        </w:rPr>
        <w:t xml:space="preserve">под индивидуальное жилищное строительство </w:t>
      </w:r>
      <w:r w:rsidR="007C405B">
        <w:rPr>
          <w:rFonts w:ascii="Times New Roman" w:hAnsi="Times New Roman" w:cs="Times New Roman"/>
          <w:sz w:val="28"/>
          <w:szCs w:val="28"/>
          <w:shd w:val="clear" w:color="auto" w:fill="FFFFFF"/>
        </w:rPr>
        <w:t>площадью 25,8</w:t>
      </w:r>
      <w:r>
        <w:rPr>
          <w:rFonts w:ascii="Times New Roman" w:hAnsi="Times New Roman" w:cs="Times New Roman"/>
          <w:sz w:val="28"/>
          <w:szCs w:val="28"/>
          <w:shd w:val="clear" w:color="auto" w:fill="FFFFFF"/>
        </w:rPr>
        <w:t xml:space="preserve"> </w:t>
      </w:r>
      <w:r w:rsidR="007C405B">
        <w:rPr>
          <w:rFonts w:ascii="Times New Roman" w:hAnsi="Times New Roman" w:cs="Times New Roman"/>
          <w:sz w:val="28"/>
          <w:szCs w:val="28"/>
          <w:shd w:val="clear" w:color="auto" w:fill="FFFFFF"/>
        </w:rPr>
        <w:t>га</w:t>
      </w:r>
      <w:r w:rsidR="005E327B" w:rsidRPr="00153E07">
        <w:rPr>
          <w:rFonts w:ascii="Times New Roman" w:hAnsi="Times New Roman" w:cs="Times New Roman"/>
          <w:sz w:val="28"/>
          <w:szCs w:val="28"/>
          <w:shd w:val="clear" w:color="auto" w:fill="FFFFFF"/>
        </w:rPr>
        <w:t>.</w:t>
      </w:r>
    </w:p>
    <w:p w:rsidR="005E327B" w:rsidRPr="00153E07" w:rsidRDefault="005E327B" w:rsidP="006D2568">
      <w:pPr>
        <w:spacing w:after="0" w:line="240" w:lineRule="auto"/>
        <w:ind w:firstLine="709"/>
        <w:jc w:val="both"/>
        <w:rPr>
          <w:rFonts w:ascii="Times New Roman" w:hAnsi="Times New Roman" w:cs="Times New Roman"/>
          <w:sz w:val="28"/>
          <w:szCs w:val="28"/>
          <w:shd w:val="clear" w:color="auto" w:fill="FFFFFF"/>
        </w:rPr>
      </w:pPr>
      <w:r w:rsidRPr="00681E8B">
        <w:rPr>
          <w:rFonts w:ascii="Times New Roman" w:hAnsi="Times New Roman" w:cs="Times New Roman"/>
          <w:b/>
          <w:sz w:val="28"/>
          <w:szCs w:val="28"/>
          <w:shd w:val="clear" w:color="auto" w:fill="FFFFFF"/>
        </w:rPr>
        <w:t>В Березниковском сельском поселении</w:t>
      </w:r>
      <w:r w:rsidRPr="00153E07">
        <w:rPr>
          <w:rFonts w:ascii="Times New Roman" w:hAnsi="Times New Roman" w:cs="Times New Roman"/>
          <w:sz w:val="28"/>
          <w:szCs w:val="28"/>
          <w:shd w:val="clear" w:color="auto" w:fill="FFFFFF"/>
        </w:rPr>
        <w:t xml:space="preserve"> проектом предусматривается расширение с. Березники на юго-восток и строительство нового микрорайона, </w:t>
      </w:r>
      <w:r w:rsidRPr="00153E07">
        <w:rPr>
          <w:rFonts w:ascii="Times New Roman" w:hAnsi="Times New Roman" w:cs="Times New Roman"/>
          <w:sz w:val="28"/>
          <w:szCs w:val="28"/>
          <w:shd w:val="clear" w:color="auto" w:fill="FFFFFF"/>
        </w:rPr>
        <w:lastRenderedPageBreak/>
        <w:t xml:space="preserve">застройка индивидуальными жилыми домами с участками для ведения личного подсобного хозяйства, площадью </w:t>
      </w:r>
      <w:r w:rsidR="007C405B">
        <w:rPr>
          <w:rFonts w:ascii="Times New Roman" w:hAnsi="Times New Roman" w:cs="Times New Roman"/>
          <w:sz w:val="28"/>
          <w:szCs w:val="28"/>
          <w:shd w:val="clear" w:color="auto" w:fill="FFFFFF"/>
        </w:rPr>
        <w:t>42,2</w:t>
      </w:r>
      <w:r w:rsidR="00681E8B">
        <w:rPr>
          <w:rFonts w:ascii="Times New Roman" w:hAnsi="Times New Roman" w:cs="Times New Roman"/>
          <w:sz w:val="28"/>
          <w:szCs w:val="28"/>
          <w:shd w:val="clear" w:color="auto" w:fill="FFFFFF"/>
        </w:rPr>
        <w:t xml:space="preserve"> га. В с.</w:t>
      </w:r>
      <w:r w:rsidRPr="00153E07">
        <w:rPr>
          <w:rFonts w:ascii="Times New Roman" w:hAnsi="Times New Roman" w:cs="Times New Roman"/>
          <w:sz w:val="28"/>
          <w:szCs w:val="28"/>
          <w:shd w:val="clear" w:color="auto" w:fill="FFFFFF"/>
        </w:rPr>
        <w:t xml:space="preserve">Куземьярово предусмотрено расширение под индивидуальное жилищное строительство на юго-запад на </w:t>
      </w:r>
      <w:r w:rsidR="003421C8">
        <w:rPr>
          <w:rFonts w:ascii="Times New Roman" w:hAnsi="Times New Roman" w:cs="Times New Roman"/>
          <w:sz w:val="28"/>
          <w:szCs w:val="28"/>
          <w:shd w:val="clear" w:color="auto" w:fill="FFFFFF"/>
        </w:rPr>
        <w:t>5</w:t>
      </w:r>
      <w:r w:rsidRPr="00153E07">
        <w:rPr>
          <w:rFonts w:ascii="Times New Roman" w:hAnsi="Times New Roman" w:cs="Times New Roman"/>
          <w:sz w:val="28"/>
          <w:szCs w:val="28"/>
          <w:shd w:val="clear" w:color="auto" w:fill="FFFFFF"/>
        </w:rPr>
        <w:t>6,</w:t>
      </w:r>
      <w:r w:rsidR="003421C8">
        <w:rPr>
          <w:rFonts w:ascii="Times New Roman" w:hAnsi="Times New Roman" w:cs="Times New Roman"/>
          <w:sz w:val="28"/>
          <w:szCs w:val="28"/>
          <w:shd w:val="clear" w:color="auto" w:fill="FFFFFF"/>
        </w:rPr>
        <w:t>8</w:t>
      </w:r>
      <w:r w:rsidRPr="00153E07">
        <w:rPr>
          <w:rFonts w:ascii="Times New Roman" w:hAnsi="Times New Roman" w:cs="Times New Roman"/>
          <w:sz w:val="28"/>
          <w:szCs w:val="28"/>
          <w:shd w:val="clear" w:color="auto" w:fill="FFFFFF"/>
        </w:rPr>
        <w:t xml:space="preserve"> га, в д. Ишимово - на север и юго-запад на </w:t>
      </w:r>
      <w:r w:rsidR="003421C8">
        <w:rPr>
          <w:rFonts w:ascii="Times New Roman" w:hAnsi="Times New Roman" w:cs="Times New Roman"/>
          <w:sz w:val="28"/>
          <w:szCs w:val="28"/>
          <w:shd w:val="clear" w:color="auto" w:fill="FFFFFF"/>
        </w:rPr>
        <w:t>43,1</w:t>
      </w:r>
      <w:r w:rsidRPr="00153E07">
        <w:rPr>
          <w:rFonts w:ascii="Times New Roman" w:hAnsi="Times New Roman" w:cs="Times New Roman"/>
          <w:sz w:val="28"/>
          <w:szCs w:val="28"/>
          <w:shd w:val="clear" w:color="auto" w:fill="FFFFFF"/>
        </w:rPr>
        <w:t xml:space="preserve"> га, в д.Кудаш - на юго-восток на 21,5 га, в д.Чувашаево - на север на </w:t>
      </w:r>
      <w:r w:rsidR="003421C8">
        <w:rPr>
          <w:rFonts w:ascii="Times New Roman" w:hAnsi="Times New Roman" w:cs="Times New Roman"/>
          <w:sz w:val="28"/>
          <w:szCs w:val="28"/>
          <w:shd w:val="clear" w:color="auto" w:fill="FFFFFF"/>
        </w:rPr>
        <w:t>8,1</w:t>
      </w:r>
      <w:r w:rsidRPr="00153E07">
        <w:rPr>
          <w:rFonts w:ascii="Times New Roman" w:hAnsi="Times New Roman" w:cs="Times New Roman"/>
          <w:sz w:val="28"/>
          <w:szCs w:val="28"/>
          <w:shd w:val="clear" w:color="auto" w:fill="FFFFFF"/>
        </w:rPr>
        <w:t xml:space="preserve"> га.</w:t>
      </w:r>
    </w:p>
    <w:p w:rsidR="005E327B" w:rsidRPr="00153E07" w:rsidRDefault="005E327B" w:rsidP="006D2568">
      <w:pPr>
        <w:spacing w:after="0" w:line="240" w:lineRule="auto"/>
        <w:ind w:firstLine="709"/>
        <w:jc w:val="both"/>
        <w:rPr>
          <w:rFonts w:ascii="Times New Roman" w:hAnsi="Times New Roman" w:cs="Times New Roman"/>
          <w:sz w:val="28"/>
          <w:szCs w:val="28"/>
          <w:shd w:val="clear" w:color="auto" w:fill="FFFFFF"/>
        </w:rPr>
      </w:pPr>
      <w:r w:rsidRPr="00681E8B">
        <w:rPr>
          <w:rFonts w:ascii="Times New Roman" w:hAnsi="Times New Roman" w:cs="Times New Roman"/>
          <w:b/>
          <w:sz w:val="28"/>
          <w:szCs w:val="28"/>
          <w:shd w:val="clear" w:color="auto" w:fill="FFFFFF"/>
        </w:rPr>
        <w:t>В Бичуринском сельском поселении</w:t>
      </w:r>
      <w:r w:rsidRPr="00153E07">
        <w:rPr>
          <w:rFonts w:ascii="Times New Roman" w:hAnsi="Times New Roman" w:cs="Times New Roman"/>
          <w:sz w:val="28"/>
          <w:szCs w:val="28"/>
          <w:shd w:val="clear" w:color="auto" w:fill="FFFFFF"/>
        </w:rPr>
        <w:t xml:space="preserve"> в с. Бичурино планируется расширение границ индивидуальной застройки на северо-запад на 53 га, в д.Бардабашка-1 - на юго-запад на 7,4</w:t>
      </w:r>
      <w:r w:rsidR="00681E8B">
        <w:rPr>
          <w:rFonts w:ascii="Times New Roman" w:hAnsi="Times New Roman" w:cs="Times New Roman"/>
          <w:sz w:val="28"/>
          <w:szCs w:val="28"/>
          <w:shd w:val="clear" w:color="auto" w:fill="FFFFFF"/>
        </w:rPr>
        <w:t xml:space="preserve"> </w:t>
      </w:r>
      <w:r w:rsidRPr="00153E07">
        <w:rPr>
          <w:rFonts w:ascii="Times New Roman" w:hAnsi="Times New Roman" w:cs="Times New Roman"/>
          <w:sz w:val="28"/>
          <w:szCs w:val="28"/>
          <w:shd w:val="clear" w:color="auto" w:fill="FFFFFF"/>
        </w:rPr>
        <w:t>га.</w:t>
      </w:r>
    </w:p>
    <w:p w:rsidR="005E327B" w:rsidRPr="00153E07" w:rsidRDefault="005E327B" w:rsidP="006D2568">
      <w:pPr>
        <w:spacing w:after="0" w:line="240" w:lineRule="auto"/>
        <w:ind w:firstLine="709"/>
        <w:jc w:val="both"/>
        <w:rPr>
          <w:rFonts w:ascii="Times New Roman" w:hAnsi="Times New Roman" w:cs="Times New Roman"/>
          <w:sz w:val="28"/>
          <w:szCs w:val="28"/>
          <w:shd w:val="clear" w:color="auto" w:fill="FFFFFF"/>
        </w:rPr>
      </w:pPr>
      <w:r w:rsidRPr="00681E8B">
        <w:rPr>
          <w:rFonts w:ascii="Times New Roman" w:hAnsi="Times New Roman" w:cs="Times New Roman"/>
          <w:b/>
          <w:sz w:val="28"/>
          <w:szCs w:val="28"/>
          <w:shd w:val="clear" w:color="auto" w:fill="FFFFFF"/>
        </w:rPr>
        <w:t>В Бюзлинском сельском поселении</w:t>
      </w:r>
      <w:r w:rsidRPr="00153E07">
        <w:rPr>
          <w:rFonts w:ascii="Times New Roman" w:hAnsi="Times New Roman" w:cs="Times New Roman"/>
          <w:sz w:val="28"/>
          <w:szCs w:val="28"/>
          <w:shd w:val="clear" w:color="auto" w:fill="FFFFFF"/>
        </w:rPr>
        <w:t xml:space="preserve"> планируется выделение 40,9 га на новую индивидуальную постройку: в с.Брюзли – на юго-запад на 2</w:t>
      </w:r>
      <w:r w:rsidR="003421C8">
        <w:rPr>
          <w:rFonts w:ascii="Times New Roman" w:hAnsi="Times New Roman" w:cs="Times New Roman"/>
          <w:sz w:val="28"/>
          <w:szCs w:val="28"/>
          <w:shd w:val="clear" w:color="auto" w:fill="FFFFFF"/>
        </w:rPr>
        <w:t>1,3</w:t>
      </w:r>
      <w:r w:rsidRPr="00153E07">
        <w:rPr>
          <w:rFonts w:ascii="Times New Roman" w:hAnsi="Times New Roman" w:cs="Times New Roman"/>
          <w:sz w:val="28"/>
          <w:szCs w:val="28"/>
          <w:shd w:val="clear" w:color="auto" w:fill="FFFFFF"/>
        </w:rPr>
        <w:t xml:space="preserve"> га, в д.Сюзянь – на северо-запад и юго-запад села на </w:t>
      </w:r>
      <w:r w:rsidR="003421C8">
        <w:rPr>
          <w:rFonts w:ascii="Times New Roman" w:hAnsi="Times New Roman" w:cs="Times New Roman"/>
          <w:sz w:val="28"/>
          <w:szCs w:val="28"/>
          <w:shd w:val="clear" w:color="auto" w:fill="FFFFFF"/>
        </w:rPr>
        <w:t>6,1 га, в</w:t>
      </w:r>
      <w:r w:rsidRPr="00153E07">
        <w:rPr>
          <w:rFonts w:ascii="Times New Roman" w:hAnsi="Times New Roman" w:cs="Times New Roman"/>
          <w:sz w:val="28"/>
          <w:szCs w:val="28"/>
          <w:shd w:val="clear" w:color="auto" w:fill="FFFFFF"/>
        </w:rPr>
        <w:t xml:space="preserve"> д.Батырбай </w:t>
      </w:r>
      <w:r w:rsidR="003421C8">
        <w:rPr>
          <w:rFonts w:ascii="Times New Roman" w:hAnsi="Times New Roman" w:cs="Times New Roman"/>
          <w:sz w:val="28"/>
          <w:szCs w:val="28"/>
          <w:shd w:val="clear" w:color="auto" w:fill="FFFFFF"/>
        </w:rPr>
        <w:t>-12,5 га</w:t>
      </w:r>
      <w:r w:rsidRPr="00153E07">
        <w:rPr>
          <w:rFonts w:ascii="Times New Roman" w:hAnsi="Times New Roman" w:cs="Times New Roman"/>
          <w:sz w:val="28"/>
          <w:szCs w:val="28"/>
          <w:shd w:val="clear" w:color="auto" w:fill="FFFFFF"/>
        </w:rPr>
        <w:t>.</w:t>
      </w:r>
    </w:p>
    <w:p w:rsidR="005E327B" w:rsidRPr="00153E07" w:rsidRDefault="005E327B" w:rsidP="006D2568">
      <w:pPr>
        <w:spacing w:after="0" w:line="240" w:lineRule="auto"/>
        <w:ind w:firstLine="709"/>
        <w:contextualSpacing/>
        <w:jc w:val="both"/>
        <w:rPr>
          <w:rFonts w:ascii="Times New Roman" w:hAnsi="Times New Roman" w:cs="Times New Roman"/>
          <w:bCs/>
          <w:sz w:val="28"/>
          <w:szCs w:val="28"/>
        </w:rPr>
      </w:pPr>
      <w:r w:rsidRPr="00681E8B">
        <w:rPr>
          <w:rFonts w:ascii="Times New Roman" w:hAnsi="Times New Roman" w:cs="Times New Roman"/>
          <w:b/>
          <w:bCs/>
          <w:sz w:val="28"/>
          <w:szCs w:val="28"/>
        </w:rPr>
        <w:t>В Елпачихинском сельском поселении</w:t>
      </w:r>
      <w:r w:rsidRPr="00153E07">
        <w:rPr>
          <w:rFonts w:ascii="Times New Roman" w:hAnsi="Times New Roman" w:cs="Times New Roman"/>
          <w:bCs/>
          <w:sz w:val="28"/>
          <w:szCs w:val="28"/>
        </w:rPr>
        <w:t xml:space="preserve"> для развития поселения предусматривается отвод земель под новые микрорайоны, предназначенные под индивидуальное жилищное строительство, площадь под строительство составит </w:t>
      </w:r>
      <w:r w:rsidR="003421C8">
        <w:rPr>
          <w:rFonts w:ascii="Times New Roman" w:hAnsi="Times New Roman" w:cs="Times New Roman"/>
          <w:bCs/>
          <w:sz w:val="28"/>
          <w:szCs w:val="28"/>
        </w:rPr>
        <w:t xml:space="preserve">91,5 </w:t>
      </w:r>
      <w:r w:rsidRPr="00153E07">
        <w:rPr>
          <w:rFonts w:ascii="Times New Roman" w:hAnsi="Times New Roman" w:cs="Times New Roman"/>
          <w:bCs/>
          <w:sz w:val="28"/>
          <w:szCs w:val="28"/>
        </w:rPr>
        <w:t xml:space="preserve">га. В с.Елпачиха планируется построить микрорайон в северной части села для целей индивидуальной застройки с участками для ведения личного подсобного хозяйства. В д.Искирь под расширение индивидуального строительства в северо-западной </w:t>
      </w:r>
      <w:r w:rsidR="00681E8B">
        <w:rPr>
          <w:rFonts w:ascii="Times New Roman" w:hAnsi="Times New Roman" w:cs="Times New Roman"/>
          <w:bCs/>
          <w:sz w:val="28"/>
          <w:szCs w:val="28"/>
        </w:rPr>
        <w:t>части села отводится 11га. В д.</w:t>
      </w:r>
      <w:r w:rsidRPr="00153E07">
        <w:rPr>
          <w:rFonts w:ascii="Times New Roman" w:hAnsi="Times New Roman" w:cs="Times New Roman"/>
          <w:bCs/>
          <w:sz w:val="28"/>
          <w:szCs w:val="28"/>
        </w:rPr>
        <w:t>Усть-Тунтор и д. Конюково отведение земель под расширение не предусмотрено.</w:t>
      </w:r>
    </w:p>
    <w:p w:rsidR="005E327B" w:rsidRPr="00153E07" w:rsidRDefault="00681E8B" w:rsidP="006D2568">
      <w:pPr>
        <w:spacing w:after="0"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В с.</w:t>
      </w:r>
      <w:r w:rsidR="005E327B" w:rsidRPr="00153E07">
        <w:rPr>
          <w:rFonts w:ascii="Times New Roman" w:hAnsi="Times New Roman" w:cs="Times New Roman"/>
          <w:bCs/>
          <w:sz w:val="28"/>
          <w:szCs w:val="28"/>
        </w:rPr>
        <w:t xml:space="preserve">Краснояр </w:t>
      </w:r>
      <w:r w:rsidR="00F72EA5">
        <w:rPr>
          <w:rFonts w:ascii="Times New Roman" w:hAnsi="Times New Roman" w:cs="Times New Roman"/>
          <w:bCs/>
          <w:sz w:val="28"/>
          <w:szCs w:val="28"/>
          <w:lang w:val="en-US"/>
        </w:rPr>
        <w:t>I</w:t>
      </w:r>
      <w:r w:rsidR="005E327B" w:rsidRPr="00153E07">
        <w:rPr>
          <w:rFonts w:ascii="Times New Roman" w:hAnsi="Times New Roman" w:cs="Times New Roman"/>
          <w:bCs/>
          <w:sz w:val="28"/>
          <w:szCs w:val="28"/>
        </w:rPr>
        <w:t xml:space="preserve"> </w:t>
      </w:r>
      <w:r w:rsidR="005E327B" w:rsidRPr="00681E8B">
        <w:rPr>
          <w:rFonts w:ascii="Times New Roman" w:hAnsi="Times New Roman" w:cs="Times New Roman"/>
          <w:b/>
          <w:bCs/>
          <w:sz w:val="28"/>
          <w:szCs w:val="28"/>
        </w:rPr>
        <w:t>Красноярского сельского поселения</w:t>
      </w:r>
      <w:r w:rsidR="005E327B" w:rsidRPr="00153E07">
        <w:rPr>
          <w:rFonts w:ascii="Times New Roman" w:hAnsi="Times New Roman" w:cs="Times New Roman"/>
          <w:bCs/>
          <w:sz w:val="28"/>
          <w:szCs w:val="28"/>
        </w:rPr>
        <w:t xml:space="preserve"> планируется размещен</w:t>
      </w:r>
      <w:r w:rsidR="00F72EA5">
        <w:rPr>
          <w:rFonts w:ascii="Times New Roman" w:hAnsi="Times New Roman" w:cs="Times New Roman"/>
          <w:bCs/>
          <w:sz w:val="28"/>
          <w:szCs w:val="28"/>
        </w:rPr>
        <w:t>ие нового микрорайона площадью 289,6</w:t>
      </w:r>
      <w:r>
        <w:rPr>
          <w:rFonts w:ascii="Times New Roman" w:hAnsi="Times New Roman" w:cs="Times New Roman"/>
          <w:bCs/>
          <w:sz w:val="28"/>
          <w:szCs w:val="28"/>
        </w:rPr>
        <w:t xml:space="preserve"> </w:t>
      </w:r>
      <w:r w:rsidR="005E327B" w:rsidRPr="00153E07">
        <w:rPr>
          <w:rFonts w:ascii="Times New Roman" w:hAnsi="Times New Roman" w:cs="Times New Roman"/>
          <w:bCs/>
          <w:sz w:val="28"/>
          <w:szCs w:val="28"/>
        </w:rPr>
        <w:t>га</w:t>
      </w:r>
      <w:r>
        <w:rPr>
          <w:rFonts w:ascii="Times New Roman" w:hAnsi="Times New Roman" w:cs="Times New Roman"/>
          <w:bCs/>
          <w:sz w:val="28"/>
          <w:szCs w:val="28"/>
        </w:rPr>
        <w:t>, в с.</w:t>
      </w:r>
      <w:r w:rsidR="00F72EA5">
        <w:rPr>
          <w:rFonts w:ascii="Times New Roman" w:hAnsi="Times New Roman" w:cs="Times New Roman"/>
          <w:bCs/>
          <w:sz w:val="28"/>
          <w:szCs w:val="28"/>
        </w:rPr>
        <w:t xml:space="preserve">Краснояр </w:t>
      </w:r>
      <w:r w:rsidR="00F72EA5">
        <w:rPr>
          <w:rFonts w:ascii="Times New Roman" w:hAnsi="Times New Roman" w:cs="Times New Roman"/>
          <w:bCs/>
          <w:sz w:val="28"/>
          <w:szCs w:val="28"/>
          <w:lang w:val="en-US"/>
        </w:rPr>
        <w:t>II</w:t>
      </w:r>
      <w:r>
        <w:rPr>
          <w:rFonts w:ascii="Times New Roman" w:hAnsi="Times New Roman" w:cs="Times New Roman"/>
          <w:bCs/>
          <w:sz w:val="28"/>
          <w:szCs w:val="28"/>
        </w:rPr>
        <w:t xml:space="preserve"> – 45,1 га, в д.</w:t>
      </w:r>
      <w:r w:rsidR="00F72EA5">
        <w:rPr>
          <w:rFonts w:ascii="Times New Roman" w:hAnsi="Times New Roman" w:cs="Times New Roman"/>
          <w:bCs/>
          <w:sz w:val="28"/>
          <w:szCs w:val="28"/>
        </w:rPr>
        <w:t>Утяй – 23,31 га под садоводство</w:t>
      </w:r>
      <w:r w:rsidR="005E327B" w:rsidRPr="00153E07">
        <w:rPr>
          <w:rFonts w:ascii="Times New Roman" w:hAnsi="Times New Roman" w:cs="Times New Roman"/>
          <w:bCs/>
          <w:sz w:val="28"/>
          <w:szCs w:val="28"/>
        </w:rPr>
        <w:t>.</w:t>
      </w:r>
    </w:p>
    <w:p w:rsidR="005E327B" w:rsidRPr="00153E07" w:rsidRDefault="005E327B" w:rsidP="006D2568">
      <w:pPr>
        <w:spacing w:after="0" w:line="240" w:lineRule="auto"/>
        <w:ind w:firstLine="709"/>
        <w:contextualSpacing/>
        <w:jc w:val="both"/>
        <w:rPr>
          <w:rFonts w:ascii="Times New Roman" w:hAnsi="Times New Roman" w:cs="Times New Roman"/>
          <w:bCs/>
          <w:sz w:val="28"/>
          <w:szCs w:val="28"/>
        </w:rPr>
      </w:pPr>
      <w:r w:rsidRPr="00681E8B">
        <w:rPr>
          <w:rFonts w:ascii="Times New Roman" w:hAnsi="Times New Roman" w:cs="Times New Roman"/>
          <w:b/>
          <w:bCs/>
          <w:sz w:val="28"/>
          <w:szCs w:val="28"/>
        </w:rPr>
        <w:t>В Печменском сельском поселении</w:t>
      </w:r>
      <w:r w:rsidRPr="00153E07">
        <w:rPr>
          <w:rFonts w:ascii="Times New Roman" w:hAnsi="Times New Roman" w:cs="Times New Roman"/>
          <w:bCs/>
          <w:sz w:val="28"/>
          <w:szCs w:val="28"/>
        </w:rPr>
        <w:t xml:space="preserve"> предусматривается отвод земель под новые микрорайоны, предназначенные под индивидуальн</w:t>
      </w:r>
      <w:r w:rsidR="00681E8B">
        <w:rPr>
          <w:rFonts w:ascii="Times New Roman" w:hAnsi="Times New Roman" w:cs="Times New Roman"/>
          <w:bCs/>
          <w:sz w:val="28"/>
          <w:szCs w:val="28"/>
        </w:rPr>
        <w:t>ое жилищное строительство. В с.</w:t>
      </w:r>
      <w:r w:rsidRPr="00153E07">
        <w:rPr>
          <w:rFonts w:ascii="Times New Roman" w:hAnsi="Times New Roman" w:cs="Times New Roman"/>
          <w:bCs/>
          <w:sz w:val="28"/>
          <w:szCs w:val="28"/>
        </w:rPr>
        <w:t>Печмень – 20</w:t>
      </w:r>
      <w:r w:rsidR="00681E8B">
        <w:rPr>
          <w:rFonts w:ascii="Times New Roman" w:hAnsi="Times New Roman" w:cs="Times New Roman"/>
          <w:bCs/>
          <w:sz w:val="28"/>
          <w:szCs w:val="28"/>
        </w:rPr>
        <w:t xml:space="preserve"> </w:t>
      </w:r>
      <w:r w:rsidRPr="00153E07">
        <w:rPr>
          <w:rFonts w:ascii="Times New Roman" w:hAnsi="Times New Roman" w:cs="Times New Roman"/>
          <w:bCs/>
          <w:sz w:val="28"/>
          <w:szCs w:val="28"/>
        </w:rPr>
        <w:t>га в с</w:t>
      </w:r>
      <w:r w:rsidR="00681E8B">
        <w:rPr>
          <w:rFonts w:ascii="Times New Roman" w:hAnsi="Times New Roman" w:cs="Times New Roman"/>
          <w:bCs/>
          <w:sz w:val="28"/>
          <w:szCs w:val="28"/>
        </w:rPr>
        <w:t>еверо-западной части села, в д.</w:t>
      </w:r>
      <w:r w:rsidRPr="00153E07">
        <w:rPr>
          <w:rFonts w:ascii="Times New Roman" w:hAnsi="Times New Roman" w:cs="Times New Roman"/>
          <w:bCs/>
          <w:sz w:val="28"/>
          <w:szCs w:val="28"/>
        </w:rPr>
        <w:t>Зязелга- 6,8га</w:t>
      </w:r>
      <w:r w:rsidR="00681E8B">
        <w:rPr>
          <w:rFonts w:ascii="Times New Roman" w:hAnsi="Times New Roman" w:cs="Times New Roman"/>
          <w:bCs/>
          <w:sz w:val="28"/>
          <w:szCs w:val="28"/>
        </w:rPr>
        <w:t xml:space="preserve"> в северной части деревни, в с.</w:t>
      </w:r>
      <w:r w:rsidRPr="00153E07">
        <w:rPr>
          <w:rFonts w:ascii="Times New Roman" w:hAnsi="Times New Roman" w:cs="Times New Roman"/>
          <w:bCs/>
          <w:sz w:val="28"/>
          <w:szCs w:val="28"/>
        </w:rPr>
        <w:t xml:space="preserve">Кармановка – </w:t>
      </w:r>
      <w:r w:rsidR="00681E8B">
        <w:rPr>
          <w:rFonts w:ascii="Times New Roman" w:hAnsi="Times New Roman" w:cs="Times New Roman"/>
          <w:bCs/>
          <w:sz w:val="28"/>
          <w:szCs w:val="28"/>
        </w:rPr>
        <w:t>18,2 га в южной части села, в с.</w:t>
      </w:r>
      <w:r w:rsidRPr="00153E07">
        <w:rPr>
          <w:rFonts w:ascii="Times New Roman" w:hAnsi="Times New Roman" w:cs="Times New Roman"/>
          <w:bCs/>
          <w:sz w:val="28"/>
          <w:szCs w:val="28"/>
        </w:rPr>
        <w:t>Константиновка – 21,4га в юго-западной части села.</w:t>
      </w:r>
    </w:p>
    <w:p w:rsidR="005E327B" w:rsidRPr="00153E07" w:rsidRDefault="005E327B" w:rsidP="006D2568">
      <w:pPr>
        <w:spacing w:after="0" w:line="240" w:lineRule="auto"/>
        <w:ind w:firstLine="709"/>
        <w:contextualSpacing/>
        <w:jc w:val="both"/>
        <w:rPr>
          <w:rFonts w:ascii="Times New Roman" w:hAnsi="Times New Roman" w:cs="Times New Roman"/>
          <w:bCs/>
          <w:sz w:val="28"/>
          <w:szCs w:val="28"/>
        </w:rPr>
      </w:pPr>
      <w:r w:rsidRPr="00681E8B">
        <w:rPr>
          <w:rFonts w:ascii="Times New Roman" w:hAnsi="Times New Roman" w:cs="Times New Roman"/>
          <w:b/>
          <w:bCs/>
          <w:sz w:val="28"/>
          <w:szCs w:val="28"/>
        </w:rPr>
        <w:t>В Сарашевском сельском поселении</w:t>
      </w:r>
      <w:r w:rsidRPr="00153E07">
        <w:rPr>
          <w:rFonts w:ascii="Times New Roman" w:hAnsi="Times New Roman" w:cs="Times New Roman"/>
          <w:bCs/>
          <w:sz w:val="28"/>
          <w:szCs w:val="28"/>
        </w:rPr>
        <w:t xml:space="preserve"> для развития поселения предусматривается отвод земель под новые микрорайоны, предназначенные под индивидуальн</w:t>
      </w:r>
      <w:r w:rsidR="00681E8B">
        <w:rPr>
          <w:rFonts w:ascii="Times New Roman" w:hAnsi="Times New Roman" w:cs="Times New Roman"/>
          <w:bCs/>
          <w:sz w:val="28"/>
          <w:szCs w:val="28"/>
        </w:rPr>
        <w:t>ое жилищное строительство. В с.</w:t>
      </w:r>
      <w:r w:rsidRPr="00153E07">
        <w:rPr>
          <w:rFonts w:ascii="Times New Roman" w:hAnsi="Times New Roman" w:cs="Times New Roman"/>
          <w:bCs/>
          <w:sz w:val="28"/>
          <w:szCs w:val="28"/>
        </w:rPr>
        <w:t>Сараши -</w:t>
      </w:r>
      <w:r w:rsidR="00681E8B">
        <w:rPr>
          <w:rFonts w:ascii="Times New Roman" w:hAnsi="Times New Roman" w:cs="Times New Roman"/>
          <w:bCs/>
          <w:sz w:val="28"/>
          <w:szCs w:val="28"/>
        </w:rPr>
        <w:t xml:space="preserve"> </w:t>
      </w:r>
      <w:r w:rsidR="003421C8">
        <w:rPr>
          <w:rFonts w:ascii="Times New Roman" w:hAnsi="Times New Roman" w:cs="Times New Roman"/>
          <w:bCs/>
          <w:sz w:val="28"/>
          <w:szCs w:val="28"/>
        </w:rPr>
        <w:t>399,2</w:t>
      </w:r>
      <w:r w:rsidR="00681E8B">
        <w:rPr>
          <w:rFonts w:ascii="Times New Roman" w:hAnsi="Times New Roman" w:cs="Times New Roman"/>
          <w:bCs/>
          <w:sz w:val="28"/>
          <w:szCs w:val="28"/>
        </w:rPr>
        <w:t xml:space="preserve"> </w:t>
      </w:r>
      <w:r w:rsidRPr="00153E07">
        <w:rPr>
          <w:rFonts w:ascii="Times New Roman" w:hAnsi="Times New Roman" w:cs="Times New Roman"/>
          <w:bCs/>
          <w:sz w:val="28"/>
          <w:szCs w:val="28"/>
        </w:rPr>
        <w:t>га в западной, юго-западной, южной</w:t>
      </w:r>
      <w:r w:rsidR="00681E8B">
        <w:rPr>
          <w:rFonts w:ascii="Times New Roman" w:hAnsi="Times New Roman" w:cs="Times New Roman"/>
          <w:bCs/>
          <w:sz w:val="28"/>
          <w:szCs w:val="28"/>
        </w:rPr>
        <w:t xml:space="preserve"> и юго-восточной части села, д.</w:t>
      </w:r>
      <w:r w:rsidRPr="00153E07">
        <w:rPr>
          <w:rFonts w:ascii="Times New Roman" w:hAnsi="Times New Roman" w:cs="Times New Roman"/>
          <w:bCs/>
          <w:sz w:val="28"/>
          <w:szCs w:val="28"/>
        </w:rPr>
        <w:t>Усть-Ашап – 16</w:t>
      </w:r>
      <w:r w:rsidR="003421C8">
        <w:rPr>
          <w:rFonts w:ascii="Times New Roman" w:hAnsi="Times New Roman" w:cs="Times New Roman"/>
          <w:bCs/>
          <w:sz w:val="28"/>
          <w:szCs w:val="28"/>
        </w:rPr>
        <w:t>,2</w:t>
      </w:r>
      <w:r w:rsidR="00681E8B">
        <w:rPr>
          <w:rFonts w:ascii="Times New Roman" w:hAnsi="Times New Roman" w:cs="Times New Roman"/>
          <w:bCs/>
          <w:sz w:val="28"/>
          <w:szCs w:val="28"/>
        </w:rPr>
        <w:t xml:space="preserve"> </w:t>
      </w:r>
      <w:r w:rsidR="003421C8">
        <w:rPr>
          <w:rFonts w:ascii="Times New Roman" w:hAnsi="Times New Roman" w:cs="Times New Roman"/>
          <w:bCs/>
          <w:sz w:val="28"/>
          <w:szCs w:val="28"/>
        </w:rPr>
        <w:t>г</w:t>
      </w:r>
      <w:r w:rsidR="00681E8B">
        <w:rPr>
          <w:rFonts w:ascii="Times New Roman" w:hAnsi="Times New Roman" w:cs="Times New Roman"/>
          <w:bCs/>
          <w:sz w:val="28"/>
          <w:szCs w:val="28"/>
        </w:rPr>
        <w:t>а в юго-восточной части села, с.Танып – 21,1 га, с.</w:t>
      </w:r>
      <w:r w:rsidR="003421C8">
        <w:rPr>
          <w:rFonts w:ascii="Times New Roman" w:hAnsi="Times New Roman" w:cs="Times New Roman"/>
          <w:bCs/>
          <w:sz w:val="28"/>
          <w:szCs w:val="28"/>
        </w:rPr>
        <w:t>Султанай – 5,5 га.</w:t>
      </w:r>
    </w:p>
    <w:p w:rsidR="005E327B" w:rsidRPr="00153E07" w:rsidRDefault="005E327B" w:rsidP="006D2568">
      <w:pPr>
        <w:spacing w:after="0" w:line="240" w:lineRule="auto"/>
        <w:ind w:firstLine="709"/>
        <w:contextualSpacing/>
        <w:jc w:val="both"/>
        <w:rPr>
          <w:rFonts w:ascii="Times New Roman" w:hAnsi="Times New Roman" w:cs="Times New Roman"/>
          <w:bCs/>
          <w:sz w:val="28"/>
          <w:szCs w:val="28"/>
        </w:rPr>
      </w:pPr>
      <w:r w:rsidRPr="00681E8B">
        <w:rPr>
          <w:rFonts w:ascii="Times New Roman" w:hAnsi="Times New Roman" w:cs="Times New Roman"/>
          <w:b/>
          <w:bCs/>
          <w:sz w:val="28"/>
          <w:szCs w:val="28"/>
        </w:rPr>
        <w:t>В Тюндюковском сельском поселении</w:t>
      </w:r>
      <w:r w:rsidRPr="00153E07">
        <w:rPr>
          <w:rFonts w:ascii="Times New Roman" w:hAnsi="Times New Roman" w:cs="Times New Roman"/>
          <w:bCs/>
          <w:sz w:val="28"/>
          <w:szCs w:val="28"/>
        </w:rPr>
        <w:t xml:space="preserve"> предусматривается отвод земель под новые микрорайоны, предназначенные под индивидуальн</w:t>
      </w:r>
      <w:r w:rsidR="00681E8B">
        <w:rPr>
          <w:rFonts w:ascii="Times New Roman" w:hAnsi="Times New Roman" w:cs="Times New Roman"/>
          <w:bCs/>
          <w:sz w:val="28"/>
          <w:szCs w:val="28"/>
        </w:rPr>
        <w:t>ое жилищное строительство. В с.</w:t>
      </w:r>
      <w:r w:rsidRPr="00153E07">
        <w:rPr>
          <w:rFonts w:ascii="Times New Roman" w:hAnsi="Times New Roman" w:cs="Times New Roman"/>
          <w:bCs/>
          <w:sz w:val="28"/>
          <w:szCs w:val="28"/>
        </w:rPr>
        <w:t xml:space="preserve">Тюндюк </w:t>
      </w:r>
      <w:r w:rsidR="003421C8">
        <w:rPr>
          <w:rFonts w:ascii="Times New Roman" w:hAnsi="Times New Roman" w:cs="Times New Roman"/>
          <w:bCs/>
          <w:sz w:val="28"/>
          <w:szCs w:val="28"/>
        </w:rPr>
        <w:t>–199,2</w:t>
      </w:r>
      <w:r w:rsidRPr="00153E07">
        <w:rPr>
          <w:rFonts w:ascii="Times New Roman" w:hAnsi="Times New Roman" w:cs="Times New Roman"/>
          <w:bCs/>
          <w:sz w:val="28"/>
          <w:szCs w:val="28"/>
        </w:rPr>
        <w:t>га в юго-восточной и западной части села</w:t>
      </w:r>
      <w:r w:rsidR="003421C8">
        <w:rPr>
          <w:rFonts w:ascii="Times New Roman" w:hAnsi="Times New Roman" w:cs="Times New Roman"/>
          <w:bCs/>
          <w:sz w:val="28"/>
          <w:szCs w:val="28"/>
        </w:rPr>
        <w:t>, в с.Аклуши – 60,8 га</w:t>
      </w:r>
      <w:r w:rsidRPr="00153E07">
        <w:rPr>
          <w:rFonts w:ascii="Times New Roman" w:hAnsi="Times New Roman" w:cs="Times New Roman"/>
          <w:bCs/>
          <w:sz w:val="28"/>
          <w:szCs w:val="28"/>
        </w:rPr>
        <w:t>.</w:t>
      </w:r>
    </w:p>
    <w:p w:rsidR="005E327B" w:rsidRPr="00153E07" w:rsidRDefault="005E327B" w:rsidP="006D2568">
      <w:pPr>
        <w:spacing w:after="0" w:line="240" w:lineRule="auto"/>
        <w:ind w:firstLine="709"/>
        <w:contextualSpacing/>
        <w:jc w:val="both"/>
        <w:rPr>
          <w:rFonts w:ascii="Times New Roman" w:hAnsi="Times New Roman" w:cs="Times New Roman"/>
          <w:bCs/>
          <w:sz w:val="28"/>
          <w:szCs w:val="28"/>
        </w:rPr>
      </w:pPr>
      <w:r w:rsidRPr="00681E8B">
        <w:rPr>
          <w:rFonts w:ascii="Times New Roman" w:hAnsi="Times New Roman" w:cs="Times New Roman"/>
          <w:b/>
          <w:bCs/>
          <w:sz w:val="28"/>
          <w:szCs w:val="28"/>
        </w:rPr>
        <w:t>В Федорковском сельском поселении</w:t>
      </w:r>
      <w:r w:rsidRPr="00153E07">
        <w:rPr>
          <w:rFonts w:ascii="Times New Roman" w:hAnsi="Times New Roman" w:cs="Times New Roman"/>
          <w:bCs/>
          <w:sz w:val="28"/>
          <w:szCs w:val="28"/>
        </w:rPr>
        <w:t xml:space="preserve"> отвод земель под новые микрорайоны в с. Федорки составит </w:t>
      </w:r>
      <w:r w:rsidR="003421C8">
        <w:rPr>
          <w:rFonts w:ascii="Times New Roman" w:hAnsi="Times New Roman" w:cs="Times New Roman"/>
          <w:bCs/>
          <w:sz w:val="28"/>
          <w:szCs w:val="28"/>
        </w:rPr>
        <w:t>18,2</w:t>
      </w:r>
      <w:r w:rsidR="00681E8B">
        <w:rPr>
          <w:rFonts w:ascii="Times New Roman" w:hAnsi="Times New Roman" w:cs="Times New Roman"/>
          <w:bCs/>
          <w:sz w:val="28"/>
          <w:szCs w:val="28"/>
        </w:rPr>
        <w:t xml:space="preserve"> </w:t>
      </w:r>
      <w:r w:rsidRPr="00153E07">
        <w:rPr>
          <w:rFonts w:ascii="Times New Roman" w:hAnsi="Times New Roman" w:cs="Times New Roman"/>
          <w:bCs/>
          <w:sz w:val="28"/>
          <w:szCs w:val="28"/>
        </w:rPr>
        <w:t>га в</w:t>
      </w:r>
      <w:r w:rsidR="00681E8B">
        <w:rPr>
          <w:rFonts w:ascii="Times New Roman" w:hAnsi="Times New Roman" w:cs="Times New Roman"/>
          <w:bCs/>
          <w:sz w:val="28"/>
          <w:szCs w:val="28"/>
        </w:rPr>
        <w:t xml:space="preserve"> юго-восточной части села, в с.</w:t>
      </w:r>
      <w:r w:rsidRPr="00153E07">
        <w:rPr>
          <w:rFonts w:ascii="Times New Roman" w:hAnsi="Times New Roman" w:cs="Times New Roman"/>
          <w:bCs/>
          <w:sz w:val="28"/>
          <w:szCs w:val="28"/>
        </w:rPr>
        <w:t>Уймуж – 20,66</w:t>
      </w:r>
      <w:r w:rsidR="00681E8B">
        <w:rPr>
          <w:rFonts w:ascii="Times New Roman" w:hAnsi="Times New Roman" w:cs="Times New Roman"/>
          <w:bCs/>
          <w:sz w:val="28"/>
          <w:szCs w:val="28"/>
        </w:rPr>
        <w:t xml:space="preserve"> </w:t>
      </w:r>
      <w:r w:rsidRPr="00153E07">
        <w:rPr>
          <w:rFonts w:ascii="Times New Roman" w:hAnsi="Times New Roman" w:cs="Times New Roman"/>
          <w:bCs/>
          <w:sz w:val="28"/>
          <w:szCs w:val="28"/>
        </w:rPr>
        <w:t xml:space="preserve">га в юго-восточной части села, </w:t>
      </w:r>
      <w:r w:rsidR="003421C8">
        <w:rPr>
          <w:rFonts w:ascii="Times New Roman" w:hAnsi="Times New Roman" w:cs="Times New Roman"/>
          <w:bCs/>
          <w:sz w:val="28"/>
          <w:szCs w:val="28"/>
        </w:rPr>
        <w:t>в с. Акбаш – 7,1 га.</w:t>
      </w:r>
    </w:p>
    <w:p w:rsidR="005E327B" w:rsidRPr="00153E07" w:rsidRDefault="005E327B" w:rsidP="006D2568">
      <w:pPr>
        <w:spacing w:after="0" w:line="240" w:lineRule="auto"/>
        <w:ind w:firstLine="709"/>
        <w:contextualSpacing/>
        <w:jc w:val="both"/>
        <w:rPr>
          <w:rFonts w:ascii="Times New Roman" w:hAnsi="Times New Roman" w:cs="Times New Roman"/>
          <w:bCs/>
          <w:sz w:val="28"/>
          <w:szCs w:val="28"/>
        </w:rPr>
      </w:pPr>
      <w:r w:rsidRPr="00681E8B">
        <w:rPr>
          <w:rFonts w:ascii="Times New Roman" w:hAnsi="Times New Roman" w:cs="Times New Roman"/>
          <w:b/>
          <w:bCs/>
          <w:sz w:val="28"/>
          <w:szCs w:val="28"/>
        </w:rPr>
        <w:t>В Шермейском сельском поселении</w:t>
      </w:r>
      <w:r w:rsidRPr="00153E07">
        <w:rPr>
          <w:rFonts w:ascii="Times New Roman" w:hAnsi="Times New Roman" w:cs="Times New Roman"/>
          <w:bCs/>
          <w:sz w:val="28"/>
          <w:szCs w:val="28"/>
        </w:rPr>
        <w:t xml:space="preserve"> </w:t>
      </w:r>
      <w:r w:rsidR="003421C8">
        <w:rPr>
          <w:rFonts w:ascii="Times New Roman" w:hAnsi="Times New Roman" w:cs="Times New Roman"/>
          <w:bCs/>
          <w:sz w:val="28"/>
          <w:szCs w:val="28"/>
        </w:rPr>
        <w:t xml:space="preserve">предусмотрено </w:t>
      </w:r>
      <w:r w:rsidRPr="00153E07">
        <w:rPr>
          <w:rFonts w:ascii="Times New Roman" w:hAnsi="Times New Roman" w:cs="Times New Roman"/>
          <w:bCs/>
          <w:sz w:val="28"/>
          <w:szCs w:val="28"/>
        </w:rPr>
        <w:t>расширени</w:t>
      </w:r>
      <w:r w:rsidR="003421C8">
        <w:rPr>
          <w:rFonts w:ascii="Times New Roman" w:hAnsi="Times New Roman" w:cs="Times New Roman"/>
          <w:bCs/>
          <w:sz w:val="28"/>
          <w:szCs w:val="28"/>
        </w:rPr>
        <w:t>е</w:t>
      </w:r>
      <w:r w:rsidRPr="00153E07">
        <w:rPr>
          <w:rFonts w:ascii="Times New Roman" w:hAnsi="Times New Roman" w:cs="Times New Roman"/>
          <w:bCs/>
          <w:sz w:val="28"/>
          <w:szCs w:val="28"/>
        </w:rPr>
        <w:t xml:space="preserve"> под развитие </w:t>
      </w:r>
      <w:r w:rsidR="00681E8B">
        <w:rPr>
          <w:rFonts w:ascii="Times New Roman" w:hAnsi="Times New Roman" w:cs="Times New Roman"/>
          <w:bCs/>
          <w:sz w:val="28"/>
          <w:szCs w:val="28"/>
        </w:rPr>
        <w:t>в с.</w:t>
      </w:r>
      <w:r w:rsidR="003421C8">
        <w:rPr>
          <w:rFonts w:ascii="Times New Roman" w:hAnsi="Times New Roman" w:cs="Times New Roman"/>
          <w:bCs/>
          <w:sz w:val="28"/>
          <w:szCs w:val="28"/>
        </w:rPr>
        <w:t>Шермейка – 14,6 га</w:t>
      </w:r>
      <w:r w:rsidRPr="00153E07">
        <w:rPr>
          <w:rFonts w:ascii="Times New Roman" w:hAnsi="Times New Roman" w:cs="Times New Roman"/>
          <w:bCs/>
          <w:sz w:val="28"/>
          <w:szCs w:val="28"/>
        </w:rPr>
        <w:t>.</w:t>
      </w:r>
    </w:p>
    <w:p w:rsidR="005E327B" w:rsidRPr="00153E07" w:rsidRDefault="005E327B" w:rsidP="006D2568">
      <w:pPr>
        <w:spacing w:after="0" w:line="240" w:lineRule="auto"/>
        <w:ind w:firstLine="709"/>
        <w:contextualSpacing/>
        <w:jc w:val="both"/>
        <w:rPr>
          <w:rFonts w:ascii="Times New Roman" w:hAnsi="Times New Roman" w:cs="Times New Roman"/>
          <w:bCs/>
          <w:sz w:val="28"/>
          <w:szCs w:val="28"/>
        </w:rPr>
      </w:pPr>
      <w:r w:rsidRPr="00153E07">
        <w:rPr>
          <w:rFonts w:ascii="Times New Roman" w:hAnsi="Times New Roman" w:cs="Times New Roman"/>
          <w:bCs/>
          <w:sz w:val="28"/>
          <w:szCs w:val="28"/>
        </w:rPr>
        <w:t xml:space="preserve">Общий объем земель к расширению в Бардымском муниципальном районе составляет порядка </w:t>
      </w:r>
      <w:r w:rsidR="00F72EA5">
        <w:rPr>
          <w:rFonts w:ascii="Times New Roman" w:hAnsi="Times New Roman" w:cs="Times New Roman"/>
          <w:bCs/>
          <w:sz w:val="28"/>
          <w:szCs w:val="28"/>
        </w:rPr>
        <w:t>2056,47</w:t>
      </w:r>
      <w:r w:rsidRPr="00153E07">
        <w:rPr>
          <w:rFonts w:ascii="Times New Roman" w:hAnsi="Times New Roman" w:cs="Times New Roman"/>
          <w:bCs/>
          <w:sz w:val="28"/>
          <w:szCs w:val="28"/>
        </w:rPr>
        <w:t xml:space="preserve"> га, затрагивающие все сельские поселения за исключением Шермейское сельское поселение.</w:t>
      </w:r>
    </w:p>
    <w:p w:rsidR="005E327B" w:rsidRPr="00153E07" w:rsidRDefault="005E327B" w:rsidP="006D2568">
      <w:pPr>
        <w:spacing w:after="0" w:line="240" w:lineRule="auto"/>
        <w:ind w:firstLine="709"/>
        <w:contextualSpacing/>
        <w:jc w:val="both"/>
        <w:rPr>
          <w:rFonts w:ascii="Times New Roman" w:hAnsi="Times New Roman" w:cs="Times New Roman"/>
          <w:bCs/>
          <w:sz w:val="28"/>
          <w:szCs w:val="28"/>
        </w:rPr>
      </w:pPr>
      <w:r w:rsidRPr="00153E07">
        <w:rPr>
          <w:rFonts w:ascii="Times New Roman" w:hAnsi="Times New Roman" w:cs="Times New Roman"/>
          <w:bCs/>
          <w:sz w:val="28"/>
          <w:szCs w:val="28"/>
        </w:rPr>
        <w:lastRenderedPageBreak/>
        <w:t>В рамках развития промышленного комплекса, согласно схеме территориального планирования Пермского края, планируется сформировать шесть региональных промышленных кластеров: топливно-энергетический, горно-химический, лесопромышленный, машиностроительно-металлургический, строительный, агропромышленный. Село Барда Бардымского муниципального района рекомендовано к созданию и размещению научных организаций с перспективой их дальнейшего преобразования в технико-внедренческие зоны и технопарки. Подробнее о кластерном развитии представлено в последующих разделах Стратегии.</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p>
    <w:p w:rsidR="005E327B" w:rsidRDefault="005E327B" w:rsidP="006D2568">
      <w:pPr>
        <w:pStyle w:val="1"/>
        <w:numPr>
          <w:ilvl w:val="2"/>
          <w:numId w:val="1"/>
        </w:numPr>
        <w:spacing w:line="240" w:lineRule="auto"/>
      </w:pPr>
      <w:bookmarkStart w:id="10" w:name="_Toc491943103"/>
      <w:r w:rsidRPr="00153E07">
        <w:t>Факторы экономического роста</w:t>
      </w:r>
      <w:bookmarkEnd w:id="10"/>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Факторы экономического роста определяют возможности увеличения реального объема производства муниципального образования, повышения эффективности и качества роста.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Для определения ключевых направлений и факторов роста проведен анализ на основе информационных данных предшествующих периодов с использованием коэффициента корреляции Пирсона, для определения тесноты взаимосвязи применена шкала показателей Чеддока (Приложения </w:t>
      </w:r>
      <w:r w:rsidR="00E97C6A">
        <w:rPr>
          <w:rFonts w:ascii="Times New Roman" w:eastAsia="Times New Roman" w:hAnsi="Times New Roman" w:cs="Times New Roman"/>
          <w:sz w:val="28"/>
          <w:szCs w:val="28"/>
        </w:rPr>
        <w:t>2</w:t>
      </w:r>
      <w:r w:rsidRPr="00153E07">
        <w:rPr>
          <w:rFonts w:ascii="Times New Roman" w:eastAsia="Times New Roman" w:hAnsi="Times New Roman" w:cs="Times New Roman"/>
          <w:sz w:val="28"/>
          <w:szCs w:val="28"/>
        </w:rPr>
        <w:t xml:space="preserve">, </w:t>
      </w:r>
      <w:r w:rsidR="00E97C6A">
        <w:rPr>
          <w:rFonts w:ascii="Times New Roman" w:eastAsia="Times New Roman" w:hAnsi="Times New Roman" w:cs="Times New Roman"/>
          <w:sz w:val="28"/>
          <w:szCs w:val="28"/>
        </w:rPr>
        <w:t>3</w:t>
      </w:r>
      <w:r w:rsidRPr="00153E07">
        <w:rPr>
          <w:rFonts w:ascii="Times New Roman" w:eastAsia="Times New Roman" w:hAnsi="Times New Roman" w:cs="Times New Roman"/>
          <w:sz w:val="28"/>
          <w:szCs w:val="28"/>
        </w:rPr>
        <w:t>).</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ходе исследования были проанализированы следующие факторы:</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5E327B" w:rsidRPr="00153E07">
        <w:rPr>
          <w:rFonts w:ascii="Times New Roman" w:eastAsia="Times New Roman" w:hAnsi="Times New Roman" w:cs="Times New Roman"/>
          <w:sz w:val="28"/>
          <w:szCs w:val="28"/>
        </w:rPr>
        <w:t>оличество зарегистрированных организаций;</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5E327B" w:rsidRPr="00153E07">
        <w:rPr>
          <w:rFonts w:ascii="Times New Roman" w:eastAsia="Times New Roman" w:hAnsi="Times New Roman" w:cs="Times New Roman"/>
          <w:sz w:val="28"/>
          <w:szCs w:val="28"/>
        </w:rPr>
        <w:t>оличество ИП и КФХ</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w:t>
      </w:r>
      <w:r w:rsidR="005E327B" w:rsidRPr="00153E07">
        <w:rPr>
          <w:rFonts w:ascii="Times New Roman" w:eastAsia="Times New Roman" w:hAnsi="Times New Roman" w:cs="Times New Roman"/>
          <w:sz w:val="28"/>
          <w:szCs w:val="28"/>
        </w:rPr>
        <w:t>исленность работников организаций;</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w:t>
      </w:r>
      <w:r w:rsidR="005E327B" w:rsidRPr="00153E07">
        <w:rPr>
          <w:rFonts w:ascii="Times New Roman" w:eastAsia="Times New Roman" w:hAnsi="Times New Roman" w:cs="Times New Roman"/>
          <w:sz w:val="28"/>
          <w:szCs w:val="28"/>
        </w:rPr>
        <w:t>исленность постоянного и трудоспособного населения;</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5E327B" w:rsidRPr="00153E07">
        <w:rPr>
          <w:rFonts w:ascii="Times New Roman" w:eastAsia="Times New Roman" w:hAnsi="Times New Roman" w:cs="Times New Roman"/>
          <w:sz w:val="28"/>
          <w:szCs w:val="28"/>
        </w:rPr>
        <w:t>роизводительность труда работников организаций;</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5E327B" w:rsidRPr="00153E07">
        <w:rPr>
          <w:rFonts w:ascii="Times New Roman" w:eastAsia="Times New Roman" w:hAnsi="Times New Roman" w:cs="Times New Roman"/>
          <w:sz w:val="28"/>
          <w:szCs w:val="28"/>
        </w:rPr>
        <w:t>оходы бюджета Бардымского муниципального района;</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r w:rsidR="005E327B" w:rsidRPr="00153E07">
        <w:rPr>
          <w:rFonts w:ascii="Times New Roman" w:eastAsia="Times New Roman" w:hAnsi="Times New Roman" w:cs="Times New Roman"/>
          <w:sz w:val="28"/>
          <w:szCs w:val="28"/>
        </w:rPr>
        <w:t>стественный прирост населения;</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w:t>
      </w:r>
      <w:r w:rsidR="005E327B" w:rsidRPr="00153E07">
        <w:rPr>
          <w:rFonts w:ascii="Times New Roman" w:eastAsia="Times New Roman" w:hAnsi="Times New Roman" w:cs="Times New Roman"/>
          <w:sz w:val="28"/>
          <w:szCs w:val="28"/>
        </w:rPr>
        <w:t>исленность безработных.</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Факторами спроса, которые позволяют реализовать растущий объем производства, являются следующие:</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5E327B" w:rsidRPr="00153E07">
        <w:rPr>
          <w:rFonts w:ascii="Times New Roman" w:eastAsia="Times New Roman" w:hAnsi="Times New Roman" w:cs="Times New Roman"/>
          <w:sz w:val="28"/>
          <w:szCs w:val="28"/>
        </w:rPr>
        <w:t>бъем отгруженных товаров собственного производства, работ, услуг.</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5E327B" w:rsidRPr="00153E07">
        <w:rPr>
          <w:rFonts w:ascii="Times New Roman" w:eastAsia="Times New Roman" w:hAnsi="Times New Roman" w:cs="Times New Roman"/>
          <w:sz w:val="28"/>
          <w:szCs w:val="28"/>
        </w:rPr>
        <w:t>тношения курса рубля к курсу доллара;</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5E327B" w:rsidRPr="00153E07">
        <w:rPr>
          <w:rFonts w:ascii="Times New Roman" w:eastAsia="Times New Roman" w:hAnsi="Times New Roman" w:cs="Times New Roman"/>
          <w:sz w:val="28"/>
          <w:szCs w:val="28"/>
        </w:rPr>
        <w:t>асходы бюджета Бардымского муниципального района;</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5E327B" w:rsidRPr="00153E07">
        <w:rPr>
          <w:rFonts w:ascii="Times New Roman" w:eastAsia="Times New Roman" w:hAnsi="Times New Roman" w:cs="Times New Roman"/>
          <w:sz w:val="28"/>
          <w:szCs w:val="28"/>
        </w:rPr>
        <w:t>окупательная способность заработной платы по отношению к прожиточному минимуму;</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005E327B" w:rsidRPr="00153E07">
        <w:rPr>
          <w:rFonts w:ascii="Times New Roman" w:eastAsia="Times New Roman" w:hAnsi="Times New Roman" w:cs="Times New Roman"/>
          <w:sz w:val="28"/>
          <w:szCs w:val="28"/>
        </w:rPr>
        <w:t>нвестиции в основной капитал;</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5E327B" w:rsidRPr="00153E07">
        <w:rPr>
          <w:rFonts w:ascii="Times New Roman" w:eastAsia="Times New Roman" w:hAnsi="Times New Roman" w:cs="Times New Roman"/>
          <w:sz w:val="28"/>
          <w:szCs w:val="28"/>
        </w:rPr>
        <w:t>ыбросы в атмосферу загрязняющих веществ от стационарных источников в расчете на 1 жителя;</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5E327B" w:rsidRPr="00153E07">
        <w:rPr>
          <w:rFonts w:ascii="Times New Roman" w:eastAsia="Times New Roman" w:hAnsi="Times New Roman" w:cs="Times New Roman"/>
          <w:sz w:val="28"/>
          <w:szCs w:val="28"/>
        </w:rPr>
        <w:t>аявленная предприятиями и организациями потребность в работниках.</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Основными факторами, оказывающими прямое влияние на объем отгруженных товаров, являются увеличение производительности труда, рост курса доллара, увеличение числа индивидуальных предпринимателей и крестьянских фермерских хозяйств. Выбросы в атмосферу загрязняющих веществ имеют слабую взаимосвязь с объемом отгруженных товаров по причине сельскохозяйственной направленности Бардымского муниципального района, в </w:t>
      </w:r>
      <w:r w:rsidRPr="00153E07">
        <w:rPr>
          <w:rFonts w:ascii="Times New Roman" w:eastAsia="Times New Roman" w:hAnsi="Times New Roman" w:cs="Times New Roman"/>
          <w:sz w:val="28"/>
          <w:szCs w:val="28"/>
        </w:rPr>
        <w:lastRenderedPageBreak/>
        <w:t>объеме отгруженных товаров преобладает продукция сельскохозяйственного производства, где выбросы в атмосферу незначительны.</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Основными показателями, имеющими обратную взаимосвзяь с объемом отгруженных товаров собственного производства, являются доходы и расходы бюджета муниципального района. При сокращении объемов отгрузки продукции недобор налоговых платежей увеличивает доходы бюджета в части дотаций. Аналогично обстоит ситуация с расходами бюджета района: при сокращении объема отгруженной продукции собственного производства, которой преимущественно является сельскохозяйственная продукция, увеличиваются расходы бюджета на поддержание фермерских хозяйств.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Рост курса доллара способствует росту числа крестьянских фермерских хозяйств (умеренная связь, r=0,405) и производительности труда (высокая связь, r=0,849), которая зависит от объема отгруженной продукции.</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Негативное влияние роста курса доллара на экономику района выражается в сокращении числа предприятий и организаций (r=-0,811), что влечет за собой сокращение численности работников организаций (r=-0,746) и, соответственно, потребности организаций в работниках (r=-0,579). Численность зарегистрированных безработных граждан при этом имеет умеренную обратную зависимость (r=-0,472) от курса доллара, что позволяет предположить наличие желания граждан заниматься собственным бизнесом, данный факт подтверждается ростом числа КФХ. Высокая обратная взаимосвязь наблюдается относительно расходов бюджета района (r=-0,837)</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то же время рост курса доллара оказывает значительное негативное влияние и на демографическую ситуацию в районе. Это выражается в сокращении естественного прироста населения (r=-0,645) и, как следствие, численности постоянного населения (r=-0,577).</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Сокращение количества зарегистрированных организаций имеет прямое высокое влияние на естественный прирост населения, что говорит об отсутствии уверенности граждан в будущем, о нестабильности социально-экономической ситуации в районе. Также значительное влияние данный показатель оказывает на сокращение инвестиций в основной капитал, учитывая, что преобладающую долю инвестиционного потока представляют собственные и привлеченные средства.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Также существует взаимосвязь численности трудоспособного населения с доходами и расходами бюджета. Так сокращение численности трудоспособного населения приводит к сокращению налоговых доходов от физических лиц (r=0,385) и сокращению расходов бюджета на социальную сферу (r=0,765).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Сокращение численности трудоспособного населения оказывает значительное влияние на рост числа ИП и КФХ (r=-0,610), т.е. приводит к увеличению числа предпринимателей, и, как следствие, увеличивает производительность труда.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Таким образом, производительность труда в расчете на одного работника увеличивается не за счет прироста объема выпуска и отгрузки продукции, а за счет сокращения численности трудоспособного населения, и, как следствие, численности работников организаций.</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Такие показатели как число ИП и КФХ, выбросы в атмосферу загрязняющих веществ, естественный прирост населения, потребность предприятий в работниках, инвестиции в основной капитал оказывают прямое, но незначительное влияние на доходы бюджета района.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Расходы бюджета напрямую зависят от объема поступающих денежных средств (r=0,867). Также расходы бюджета района имеют высокую прямую взаимосвязь с естественным приростом населения (r=0,614), что говорит о значительной доле социальной составляющей в общем объеме расходов бюджета, в частности это расходы в сфере образования.</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Рост покупательной способности заработной платы имеет прямую значительную связь с ростом числа ИП и КФХ (r=0,557). Высокое обратное влияние на рост покупательной способности заработной платы оказывает сокращение численности безработных (r=-0,890).</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Выбросы в атмосферу загрязняющих веществ от стационарных источников имеют прямую высокую связь с численностью постоянного населения (r=0,862).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Таким образом, можно сделать вывод, что на экономический рост в Бардымском муниципальном районе основное влияние оказывают демографические факторы, на которые в свою очередь оказывают влияние два фактора -  ситуация на рынке труда, и экологическая обстановка в районе.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Положительное влияние в Бардымском муниципальном районе на экономическое развитие оказывает развитие агропромышленного комплекса, благодаря которому создаются крестьянские фермерские хозяйства, новые рабочие места, что в свою очередь увеличивает производительность труда и объем отгруженных товаров собственного производства, который на уровне муниципального района приравнивается в валовому продукту. Все эти факторы в совокупности увеличивают налоговые и неналоговые доходы бюджета района, благодаря чему существует возможность сокращать межбюджетные трансферты в адрес района.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то же время в структуре доходов бюджета Бардымского муниципального района объем дотаций очень велик, что говорит о необходимости дальнейшего развития сельского хозяйства, а также диверсификации экономики муниципального района.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таблице представлена информация о наличии производств и сырьевых месторождений на территории Бардымского муниципального района.</w:t>
      </w:r>
    </w:p>
    <w:p w:rsidR="005E327B" w:rsidRPr="00153E07" w:rsidRDefault="005E327B" w:rsidP="006D2568">
      <w:pPr>
        <w:spacing w:after="160" w:line="240" w:lineRule="auto"/>
        <w:jc w:val="right"/>
        <w:rPr>
          <w:rFonts w:ascii="Times New Roman" w:hAnsi="Times New Roman" w:cs="Times New Roman"/>
          <w:sz w:val="28"/>
          <w:szCs w:val="28"/>
        </w:rPr>
      </w:pPr>
      <w:r w:rsidRPr="00153E07">
        <w:rPr>
          <w:rFonts w:ascii="Times New Roman" w:hAnsi="Times New Roman" w:cs="Times New Roman"/>
          <w:sz w:val="28"/>
          <w:szCs w:val="28"/>
        </w:rPr>
        <w:t>Таблица</w:t>
      </w:r>
      <w:r w:rsidR="00DE2D0E">
        <w:rPr>
          <w:rFonts w:ascii="Times New Roman" w:hAnsi="Times New Roman" w:cs="Times New Roman"/>
          <w:sz w:val="28"/>
          <w:szCs w:val="28"/>
        </w:rPr>
        <w:t xml:space="preserve"> 2.2</w:t>
      </w:r>
    </w:p>
    <w:p w:rsidR="005E327B" w:rsidRPr="00681E8B" w:rsidRDefault="005E327B" w:rsidP="006D2568">
      <w:pPr>
        <w:spacing w:after="160" w:line="240" w:lineRule="auto"/>
        <w:jc w:val="center"/>
        <w:rPr>
          <w:rFonts w:ascii="Times New Roman" w:hAnsi="Times New Roman" w:cs="Times New Roman"/>
          <w:b/>
          <w:sz w:val="28"/>
          <w:szCs w:val="28"/>
        </w:rPr>
      </w:pPr>
      <w:r w:rsidRPr="00681E8B">
        <w:rPr>
          <w:rFonts w:ascii="Times New Roman" w:hAnsi="Times New Roman" w:cs="Times New Roman"/>
          <w:b/>
          <w:sz w:val="28"/>
          <w:szCs w:val="28"/>
        </w:rPr>
        <w:t>Наличие производств и сырьевых месторождений в Бардымском муниципальном районе</w:t>
      </w:r>
    </w:p>
    <w:tbl>
      <w:tblPr>
        <w:tblW w:w="4878" w:type="pct"/>
        <w:tblLayout w:type="fixed"/>
        <w:tblLook w:val="04A0"/>
      </w:tblPr>
      <w:tblGrid>
        <w:gridCol w:w="4079"/>
        <w:gridCol w:w="1984"/>
        <w:gridCol w:w="1984"/>
        <w:gridCol w:w="1843"/>
      </w:tblGrid>
      <w:tr w:rsidR="00E21B77" w:rsidRPr="00153E07" w:rsidTr="00E21B77">
        <w:trPr>
          <w:trHeight w:val="300"/>
        </w:trPr>
        <w:tc>
          <w:tcPr>
            <w:tcW w:w="2062" w:type="pct"/>
            <w:tcBorders>
              <w:top w:val="single" w:sz="4" w:space="0" w:color="auto"/>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p>
        </w:tc>
        <w:tc>
          <w:tcPr>
            <w:tcW w:w="1003" w:type="pct"/>
            <w:tcBorders>
              <w:top w:val="single" w:sz="4" w:space="0" w:color="auto"/>
              <w:left w:val="nil"/>
              <w:bottom w:val="single" w:sz="4" w:space="0" w:color="auto"/>
              <w:right w:val="single" w:sz="4" w:space="0" w:color="auto"/>
            </w:tcBorders>
            <w:noWrap/>
            <w:vAlign w:val="bottom"/>
            <w:hideMark/>
          </w:tcPr>
          <w:p w:rsidR="005E327B" w:rsidRPr="002F6162" w:rsidRDefault="005E327B" w:rsidP="006D2568">
            <w:pPr>
              <w:spacing w:after="160" w:line="240" w:lineRule="auto"/>
              <w:rPr>
                <w:rFonts w:ascii="Times New Roman" w:hAnsi="Times New Roman" w:cs="Times New Roman"/>
                <w:sz w:val="24"/>
                <w:szCs w:val="28"/>
              </w:rPr>
            </w:pPr>
            <w:r w:rsidRPr="002F6162">
              <w:rPr>
                <w:rFonts w:ascii="Times New Roman" w:hAnsi="Times New Roman" w:cs="Times New Roman"/>
                <w:sz w:val="24"/>
                <w:szCs w:val="28"/>
              </w:rPr>
              <w:t>Действует / Разрабатывается</w:t>
            </w:r>
          </w:p>
        </w:tc>
        <w:tc>
          <w:tcPr>
            <w:tcW w:w="1003" w:type="pct"/>
            <w:tcBorders>
              <w:top w:val="single" w:sz="4" w:space="0" w:color="auto"/>
              <w:left w:val="nil"/>
              <w:bottom w:val="single" w:sz="4" w:space="0" w:color="auto"/>
              <w:right w:val="single" w:sz="4" w:space="0" w:color="auto"/>
            </w:tcBorders>
            <w:noWrap/>
            <w:vAlign w:val="bottom"/>
            <w:hideMark/>
          </w:tcPr>
          <w:p w:rsidR="005E327B" w:rsidRPr="002F6162" w:rsidRDefault="005E327B" w:rsidP="00E21B77">
            <w:pPr>
              <w:spacing w:after="0" w:line="240" w:lineRule="auto"/>
              <w:rPr>
                <w:rFonts w:ascii="Times New Roman" w:hAnsi="Times New Roman" w:cs="Times New Roman"/>
                <w:sz w:val="24"/>
                <w:szCs w:val="28"/>
              </w:rPr>
            </w:pPr>
            <w:r w:rsidRPr="002F6162">
              <w:rPr>
                <w:rFonts w:ascii="Times New Roman" w:hAnsi="Times New Roman" w:cs="Times New Roman"/>
                <w:sz w:val="24"/>
                <w:szCs w:val="28"/>
              </w:rPr>
              <w:t xml:space="preserve">Не действует / </w:t>
            </w:r>
          </w:p>
          <w:p w:rsidR="005E327B" w:rsidRPr="002F6162" w:rsidRDefault="005E327B" w:rsidP="00E21B77">
            <w:pPr>
              <w:spacing w:after="0" w:line="240" w:lineRule="auto"/>
              <w:jc w:val="both"/>
              <w:rPr>
                <w:rFonts w:ascii="Times New Roman" w:hAnsi="Times New Roman" w:cs="Times New Roman"/>
                <w:sz w:val="24"/>
                <w:szCs w:val="28"/>
              </w:rPr>
            </w:pPr>
            <w:r w:rsidRPr="002F6162">
              <w:rPr>
                <w:rFonts w:ascii="Times New Roman" w:hAnsi="Times New Roman" w:cs="Times New Roman"/>
                <w:sz w:val="24"/>
                <w:szCs w:val="28"/>
              </w:rPr>
              <w:t>Не разрабатывается</w:t>
            </w:r>
          </w:p>
        </w:tc>
        <w:tc>
          <w:tcPr>
            <w:tcW w:w="932" w:type="pct"/>
            <w:tcBorders>
              <w:top w:val="single" w:sz="4" w:space="0" w:color="auto"/>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Ликвидирован</w:t>
            </w:r>
          </w:p>
        </w:tc>
      </w:tr>
      <w:tr w:rsidR="00E21B77" w:rsidRPr="00153E07" w:rsidTr="00E21B77">
        <w:trPr>
          <w:trHeight w:val="300"/>
        </w:trPr>
        <w:tc>
          <w:tcPr>
            <w:tcW w:w="2062" w:type="pct"/>
            <w:tcBorders>
              <w:top w:val="nil"/>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Месторождение добычи нефти и газа</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2</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2</w:t>
            </w:r>
          </w:p>
        </w:tc>
        <w:tc>
          <w:tcPr>
            <w:tcW w:w="932"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r>
      <w:tr w:rsidR="00E21B77" w:rsidRPr="00153E07" w:rsidTr="00E21B77">
        <w:trPr>
          <w:trHeight w:val="300"/>
        </w:trPr>
        <w:tc>
          <w:tcPr>
            <w:tcW w:w="2062" w:type="pct"/>
            <w:tcBorders>
              <w:top w:val="nil"/>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Месторождение красной глины</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3</w:t>
            </w:r>
          </w:p>
        </w:tc>
        <w:tc>
          <w:tcPr>
            <w:tcW w:w="932"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r>
      <w:tr w:rsidR="00E21B77" w:rsidRPr="00153E07" w:rsidTr="00E21B77">
        <w:trPr>
          <w:trHeight w:val="300"/>
        </w:trPr>
        <w:tc>
          <w:tcPr>
            <w:tcW w:w="2062" w:type="pct"/>
            <w:tcBorders>
              <w:top w:val="nil"/>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Месторождение ПГС</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5</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2</w:t>
            </w:r>
          </w:p>
        </w:tc>
        <w:tc>
          <w:tcPr>
            <w:tcW w:w="932"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r>
      <w:tr w:rsidR="00E21B77" w:rsidRPr="00153E07" w:rsidTr="00E21B77">
        <w:trPr>
          <w:trHeight w:val="300"/>
        </w:trPr>
        <w:tc>
          <w:tcPr>
            <w:tcW w:w="2062" w:type="pct"/>
            <w:tcBorders>
              <w:top w:val="nil"/>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lastRenderedPageBreak/>
              <w:t>Месторождение строительного песка</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2</w:t>
            </w:r>
          </w:p>
        </w:tc>
        <w:tc>
          <w:tcPr>
            <w:tcW w:w="932"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r>
      <w:tr w:rsidR="00E21B77" w:rsidRPr="00153E07" w:rsidTr="00E21B77">
        <w:trPr>
          <w:trHeight w:val="300"/>
        </w:trPr>
        <w:tc>
          <w:tcPr>
            <w:tcW w:w="2062" w:type="pct"/>
            <w:tcBorders>
              <w:top w:val="nil"/>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Месторождение торфа</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1</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1</w:t>
            </w:r>
          </w:p>
        </w:tc>
        <w:tc>
          <w:tcPr>
            <w:tcW w:w="932"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r>
      <w:tr w:rsidR="00E21B77" w:rsidRPr="00153E07" w:rsidTr="00E21B77">
        <w:trPr>
          <w:trHeight w:val="300"/>
        </w:trPr>
        <w:tc>
          <w:tcPr>
            <w:tcW w:w="2062" w:type="pct"/>
            <w:tcBorders>
              <w:top w:val="nil"/>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Пищевое производство</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2</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c>
          <w:tcPr>
            <w:tcW w:w="932"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r>
      <w:tr w:rsidR="00E21B77" w:rsidRPr="00153E07" w:rsidTr="00E21B77">
        <w:trPr>
          <w:trHeight w:val="300"/>
        </w:trPr>
        <w:tc>
          <w:tcPr>
            <w:tcW w:w="2062" w:type="pct"/>
            <w:tcBorders>
              <w:top w:val="nil"/>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Сельское хозяйство</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12</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c>
          <w:tcPr>
            <w:tcW w:w="932"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r>
      <w:tr w:rsidR="00E21B77" w:rsidRPr="00153E07" w:rsidTr="00E21B77">
        <w:trPr>
          <w:trHeight w:val="300"/>
        </w:trPr>
        <w:tc>
          <w:tcPr>
            <w:tcW w:w="2062" w:type="pct"/>
            <w:tcBorders>
              <w:top w:val="nil"/>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Торговля</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12</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c>
          <w:tcPr>
            <w:tcW w:w="932"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r>
      <w:tr w:rsidR="00E21B77" w:rsidRPr="00153E07" w:rsidTr="00E21B77">
        <w:trPr>
          <w:trHeight w:val="300"/>
        </w:trPr>
        <w:tc>
          <w:tcPr>
            <w:tcW w:w="2062" w:type="pct"/>
            <w:tcBorders>
              <w:top w:val="nil"/>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Производство строительных материалов</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3</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1</w:t>
            </w:r>
          </w:p>
        </w:tc>
        <w:tc>
          <w:tcPr>
            <w:tcW w:w="932"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1</w:t>
            </w:r>
          </w:p>
        </w:tc>
      </w:tr>
      <w:tr w:rsidR="00E21B77" w:rsidRPr="00153E07" w:rsidTr="00E21B77">
        <w:trPr>
          <w:trHeight w:val="300"/>
        </w:trPr>
        <w:tc>
          <w:tcPr>
            <w:tcW w:w="2062" w:type="pct"/>
            <w:tcBorders>
              <w:top w:val="nil"/>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Итого</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37</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11</w:t>
            </w:r>
          </w:p>
        </w:tc>
        <w:tc>
          <w:tcPr>
            <w:tcW w:w="932"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1</w:t>
            </w:r>
          </w:p>
        </w:tc>
      </w:tr>
    </w:tbl>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Во всех сельских поселениях активно представлено только сельское хозяйство и торговля. На территории Бардымского муниципального района действует 2 пищевых производства: хлебобулочное и кондитерское и 3 производства строительных материалов, в том числе деревообработка и лесозаготовка.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то же время на территории района существуют месторождения таких полезных ископаемых, песчано-гравийные смеси (ПГС), красная глина, известковый туф, строительный песок, торф и далеко не все из них разрабатываются. В настоящее время разрабатываемыми являются 5 месторождений ПГС, 2 месторождения нефти и 1 месторождение торфа.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Месторождения красной глины не разрабатываются по причине отсутствия перерабатывающего производства (кирпичного завода). Месторождения строительного песка также не разрабатываются, используются, как правило, наносные ПГС в руслах рек.</w:t>
      </w:r>
    </w:p>
    <w:p w:rsidR="005E327B" w:rsidRPr="00153E07" w:rsidRDefault="005E327B" w:rsidP="002F6162">
      <w:pPr>
        <w:spacing w:after="160" w:line="240"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267450" cy="3152775"/>
            <wp:effectExtent l="19050" t="0" r="0" b="0"/>
            <wp:docPr id="9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5E327B" w:rsidRPr="00681E8B" w:rsidRDefault="005E327B" w:rsidP="006D2568">
      <w:pPr>
        <w:spacing w:after="0" w:line="240" w:lineRule="auto"/>
        <w:ind w:firstLine="709"/>
        <w:jc w:val="both"/>
        <w:rPr>
          <w:rFonts w:ascii="Times New Roman" w:eastAsia="Times New Roman" w:hAnsi="Times New Roman" w:cs="Times New Roman"/>
          <w:b/>
          <w:sz w:val="28"/>
          <w:szCs w:val="28"/>
        </w:rPr>
      </w:pPr>
      <w:r w:rsidRPr="00681E8B">
        <w:rPr>
          <w:rFonts w:ascii="Times New Roman" w:eastAsia="Times New Roman" w:hAnsi="Times New Roman" w:cs="Times New Roman"/>
          <w:b/>
          <w:sz w:val="28"/>
          <w:szCs w:val="28"/>
        </w:rPr>
        <w:t xml:space="preserve">Рисунок </w:t>
      </w:r>
      <w:r w:rsidR="00DE2D0E" w:rsidRPr="00681E8B">
        <w:rPr>
          <w:rFonts w:ascii="Times New Roman" w:eastAsia="Times New Roman" w:hAnsi="Times New Roman" w:cs="Times New Roman"/>
          <w:b/>
          <w:sz w:val="28"/>
          <w:szCs w:val="28"/>
        </w:rPr>
        <w:t>2.1</w:t>
      </w:r>
      <w:r w:rsidRPr="00681E8B">
        <w:rPr>
          <w:rFonts w:ascii="Times New Roman" w:eastAsia="Times New Roman" w:hAnsi="Times New Roman" w:cs="Times New Roman"/>
          <w:b/>
          <w:sz w:val="28"/>
          <w:szCs w:val="28"/>
        </w:rPr>
        <w:t>. Структура производств и сырьевых месторождений в Бардымском муниципальном районе</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Получение доходов бюджетом муниципального района от нефтяной и лесной отрасли ограничено по причине принадлежности данных сырьевых </w:t>
      </w:r>
      <w:r w:rsidRPr="00153E07">
        <w:rPr>
          <w:rFonts w:ascii="Times New Roman" w:eastAsia="Times New Roman" w:hAnsi="Times New Roman" w:cs="Times New Roman"/>
          <w:sz w:val="28"/>
          <w:szCs w:val="28"/>
        </w:rPr>
        <w:lastRenderedPageBreak/>
        <w:t>ресурсов, расположенных на территории района, к соседним районам: Куединскому, Осинскому, Чернушинскому.</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Однако, благодаря наличию на территории Бардымского муниципального района других минерально-сырьевых ресурсов возможно производство огнеупорной продукции, дорожно-строительных материалов, цемента, удобрений, облицовочного камня, гончарной продукции.</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Благодаря диверсификации экономических видов деятельности на территории Бардымского муниципального района, организации обрабатывающих и перерабатывающих производств увеличится количество предприятий, возрастет инвестиционная привлекательность района, что положительным образом отразится на доходах бюджета, и позволит обеспечить развитие социальной сферы и стабилизацию демографической ситуации в муниципальном районе. </w:t>
      </w:r>
    </w:p>
    <w:p w:rsidR="005E327B" w:rsidRPr="00153E07" w:rsidRDefault="005E327B" w:rsidP="006D2568">
      <w:pPr>
        <w:spacing w:after="0" w:line="240" w:lineRule="auto"/>
        <w:ind w:firstLine="709"/>
        <w:jc w:val="both"/>
        <w:rPr>
          <w:rFonts w:ascii="Times New Roman" w:eastAsiaTheme="majorEastAsia" w:hAnsi="Times New Roman" w:cs="Times New Roman"/>
          <w:b/>
          <w:bCs/>
          <w:sz w:val="28"/>
          <w:szCs w:val="28"/>
        </w:rPr>
      </w:pPr>
    </w:p>
    <w:p w:rsidR="005E327B" w:rsidRDefault="005E327B" w:rsidP="006D2568">
      <w:pPr>
        <w:pStyle w:val="1"/>
        <w:numPr>
          <w:ilvl w:val="2"/>
          <w:numId w:val="1"/>
        </w:numPr>
        <w:spacing w:line="240" w:lineRule="auto"/>
      </w:pPr>
      <w:bookmarkStart w:id="11" w:name="_Toc491943104"/>
      <w:r w:rsidRPr="00153E07">
        <w:t>Принципы формирования Стратегии социально-экономического развития Бардымского муниципального района на 2018-2030 годы</w:t>
      </w:r>
      <w:bookmarkEnd w:id="11"/>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Стратегия социально-экономического развития Бардымского муниципального района Пермского края на 2018-2030 годы носит характер публичных обязательств органов муниципальной власти, которые стремятся соответствовать принципам прозрачности и предсказуемости, установленным Правительством Пермского края и Правительством Российской Федерации.</w:t>
      </w:r>
    </w:p>
    <w:p w:rsidR="005E327B" w:rsidRPr="00681E8B" w:rsidRDefault="005E327B" w:rsidP="006D2568">
      <w:pPr>
        <w:spacing w:after="0" w:line="240" w:lineRule="auto"/>
        <w:ind w:firstLine="709"/>
        <w:jc w:val="both"/>
        <w:rPr>
          <w:rFonts w:ascii="Times New Roman" w:eastAsia="Times New Roman" w:hAnsi="Times New Roman" w:cs="Times New Roman"/>
          <w:b/>
          <w:sz w:val="28"/>
          <w:szCs w:val="28"/>
        </w:rPr>
      </w:pPr>
      <w:r w:rsidRPr="00681E8B">
        <w:rPr>
          <w:rFonts w:ascii="Times New Roman" w:eastAsia="Times New Roman" w:hAnsi="Times New Roman" w:cs="Times New Roman"/>
          <w:b/>
          <w:sz w:val="28"/>
          <w:szCs w:val="28"/>
        </w:rPr>
        <w:t>Основные задачи Стратегии:</w:t>
      </w:r>
    </w:p>
    <w:p w:rsidR="005E327B" w:rsidRPr="00153E07" w:rsidRDefault="005E327B" w:rsidP="006D2568">
      <w:pPr>
        <w:pStyle w:val="af1"/>
        <w:numPr>
          <w:ilvl w:val="0"/>
          <w:numId w:val="2"/>
        </w:numPr>
        <w:spacing w:after="0" w:line="240" w:lineRule="auto"/>
        <w:ind w:left="709" w:hanging="283"/>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существующего социально-экономического положения экономики и социальной сферы;</w:t>
      </w:r>
    </w:p>
    <w:p w:rsidR="005E327B" w:rsidRPr="00153E07" w:rsidRDefault="005E327B" w:rsidP="006D2568">
      <w:pPr>
        <w:pStyle w:val="af1"/>
        <w:numPr>
          <w:ilvl w:val="0"/>
          <w:numId w:val="2"/>
        </w:numPr>
        <w:spacing w:after="0" w:line="240" w:lineRule="auto"/>
        <w:ind w:left="709" w:hanging="283"/>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определение целей, задач и миссии Бардымского муниципального района на период до 20</w:t>
      </w:r>
      <w:r w:rsidR="00055C85">
        <w:rPr>
          <w:rFonts w:ascii="Times New Roman" w:eastAsia="Times New Roman" w:hAnsi="Times New Roman" w:cs="Times New Roman"/>
          <w:sz w:val="28"/>
          <w:szCs w:val="28"/>
        </w:rPr>
        <w:t>30</w:t>
      </w:r>
      <w:r w:rsidRPr="00153E07">
        <w:rPr>
          <w:rFonts w:ascii="Times New Roman" w:eastAsia="Times New Roman" w:hAnsi="Times New Roman" w:cs="Times New Roman"/>
          <w:sz w:val="28"/>
          <w:szCs w:val="28"/>
        </w:rPr>
        <w:t xml:space="preserve"> года;</w:t>
      </w:r>
    </w:p>
    <w:p w:rsidR="005E327B" w:rsidRPr="00153E07" w:rsidRDefault="005E327B" w:rsidP="006D2568">
      <w:pPr>
        <w:pStyle w:val="af1"/>
        <w:numPr>
          <w:ilvl w:val="0"/>
          <w:numId w:val="2"/>
        </w:numPr>
        <w:spacing w:after="0" w:line="240" w:lineRule="auto"/>
        <w:ind w:left="709" w:hanging="283"/>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оценка возможных направлений развития экономики в увязке со стратегией развития Пермского края;</w:t>
      </w:r>
    </w:p>
    <w:p w:rsidR="005E327B" w:rsidRPr="00153E07" w:rsidRDefault="005E327B" w:rsidP="006D2568">
      <w:pPr>
        <w:pStyle w:val="af1"/>
        <w:numPr>
          <w:ilvl w:val="0"/>
          <w:numId w:val="2"/>
        </w:numPr>
        <w:spacing w:after="0" w:line="240" w:lineRule="auto"/>
        <w:ind w:left="709" w:hanging="283"/>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разработка комплекса программных мероприятий по достижению поставленных целей;</w:t>
      </w:r>
    </w:p>
    <w:p w:rsidR="005E327B" w:rsidRPr="00153E07" w:rsidRDefault="005E327B" w:rsidP="006D2568">
      <w:pPr>
        <w:pStyle w:val="af1"/>
        <w:numPr>
          <w:ilvl w:val="0"/>
          <w:numId w:val="2"/>
        </w:numPr>
        <w:spacing w:after="0" w:line="240" w:lineRule="auto"/>
        <w:ind w:left="709" w:hanging="283"/>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этапы реализации выбранной стратегии;</w:t>
      </w:r>
    </w:p>
    <w:p w:rsidR="005E327B" w:rsidRPr="00153E07" w:rsidRDefault="005E327B" w:rsidP="006D2568">
      <w:pPr>
        <w:pStyle w:val="af1"/>
        <w:numPr>
          <w:ilvl w:val="0"/>
          <w:numId w:val="2"/>
        </w:numPr>
        <w:spacing w:after="0" w:line="240" w:lineRule="auto"/>
        <w:ind w:left="709" w:hanging="283"/>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определение механизмов реализации программы и решение задач ее ресурсного обеспечения;</w:t>
      </w:r>
    </w:p>
    <w:p w:rsidR="005E327B" w:rsidRPr="00153E07" w:rsidRDefault="005E327B" w:rsidP="006D2568">
      <w:pPr>
        <w:pStyle w:val="af1"/>
        <w:numPr>
          <w:ilvl w:val="0"/>
          <w:numId w:val="2"/>
        </w:numPr>
        <w:spacing w:after="0" w:line="240" w:lineRule="auto"/>
        <w:ind w:left="709" w:hanging="283"/>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определение механизмов мониторинга и контроля за выполнением программы;</w:t>
      </w:r>
    </w:p>
    <w:p w:rsidR="00055C85" w:rsidRDefault="005E327B" w:rsidP="00055C85">
      <w:pPr>
        <w:pStyle w:val="af1"/>
        <w:numPr>
          <w:ilvl w:val="0"/>
          <w:numId w:val="2"/>
        </w:numPr>
        <w:spacing w:after="0" w:line="240" w:lineRule="auto"/>
        <w:ind w:left="709" w:hanging="283"/>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оценка социально-экономических последствий реализации стратегии</w:t>
      </w:r>
      <w:r w:rsidR="00055C85">
        <w:rPr>
          <w:rFonts w:ascii="Times New Roman" w:eastAsia="Times New Roman" w:hAnsi="Times New Roman" w:cs="Times New Roman"/>
          <w:sz w:val="28"/>
          <w:szCs w:val="28"/>
        </w:rPr>
        <w:t>.</w:t>
      </w:r>
    </w:p>
    <w:p w:rsidR="005E327B" w:rsidRPr="00055C85" w:rsidRDefault="00055C85" w:rsidP="00055C85">
      <w:pPr>
        <w:pStyle w:val="af1"/>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5E327B" w:rsidRPr="00055C85">
        <w:rPr>
          <w:rFonts w:ascii="Times New Roman" w:eastAsia="Times New Roman" w:hAnsi="Times New Roman" w:cs="Times New Roman"/>
          <w:sz w:val="28"/>
          <w:szCs w:val="28"/>
        </w:rPr>
        <w:t>ействия по реализации Стратегии должны соответствовать принципам, ценностям и приоритетам заложенным в Стратегии.</w:t>
      </w:r>
    </w:p>
    <w:p w:rsidR="002F6162" w:rsidRDefault="002F6162" w:rsidP="006D2568">
      <w:pPr>
        <w:spacing w:after="0" w:line="240" w:lineRule="auto"/>
        <w:ind w:firstLine="709"/>
        <w:jc w:val="both"/>
        <w:rPr>
          <w:rFonts w:ascii="Times New Roman" w:eastAsia="Times New Roman" w:hAnsi="Times New Roman" w:cs="Times New Roman"/>
          <w:sz w:val="28"/>
          <w:szCs w:val="28"/>
        </w:rPr>
      </w:pPr>
    </w:p>
    <w:p w:rsidR="005E327B" w:rsidRPr="00681E8B" w:rsidRDefault="005E327B" w:rsidP="006D2568">
      <w:pPr>
        <w:spacing w:after="0" w:line="240" w:lineRule="auto"/>
        <w:ind w:firstLine="709"/>
        <w:jc w:val="both"/>
        <w:rPr>
          <w:rFonts w:ascii="Times New Roman" w:eastAsia="Times New Roman" w:hAnsi="Times New Roman" w:cs="Times New Roman"/>
          <w:b/>
          <w:sz w:val="28"/>
          <w:szCs w:val="28"/>
        </w:rPr>
      </w:pPr>
      <w:r w:rsidRPr="00681E8B">
        <w:rPr>
          <w:rFonts w:ascii="Times New Roman" w:eastAsia="Times New Roman" w:hAnsi="Times New Roman" w:cs="Times New Roman"/>
          <w:b/>
          <w:sz w:val="28"/>
          <w:szCs w:val="28"/>
        </w:rPr>
        <w:t>Основные принципы Стратегии:</w:t>
      </w:r>
    </w:p>
    <w:p w:rsidR="005E327B" w:rsidRPr="00DE2D0E" w:rsidRDefault="005E327B" w:rsidP="006D2568">
      <w:pPr>
        <w:pStyle w:val="af1"/>
        <w:numPr>
          <w:ilvl w:val="0"/>
          <w:numId w:val="18"/>
        </w:numPr>
        <w:spacing w:after="0" w:line="240" w:lineRule="auto"/>
        <w:ind w:left="0" w:firstLine="0"/>
        <w:jc w:val="both"/>
        <w:rPr>
          <w:rFonts w:ascii="Times New Roman" w:eastAsia="Times New Roman" w:hAnsi="Times New Roman" w:cs="Times New Roman"/>
          <w:sz w:val="28"/>
          <w:szCs w:val="28"/>
        </w:rPr>
      </w:pPr>
      <w:r w:rsidRPr="00DE2D0E">
        <w:rPr>
          <w:rFonts w:ascii="Times New Roman" w:eastAsia="Times New Roman" w:hAnsi="Times New Roman" w:cs="Times New Roman"/>
          <w:sz w:val="28"/>
          <w:szCs w:val="28"/>
        </w:rPr>
        <w:t>принцип программно-целевого планирования и управления, означающий, что планирование и управление должно осуществляться на основе и в соответствии со стратегическими целями, установленными в Стратегии;</w:t>
      </w:r>
    </w:p>
    <w:p w:rsidR="005E327B" w:rsidRPr="00DE2D0E" w:rsidRDefault="005E327B" w:rsidP="006D2568">
      <w:pPr>
        <w:pStyle w:val="af1"/>
        <w:numPr>
          <w:ilvl w:val="0"/>
          <w:numId w:val="18"/>
        </w:numPr>
        <w:spacing w:after="0" w:line="240" w:lineRule="auto"/>
        <w:ind w:left="0" w:firstLine="0"/>
        <w:jc w:val="both"/>
        <w:rPr>
          <w:rFonts w:ascii="Times New Roman" w:eastAsia="Times New Roman" w:hAnsi="Times New Roman" w:cs="Times New Roman"/>
          <w:sz w:val="28"/>
          <w:szCs w:val="28"/>
        </w:rPr>
      </w:pPr>
      <w:r w:rsidRPr="00DE2D0E">
        <w:rPr>
          <w:rFonts w:ascii="Times New Roman" w:eastAsia="Times New Roman" w:hAnsi="Times New Roman" w:cs="Times New Roman"/>
          <w:sz w:val="28"/>
          <w:szCs w:val="28"/>
        </w:rPr>
        <w:t>принцип системности, означающий, что все элементы Стратегии должны представлять целостную систему взаимоувязанных и сбалансированных задач и целей;</w:t>
      </w:r>
    </w:p>
    <w:p w:rsidR="005E327B" w:rsidRPr="00DE2D0E" w:rsidRDefault="005E327B" w:rsidP="006D2568">
      <w:pPr>
        <w:pStyle w:val="af1"/>
        <w:numPr>
          <w:ilvl w:val="0"/>
          <w:numId w:val="18"/>
        </w:numPr>
        <w:spacing w:after="0" w:line="240" w:lineRule="auto"/>
        <w:ind w:left="0" w:firstLine="0"/>
        <w:jc w:val="both"/>
        <w:rPr>
          <w:rFonts w:ascii="Times New Roman" w:eastAsia="Times New Roman" w:hAnsi="Times New Roman" w:cs="Times New Roman"/>
          <w:sz w:val="28"/>
          <w:szCs w:val="28"/>
        </w:rPr>
      </w:pPr>
      <w:r w:rsidRPr="00DE2D0E">
        <w:rPr>
          <w:rFonts w:ascii="Times New Roman" w:eastAsia="Times New Roman" w:hAnsi="Times New Roman" w:cs="Times New Roman"/>
          <w:sz w:val="28"/>
          <w:szCs w:val="28"/>
        </w:rPr>
        <w:lastRenderedPageBreak/>
        <w:t>принцип приоритетности, означающий, что время и объем реализации целей и задач, представленных в Стратегии определены приоритетностью развития направлений и их вкладом в достижение стратегических целей;</w:t>
      </w:r>
    </w:p>
    <w:p w:rsidR="005E327B" w:rsidRPr="00DE2D0E" w:rsidRDefault="005E327B" w:rsidP="006D2568">
      <w:pPr>
        <w:pStyle w:val="af1"/>
        <w:numPr>
          <w:ilvl w:val="0"/>
          <w:numId w:val="18"/>
        </w:numPr>
        <w:spacing w:after="0" w:line="240" w:lineRule="auto"/>
        <w:ind w:left="0" w:firstLine="0"/>
        <w:jc w:val="both"/>
        <w:rPr>
          <w:rFonts w:ascii="Times New Roman" w:eastAsia="Times New Roman" w:hAnsi="Times New Roman" w:cs="Times New Roman"/>
          <w:sz w:val="28"/>
          <w:szCs w:val="28"/>
        </w:rPr>
      </w:pPr>
      <w:r w:rsidRPr="00DE2D0E">
        <w:rPr>
          <w:rFonts w:ascii="Times New Roman" w:eastAsia="Times New Roman" w:hAnsi="Times New Roman" w:cs="Times New Roman"/>
          <w:sz w:val="28"/>
          <w:szCs w:val="28"/>
        </w:rPr>
        <w:t>принцип единства целей и средств их достижения, означающий, что для каждой цели должны существовать и быть приведены и описаны средства ее достижения;</w:t>
      </w:r>
    </w:p>
    <w:p w:rsidR="005E327B" w:rsidRPr="00DE2D0E" w:rsidRDefault="005E327B" w:rsidP="006D2568">
      <w:pPr>
        <w:pStyle w:val="af1"/>
        <w:numPr>
          <w:ilvl w:val="0"/>
          <w:numId w:val="18"/>
        </w:numPr>
        <w:spacing w:after="0" w:line="240" w:lineRule="auto"/>
        <w:ind w:left="0" w:firstLine="0"/>
        <w:jc w:val="both"/>
        <w:rPr>
          <w:rFonts w:ascii="Times New Roman" w:eastAsia="Times New Roman" w:hAnsi="Times New Roman" w:cs="Times New Roman"/>
          <w:sz w:val="28"/>
          <w:szCs w:val="28"/>
        </w:rPr>
      </w:pPr>
      <w:r w:rsidRPr="00DE2D0E">
        <w:rPr>
          <w:rFonts w:ascii="Times New Roman" w:eastAsia="Times New Roman" w:hAnsi="Times New Roman" w:cs="Times New Roman"/>
          <w:sz w:val="28"/>
          <w:szCs w:val="28"/>
        </w:rPr>
        <w:t>принцип равноправия и баланса интересов, означающий, что реализация Стратегии в максимальной степени учитывает интересы всех хозяйствующих субъектов муниципального района;</w:t>
      </w:r>
    </w:p>
    <w:p w:rsidR="005E327B" w:rsidRPr="00DE2D0E" w:rsidRDefault="005E327B" w:rsidP="006D2568">
      <w:pPr>
        <w:pStyle w:val="af1"/>
        <w:numPr>
          <w:ilvl w:val="0"/>
          <w:numId w:val="18"/>
        </w:numPr>
        <w:spacing w:after="0" w:line="240" w:lineRule="auto"/>
        <w:ind w:left="0" w:firstLine="0"/>
        <w:jc w:val="both"/>
        <w:rPr>
          <w:rFonts w:ascii="Times New Roman" w:eastAsia="Times New Roman" w:hAnsi="Times New Roman" w:cs="Times New Roman"/>
          <w:sz w:val="28"/>
          <w:szCs w:val="28"/>
        </w:rPr>
      </w:pPr>
      <w:r w:rsidRPr="00DE2D0E">
        <w:rPr>
          <w:rFonts w:ascii="Times New Roman" w:eastAsia="Times New Roman" w:hAnsi="Times New Roman" w:cs="Times New Roman"/>
          <w:sz w:val="28"/>
          <w:szCs w:val="28"/>
        </w:rPr>
        <w:t>принцип открытости планирования Стратегии, означающий, что весь процесс планирования является открытой процедурой;</w:t>
      </w:r>
    </w:p>
    <w:p w:rsidR="005E327B" w:rsidRPr="00DE2D0E" w:rsidRDefault="005E327B" w:rsidP="006D2568">
      <w:pPr>
        <w:pStyle w:val="af1"/>
        <w:numPr>
          <w:ilvl w:val="0"/>
          <w:numId w:val="18"/>
        </w:numPr>
        <w:spacing w:after="0" w:line="240" w:lineRule="auto"/>
        <w:ind w:left="0" w:firstLine="0"/>
        <w:jc w:val="both"/>
        <w:rPr>
          <w:rFonts w:ascii="Times New Roman" w:eastAsia="Times New Roman" w:hAnsi="Times New Roman" w:cs="Times New Roman"/>
          <w:sz w:val="28"/>
          <w:szCs w:val="28"/>
        </w:rPr>
      </w:pPr>
      <w:r w:rsidRPr="00DE2D0E">
        <w:rPr>
          <w:rFonts w:ascii="Times New Roman" w:eastAsia="Times New Roman" w:hAnsi="Times New Roman" w:cs="Times New Roman"/>
          <w:sz w:val="28"/>
          <w:szCs w:val="28"/>
        </w:rPr>
        <w:t>принцип адресности, означающий, что реализация Стратегии нацелена на конкретизацию действий и объекта, на который данные действия направлены;</w:t>
      </w:r>
    </w:p>
    <w:p w:rsidR="005E327B" w:rsidRPr="00DE2D0E" w:rsidRDefault="005E327B" w:rsidP="006D2568">
      <w:pPr>
        <w:pStyle w:val="af1"/>
        <w:numPr>
          <w:ilvl w:val="0"/>
          <w:numId w:val="18"/>
        </w:numPr>
        <w:spacing w:after="0" w:line="240" w:lineRule="auto"/>
        <w:ind w:left="0" w:firstLine="0"/>
        <w:jc w:val="both"/>
        <w:rPr>
          <w:rFonts w:ascii="Times New Roman" w:eastAsia="Times New Roman" w:hAnsi="Times New Roman" w:cs="Times New Roman"/>
          <w:sz w:val="28"/>
          <w:szCs w:val="28"/>
        </w:rPr>
      </w:pPr>
      <w:r w:rsidRPr="00DE2D0E">
        <w:rPr>
          <w:rFonts w:ascii="Times New Roman" w:eastAsia="Times New Roman" w:hAnsi="Times New Roman" w:cs="Times New Roman"/>
          <w:sz w:val="28"/>
          <w:szCs w:val="28"/>
        </w:rPr>
        <w:t>принцип единства реализации Стратегии, означающий, что реализация Стратегии осуществляется с участием всего населения муниципального района;</w:t>
      </w:r>
    </w:p>
    <w:p w:rsidR="005E327B" w:rsidRPr="00DE2D0E" w:rsidRDefault="005E327B" w:rsidP="006D2568">
      <w:pPr>
        <w:pStyle w:val="af1"/>
        <w:numPr>
          <w:ilvl w:val="0"/>
          <w:numId w:val="18"/>
        </w:numPr>
        <w:spacing w:after="0" w:line="240" w:lineRule="auto"/>
        <w:ind w:left="0" w:firstLine="0"/>
        <w:jc w:val="both"/>
        <w:rPr>
          <w:rFonts w:ascii="Times New Roman" w:eastAsia="Times New Roman" w:hAnsi="Times New Roman" w:cs="Times New Roman"/>
          <w:sz w:val="28"/>
          <w:szCs w:val="28"/>
        </w:rPr>
      </w:pPr>
      <w:r w:rsidRPr="00DE2D0E">
        <w:rPr>
          <w:rFonts w:ascii="Times New Roman" w:eastAsia="Times New Roman" w:hAnsi="Times New Roman" w:cs="Times New Roman"/>
          <w:sz w:val="28"/>
          <w:szCs w:val="28"/>
        </w:rPr>
        <w:t>принцип подотчетности, означающий, что реализация Стратегии должна контролироваться и осуществляться согласно механизмам реализации и контроля.</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Основная ценность Стратегии заключается в том, что планомерная и четкая реализация стратегии позволяет ежедневно приближать муниципальный район к поставленным целям.</w:t>
      </w:r>
    </w:p>
    <w:p w:rsidR="005E327B" w:rsidRPr="00681E8B" w:rsidRDefault="005E327B" w:rsidP="006D2568">
      <w:pPr>
        <w:spacing w:after="0" w:line="240" w:lineRule="auto"/>
        <w:ind w:firstLine="709"/>
        <w:jc w:val="both"/>
        <w:rPr>
          <w:rFonts w:ascii="Times New Roman" w:eastAsia="Times New Roman" w:hAnsi="Times New Roman" w:cs="Times New Roman"/>
          <w:b/>
          <w:sz w:val="28"/>
          <w:szCs w:val="28"/>
        </w:rPr>
      </w:pPr>
      <w:r w:rsidRPr="00681E8B">
        <w:rPr>
          <w:rFonts w:ascii="Times New Roman" w:eastAsia="Times New Roman" w:hAnsi="Times New Roman" w:cs="Times New Roman"/>
          <w:b/>
          <w:sz w:val="28"/>
          <w:szCs w:val="28"/>
        </w:rPr>
        <w:t xml:space="preserve">Стратегия социально-экономического развития Бардымского муниципального района определяет основные направления развития района на долгосрочный период, является стратегическим документом района, определяющим основные ценности и приоритеты развития, цели и задачи развития, план действий по реализации поставленных целей, контроль по выполнению поставленных целей, оцифровку полученных результатов.   </w:t>
      </w:r>
    </w:p>
    <w:p w:rsidR="005E327B" w:rsidRPr="00153E07" w:rsidRDefault="005E327B" w:rsidP="00153E07">
      <w:pPr>
        <w:spacing w:after="0"/>
        <w:ind w:firstLine="709"/>
        <w:jc w:val="both"/>
        <w:rPr>
          <w:rFonts w:ascii="Times New Roman" w:eastAsia="Times New Roman" w:hAnsi="Times New Roman" w:cs="Times New Roman"/>
          <w:sz w:val="28"/>
          <w:szCs w:val="28"/>
        </w:rPr>
      </w:pPr>
    </w:p>
    <w:p w:rsidR="005E327B" w:rsidRPr="00153E07" w:rsidRDefault="005E327B" w:rsidP="00153E07">
      <w:pPr>
        <w:spacing w:after="0"/>
        <w:ind w:firstLine="709"/>
        <w:jc w:val="both"/>
        <w:rPr>
          <w:rFonts w:ascii="Times New Roman" w:eastAsia="Times New Roman" w:hAnsi="Times New Roman" w:cs="Times New Roman"/>
          <w:sz w:val="28"/>
          <w:szCs w:val="28"/>
        </w:rPr>
      </w:pPr>
    </w:p>
    <w:p w:rsidR="00DE2D0E" w:rsidRDefault="00DE2D0E">
      <w:pPr>
        <w:rPr>
          <w:rFonts w:ascii="Times New Roman" w:eastAsiaTheme="majorEastAsia" w:hAnsi="Times New Roman" w:cs="Times New Roman"/>
          <w:b/>
          <w:bCs/>
          <w:sz w:val="28"/>
          <w:szCs w:val="28"/>
        </w:rPr>
      </w:pPr>
      <w:bookmarkStart w:id="12" w:name="_Toc494124311"/>
      <w:r>
        <w:br w:type="page"/>
      </w:r>
    </w:p>
    <w:p w:rsidR="00153E07" w:rsidRDefault="00153E07" w:rsidP="006D2568">
      <w:pPr>
        <w:pStyle w:val="1"/>
        <w:spacing w:line="240" w:lineRule="auto"/>
      </w:pPr>
      <w:r w:rsidRPr="00153E07">
        <w:lastRenderedPageBreak/>
        <w:t>3 С</w:t>
      </w:r>
      <w:r w:rsidR="002F6162">
        <w:t xml:space="preserve">тратегия социально-экономического развития Бардымского муниципального района </w:t>
      </w:r>
    </w:p>
    <w:p w:rsidR="002F6162" w:rsidRPr="002F6162" w:rsidRDefault="002F6162" w:rsidP="006D2568">
      <w:pPr>
        <w:spacing w:line="240" w:lineRule="auto"/>
      </w:pPr>
    </w:p>
    <w:p w:rsidR="00153E07" w:rsidRDefault="00153E07" w:rsidP="006D2568">
      <w:pPr>
        <w:pStyle w:val="1"/>
        <w:numPr>
          <w:ilvl w:val="1"/>
          <w:numId w:val="7"/>
        </w:numPr>
        <w:spacing w:line="240" w:lineRule="auto"/>
      </w:pPr>
      <w:r w:rsidRPr="00153E07">
        <w:t>Анализ сложившихся тенденций и проблем в экономике и социальной и демографической сфере Бардымского муниципального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Бардымский муниципальный район включает в себя 12 сельских поселений, из них 1 сельское поселение относится к группе крупных поселений, 8 – к группе больших сельских поселений и 3 классифицируются как средние сельские поселения. Городские поселения в муниципальном районе отсутствуют.</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Проблемами развития пространственной территории являются высокая доля мелких населенных пунктов, труднодоступность некоторых из них, и, как следствие, высокие затраты на проведение коммуникаций (водо- и газоснабжение, телефонную связь и интернет) в населенные пункты и поддержание необходимого в них уровня инфраструктуры. Также, большое значение для пространственного развития территорий имеет развитие дорожной сети местного значения. На текущий период времени плотность дорог Бардымского муниципального района на 56% лучше среднерегионального значения.</w:t>
      </w:r>
      <w:r w:rsidR="008B24F0">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Протяженность автодорог общего пользования в Бардымском районе, находящихся в собственности муниципального образования в 2016 году составляла 649,5 км. из них с твердым покрытием 603,3 км., что составляет 93% от общей протяженности автодорог.</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сфере градостроительства и инженерной инфраструктуры также наблюдаются положительные тенденции. Так, увеличивается ввод жилья на территории района. Генеральными планами сельских поселений предусмотрен отвод земель под селитебные территории.</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Программами социально-экономического развития сельских поселений предусмотрена газификация населенных пунктов, обеспечение телефонной связью и интернетом. Проблемой медленного развития инженерной инфраструктуры в Бардымском муниципальном районе выступает невысокий объем доходов бюджета для обеспечения программ развития сельских поселений.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Бардымском муниципальном районе в течение анализируемого периода времени социально-экономическая ситуация характеризуется как стабильная.</w:t>
      </w:r>
      <w:r w:rsidRPr="00153E07">
        <w:rPr>
          <w:rStyle w:val="aff2"/>
          <w:rFonts w:ascii="Times New Roman" w:eastAsia="Times New Roman" w:hAnsi="Times New Roman" w:cs="Times New Roman"/>
          <w:sz w:val="28"/>
          <w:szCs w:val="28"/>
        </w:rPr>
        <w:footnoteReference w:id="7"/>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При этом, сокращение численности трудоспособного населения оказывает большее влияние на производительность труда, чем прирост объема производства.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Для социальной сферы Бардымского муниципального района характерно ухудшение демографической ситуации.</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Факторами, определяющими сокращения численности населения района, являются показатели сферы здравоохранения, а именно: смертности от заболеваний и от внешних причин; а также</w:t>
      </w:r>
      <w:r w:rsidR="008B24F0">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xml:space="preserve">миграционный отток населения по социальным причинам.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Сравнивая значения статистического и похозяйственного учета, были выявлены показатели маятниковой миграции по причинам работы и учебы за пределами района, благодаря чему можно сделать вывод, что критическими </w:t>
      </w:r>
      <w:r w:rsidRPr="00153E07">
        <w:rPr>
          <w:rFonts w:ascii="Times New Roman" w:eastAsia="Times New Roman" w:hAnsi="Times New Roman" w:cs="Times New Roman"/>
          <w:sz w:val="28"/>
          <w:szCs w:val="28"/>
        </w:rPr>
        <w:lastRenderedPageBreak/>
        <w:t>годами были 2012-2013 годы. В последующие годы ситуация незначительно стабилизировалась, сократился отток населения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hAnsi="Times New Roman" w:cs="Times New Roman"/>
          <w:sz w:val="28"/>
          <w:szCs w:val="28"/>
        </w:rPr>
        <w:t>В сфере образования наблюдается недостаточность квалифицированных кадров в малокомплектных высокозатратных основных школах (учителей русского языка и литературы, начальных классов, физической культуры, английского языка, физики). Крупные средние школы района нуждаются в специалистах узкого профиля – в хореографах, музыкальных руководителях. Бардымская СОШ №2 обучает детей в две смены; требуется строительство новых школ в с.Тюндюк и с.Брюзли.</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сфере здравоохранения общая заболеваемость населения имеет динамику роста при сокращении общей численности населения в течение 2011- 2016 годов.</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Основной прирост произошел по следующим группам заболеваний: онкология, заболевания кожи и подкожной клетчатки, органов дыхания, травмы, отравления и последствия внешних причин, в числе которых большую долю составляют суициды в состоянии алкогольного опьянения.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Кроме того, расположение на территории Бардымского муниципального района сибиреязвенных скотомогильников, даже при условии соблюдения санитарных норм при их содержании, не дает уверенности в том, что они не приносят вреда здоровью населения района, так как невозможно достигнуть 100% изоляцию от жизнедеятельности человека.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Споры сибирской язвы жизнеспособны в течение нескольких сотен лет, а наличие на территории района большого количества водных объектов может способствовать заражению населения.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Одной из основных проблем в экологической сфере района является неграмотность населения в данном направлении, так как существует проблема ограничения населения района от сбора ягод, грибов и отдыха в районе скотомогильников, соблюдения санитарных норм и требований и др.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Помимо невысокого уровня экологической грамотности населения, в сфере экологии крупной проблемой являются выбросы в атмосферу загрязняющих веществ от стационарных источников, в частности нефтедобывающих и нефтеперерабатывающих предприятий.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Еще одной проблемой в сфере экологии выступает отсутствие предприятий по переработке и утилизации бытовых отходов. В Бардымском муниципальном районе запланировано строительство мусороперегрузочной станции в районе села Барда, однако до настоящего времени данный объект не построен по причине отсутствия денежных средств в бюджете.</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сфере культуры Бардымского муниципального района отмечены следующие проблемы:</w:t>
      </w:r>
      <w:r w:rsidR="008B24F0">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устаревание библиотечного фонда, низкая скорость его обновления.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Развитию спорта в районе и вовлеченности молодежи</w:t>
      </w:r>
      <w:r w:rsidR="008B24F0">
        <w:rPr>
          <w:rFonts w:ascii="Times New Roman" w:eastAsia="Times New Roman" w:hAnsi="Times New Roman" w:cs="Times New Roman"/>
          <w:sz w:val="28"/>
          <w:szCs w:val="28"/>
        </w:rPr>
        <w:t xml:space="preserve"> в спортивные мероприятия </w:t>
      </w:r>
      <w:r w:rsidRPr="00153E07">
        <w:rPr>
          <w:rFonts w:ascii="Times New Roman" w:eastAsia="Times New Roman" w:hAnsi="Times New Roman" w:cs="Times New Roman"/>
          <w:sz w:val="28"/>
          <w:szCs w:val="28"/>
        </w:rPr>
        <w:t>в настоящее время препятствует</w:t>
      </w:r>
      <w:r w:rsidR="008B24F0">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недостаток спортивных залов и сооружений.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Туризм в Бардымском муниципальном районе развит недостаточно. Наиболее популярными видами туризма в районе выступают спортивный туризм и рекреационный.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Основными проблемами в сфере развития туризма являются недостаточно развитая туристская инфраструктура, отсутствие разработанных туристических маршрутов, недостаток информационных материалов об объектах показа.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Показатели социальной защиты населения свидетельствуют о приросте пенсионеров и увеличении их доли в общей численности населения района, и, как следствие, росте демографической нагрузки на трудоспособное население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Средний размер пенсий ежегодно увеличивается, однако индексация пенсий не превышает среднегодового уровня инфляции за тот же период времени.</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Доход Бардымского муниципального района в 2016 году составил 696,57 млн. руб., показав поступательную динамику и увеличив капитализацию доходной части на 3,5% по сравнению с годом ранее.</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Наибольшая доля основного капитала в Бардымском районе была проинвестирована частными инвесторами в 2013 году (90,9%). Однако, в последующие годы доля частных инвестиций в основной капитал сократилась из-за увеличения притока вложений за счет бюджетных средств. На конец 2016 года доля инвестиций за счет бюджетных средств увеличилась до 36,2% с 9,1% в 2013 году.</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Бюджет по расходам муниципального района не был исполнен в сфере жилищно-коммунального хозяйства, национальной экономики, образования, спорта и физической культуры, общих вопросов, социальной политики, здравоохранения в течение всего анализируемого периода. Расходы по статье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Средства массовой информации</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не были исполнены только в 2012 году.</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Исполненные расходы бюджета являются наиболее близкими к плановым показателям в сфере национальной безопасности и абсолютно исполненными в сфере СМИ.</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Основными видами деятельности в Бардымском муниципальном районе выступают сельское хозяйство, предпринимательство, торговля и общественное питание, добыча и переработка нефти, строительство. Дифференциация производства практически отсутствует. В Бардымском муниципальном районе недостаточное количество предприятий по переработке продукции сельского хозяйства.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преобладающей отрасли – сельском хозяйстве - наблюдается положительная тенденция роста объемов продукции собственного производства благодаря стимулированию производителей сельскохозяйственной продукции.</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Наличие производственных, социальных связей с г. Пермь, оказывают влияние на социально-экономическое развитие муниципального района, что отражается на повышении уровня инвестиционной привлекательности территории и развитии градостроительной сферы. Развитие социально-экономического комплекса Бардымского муниципального района неразрывно связано с развитием Перми. Влияние данного фактора носит комплексное влияние на развитие и хозяйственное освоение территории.</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условиях современных требований к уровню социальных услуг и производственному процессу сохраняются кадровые проблемы по количеству и качеству трудовых ресурсов.</w:t>
      </w:r>
    </w:p>
    <w:p w:rsidR="00153E07" w:rsidRPr="00153E07" w:rsidRDefault="00153E07" w:rsidP="006D2568">
      <w:pPr>
        <w:spacing w:line="240" w:lineRule="auto"/>
        <w:jc w:val="both"/>
        <w:rPr>
          <w:rFonts w:ascii="Times New Roman" w:hAnsi="Times New Roman" w:cs="Times New Roman"/>
          <w:sz w:val="28"/>
          <w:szCs w:val="28"/>
        </w:rPr>
      </w:pPr>
    </w:p>
    <w:p w:rsidR="00153E07" w:rsidRPr="00153E07" w:rsidRDefault="00153E07" w:rsidP="006D2568">
      <w:pPr>
        <w:pStyle w:val="1"/>
        <w:numPr>
          <w:ilvl w:val="1"/>
          <w:numId w:val="7"/>
        </w:numPr>
        <w:spacing w:line="240" w:lineRule="auto"/>
      </w:pPr>
      <w:r w:rsidRPr="00153E07">
        <w:lastRenderedPageBreak/>
        <w:t>Риски и ограничения развития Бардымского муниципального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Существенным фактором, ограничивающим производственный потенциал Бардымского муниципального района, является принадлежность ресурсов, расположенных на территории района соседним муниципальным образованиям. </w:t>
      </w:r>
      <w:r w:rsidR="007555CD">
        <w:rPr>
          <w:rFonts w:ascii="Times New Roman" w:eastAsia="Times New Roman" w:hAnsi="Times New Roman" w:cs="Times New Roman"/>
          <w:sz w:val="28"/>
          <w:szCs w:val="28"/>
        </w:rPr>
        <w:tab/>
      </w:r>
      <w:r w:rsidRPr="00153E07">
        <w:rPr>
          <w:rFonts w:ascii="Times New Roman" w:eastAsia="Times New Roman" w:hAnsi="Times New Roman" w:cs="Times New Roman"/>
          <w:sz w:val="28"/>
          <w:szCs w:val="28"/>
        </w:rPr>
        <w:t>Нефтяные месторождения, расположенные на территории Бардымского района разрабатываются предприятиями соседних муниципальных районов. Таким образом, доходы от данной</w:t>
      </w:r>
      <w:r w:rsidR="008B24F0">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деятельности пополняют их бюджет. Большая доля сельскохозяйственной продукции также перерабатывается в соседних муниципальных районах.</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Отсутствие компенсирующих отраслей народного хозяйства в Бардымском районе ведет к риску недополучения прибыли. Природные явления, например, засуха, приводят к убыткам в сфере сельского хозяйства, которое наиболее развито в Бардымском муниципальном районе. При этом недостаток промышленных и обрабатывающих производств и предприятий в других отраслях экономики ведет к невозможности формирования резерва для финансирования дотационных отраслей.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Отдаленность от железнодорожных сообщений увеличивает затраты на доставку отсутствующих в районе ресурсов, сырья, а также сбыт продукции собственного производства, что провоцирует увеличение себестоимости производимых товаров.</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Также в районе недостаточно развита система продвижения сельскохозяйственной продукции ЛПХ и КФХ на товарные рынки региона и соседних областей.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Низкий уровень производительности труда связан с отсутствием в Бардымском муниципальном районе опытных высококвалифицированных специалистов для села. Также на производительность труда и объем производства продукции большое влияние оказывает изношенность основных производственных фондов, низкий уровень внедрения инновационных технологий в сельскохозяйственном производстве.</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Отсутствие крупных проектов приводит к недостатку инвестиций в экономику Бардымского муниципального района и нивелированию существующего социально-экономического потенциала муниципального образования.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Важной социальной проблемой является проблема строительства водопроводных сетей, дорог, линий электропередач, уличного освещения, газификации вследствие отсутствия свободных бюджетных ресурсов для реализации мероприятий по территориальному развитию.</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Одним из главных факторов, влияющих на развитие экономики муниципального района, является ухудшение демографической ситуации: наличие естественного оттока населения, старение населения и, как следствие, сокращение населения трудоспособного возраста.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Слабое развитие социальной инфраструктуры в большей части территории Бардымского муниципального района сдерживает инвестирование и создание новых рабочих мест.</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 xml:space="preserve">Наличие на территории Бардымского муниципального района месторождений добычи нефти и газа несет в себе экологические риски, так как в нефтеперерабатывающей отрасли 80% выбросов в атмосферу составляют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парниковые</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газы: метан и другие летучие органические соединения, имеющие 1-4 классы опасности, что в свою очередь влияет на заболеваемость населения.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Ограничивающим фактором для развития туристической отрасли является недостаточно развитая туристская инфраструктура для приема гостей и туристов, отсутствие разработанных туров и маршрутов, недостаток информации о туристических объектах.</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Таким образом, основные риски и ограничения Бардымского муниципального района аккумулируются в следующих формациях: ухудшение демографических показателей, слабое финансирование предприятий реального сектора экономики и муниципальных финансов, отсутствие компенсирующих отраслей народного хозяйства района.</w:t>
      </w:r>
    </w:p>
    <w:p w:rsidR="00153E07" w:rsidRPr="00153E07" w:rsidRDefault="00153E07" w:rsidP="006D2568">
      <w:pPr>
        <w:spacing w:line="240" w:lineRule="auto"/>
        <w:jc w:val="both"/>
        <w:rPr>
          <w:rFonts w:ascii="Times New Roman" w:hAnsi="Times New Roman" w:cs="Times New Roman"/>
          <w:sz w:val="28"/>
          <w:szCs w:val="28"/>
        </w:rPr>
      </w:pPr>
    </w:p>
    <w:p w:rsidR="00153E07" w:rsidRPr="00153E07" w:rsidRDefault="00153E07" w:rsidP="006D2568">
      <w:pPr>
        <w:pStyle w:val="1"/>
        <w:numPr>
          <w:ilvl w:val="1"/>
          <w:numId w:val="7"/>
        </w:numPr>
        <w:spacing w:line="240" w:lineRule="auto"/>
      </w:pPr>
      <w:r w:rsidRPr="00153E07">
        <w:t>Факторы, определяющие развитие экономики Бардымского муниципального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развитие социально-экономической ситуации в Бардымском муниципальном районе оказывают влияние внешние и внутренние факторы.</w:t>
      </w:r>
    </w:p>
    <w:p w:rsidR="00153E07" w:rsidRPr="008B24F0" w:rsidRDefault="00153E07" w:rsidP="006D2568">
      <w:pPr>
        <w:spacing w:after="0" w:line="240" w:lineRule="auto"/>
        <w:ind w:firstLine="709"/>
        <w:jc w:val="both"/>
        <w:rPr>
          <w:rFonts w:ascii="Times New Roman" w:eastAsia="Times New Roman" w:hAnsi="Times New Roman" w:cs="Times New Roman"/>
          <w:b/>
          <w:sz w:val="28"/>
          <w:szCs w:val="28"/>
        </w:rPr>
      </w:pPr>
      <w:r w:rsidRPr="008B24F0">
        <w:rPr>
          <w:rFonts w:ascii="Times New Roman" w:eastAsia="Times New Roman" w:hAnsi="Times New Roman" w:cs="Times New Roman"/>
          <w:b/>
          <w:sz w:val="28"/>
          <w:szCs w:val="28"/>
        </w:rPr>
        <w:t>К внешним факторам относятся:</w:t>
      </w:r>
    </w:p>
    <w:p w:rsidR="00153E07" w:rsidRPr="00153E07" w:rsidRDefault="008B24F0" w:rsidP="006D2568">
      <w:pPr>
        <w:pStyle w:val="af1"/>
        <w:numPr>
          <w:ilvl w:val="0"/>
          <w:numId w:val="9"/>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153E07" w:rsidRPr="00153E07">
        <w:rPr>
          <w:rFonts w:ascii="Times New Roman" w:eastAsia="Times New Roman" w:hAnsi="Times New Roman" w:cs="Times New Roman"/>
          <w:sz w:val="28"/>
          <w:szCs w:val="28"/>
        </w:rPr>
        <w:t>риродно-климатические условия;</w:t>
      </w:r>
    </w:p>
    <w:p w:rsidR="00153E07" w:rsidRPr="00153E07" w:rsidRDefault="008B24F0" w:rsidP="006D2568">
      <w:pPr>
        <w:pStyle w:val="af1"/>
        <w:numPr>
          <w:ilvl w:val="0"/>
          <w:numId w:val="9"/>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153E07" w:rsidRPr="00153E07">
        <w:rPr>
          <w:rFonts w:ascii="Times New Roman" w:eastAsia="Times New Roman" w:hAnsi="Times New Roman" w:cs="Times New Roman"/>
          <w:sz w:val="28"/>
          <w:szCs w:val="28"/>
        </w:rPr>
        <w:t>ранспортная доступность муниципального района;</w:t>
      </w:r>
    </w:p>
    <w:p w:rsidR="00153E07" w:rsidRPr="00153E07" w:rsidRDefault="008B24F0" w:rsidP="006D2568">
      <w:pPr>
        <w:pStyle w:val="af1"/>
        <w:numPr>
          <w:ilvl w:val="0"/>
          <w:numId w:val="9"/>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153E07" w:rsidRPr="00153E07">
        <w:rPr>
          <w:rFonts w:ascii="Times New Roman" w:eastAsia="Times New Roman" w:hAnsi="Times New Roman" w:cs="Times New Roman"/>
          <w:sz w:val="28"/>
          <w:szCs w:val="28"/>
        </w:rPr>
        <w:t>лизость к региональному центру – г. Пермь.</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8B24F0">
        <w:rPr>
          <w:rFonts w:ascii="Times New Roman" w:eastAsia="Times New Roman" w:hAnsi="Times New Roman" w:cs="Times New Roman"/>
          <w:b/>
          <w:sz w:val="28"/>
          <w:szCs w:val="28"/>
        </w:rPr>
        <w:t>Внутренними факторами</w:t>
      </w:r>
      <w:r w:rsidRPr="00153E07">
        <w:rPr>
          <w:rFonts w:ascii="Times New Roman" w:eastAsia="Times New Roman" w:hAnsi="Times New Roman" w:cs="Times New Roman"/>
          <w:sz w:val="28"/>
          <w:szCs w:val="28"/>
        </w:rPr>
        <w:t xml:space="preserve">, определяющими развитие Бардымского муниципального района, являются: </w:t>
      </w:r>
    </w:p>
    <w:p w:rsidR="00153E07" w:rsidRPr="00153E07" w:rsidRDefault="008B24F0" w:rsidP="006D2568">
      <w:pPr>
        <w:pStyle w:val="af1"/>
        <w:numPr>
          <w:ilvl w:val="0"/>
          <w:numId w:val="9"/>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153E07" w:rsidRPr="00153E07">
        <w:rPr>
          <w:rFonts w:ascii="Times New Roman" w:eastAsia="Times New Roman" w:hAnsi="Times New Roman" w:cs="Times New Roman"/>
          <w:sz w:val="28"/>
          <w:szCs w:val="28"/>
        </w:rPr>
        <w:t>емографическое положение в муниципальном районе;</w:t>
      </w:r>
    </w:p>
    <w:p w:rsidR="00153E07" w:rsidRPr="00153E07" w:rsidRDefault="008B24F0" w:rsidP="006D2568">
      <w:pPr>
        <w:pStyle w:val="af1"/>
        <w:numPr>
          <w:ilvl w:val="0"/>
          <w:numId w:val="9"/>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153E07" w:rsidRPr="00153E07">
        <w:rPr>
          <w:rFonts w:ascii="Times New Roman" w:eastAsia="Times New Roman" w:hAnsi="Times New Roman" w:cs="Times New Roman"/>
          <w:sz w:val="28"/>
          <w:szCs w:val="28"/>
        </w:rPr>
        <w:t>аличие производственных предприятий;</w:t>
      </w:r>
    </w:p>
    <w:p w:rsidR="00153E07" w:rsidRPr="00153E07" w:rsidRDefault="008B24F0" w:rsidP="006D2568">
      <w:pPr>
        <w:pStyle w:val="af1"/>
        <w:numPr>
          <w:ilvl w:val="0"/>
          <w:numId w:val="9"/>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153E07" w:rsidRPr="00153E07">
        <w:rPr>
          <w:rFonts w:ascii="Times New Roman" w:eastAsia="Times New Roman" w:hAnsi="Times New Roman" w:cs="Times New Roman"/>
          <w:sz w:val="28"/>
          <w:szCs w:val="28"/>
        </w:rPr>
        <w:t>аличие ресурсов для развития муниципального района;</w:t>
      </w:r>
    </w:p>
    <w:p w:rsidR="00153E07" w:rsidRPr="00153E07" w:rsidRDefault="008B24F0" w:rsidP="006D2568">
      <w:pPr>
        <w:pStyle w:val="af1"/>
        <w:numPr>
          <w:ilvl w:val="0"/>
          <w:numId w:val="9"/>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153E07" w:rsidRPr="00153E07">
        <w:rPr>
          <w:rFonts w:ascii="Times New Roman" w:eastAsia="Times New Roman" w:hAnsi="Times New Roman" w:cs="Times New Roman"/>
          <w:sz w:val="28"/>
          <w:szCs w:val="28"/>
        </w:rPr>
        <w:t>бъем инвестиций.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Бардымском муниципальном районе умеренно-континентальный климат, с широкой амплитудой температур в течение года. Зима в Бардымском районе продолжительная и </w:t>
      </w:r>
      <w:r w:rsidR="00F25E88">
        <w:rPr>
          <w:rFonts w:ascii="Times New Roman" w:eastAsia="Times New Roman" w:hAnsi="Times New Roman" w:cs="Times New Roman"/>
          <w:sz w:val="28"/>
          <w:szCs w:val="28"/>
        </w:rPr>
        <w:t>с большим количеством осадков</w:t>
      </w:r>
      <w:r w:rsidRPr="00153E07">
        <w:rPr>
          <w:rFonts w:ascii="Times New Roman" w:eastAsia="Times New Roman" w:hAnsi="Times New Roman" w:cs="Times New Roman"/>
          <w:sz w:val="28"/>
          <w:szCs w:val="28"/>
        </w:rPr>
        <w:t xml:space="preserve">, а лето – сравнительно короткое и умеренно-теплое. На формирование климата района оказывает влияние давление воздуха в течение всего года. Среднее давление воздуха в Бардымском муниципальном районе выше среднекраевого значения.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течение года в районе преобладают южные, юго-западные и западные ветры. В составе почвенного покрова Бардымского муниципального района преобладают дерново-подзолистые, глинистые и суглинистые почвы, в которых присутствует более развитый гумусовый горизонт. Данные почвы относятся к высоким плодородным почвам.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Природно-климатические условия Бардымского муниципального района считаются удовлетворительными для развития сельского хозяйства с учетом минерализации почвы.</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Нельзя оставить без внимания природно-энергетический фактор. Богатство топливно-энергетическими ресурсами позволяет вести добычу нефти и газа. </w:t>
      </w:r>
      <w:r w:rsidRPr="00153E07">
        <w:rPr>
          <w:rFonts w:ascii="Times New Roman" w:eastAsia="Times New Roman" w:hAnsi="Times New Roman" w:cs="Times New Roman"/>
          <w:sz w:val="28"/>
          <w:szCs w:val="28"/>
        </w:rPr>
        <w:lastRenderedPageBreak/>
        <w:t xml:space="preserve">Однако, необходимо учитывать, что помимо потенциала региона существует экономический фактор. А именно, уровень самостоятельности в распоряжении природными богатствами.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Помимо климатических условий, которые определяют размещение производств, немаловажен фактор обеспечения экологической безопасности.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Гидрогеологические условия Бардымского муниципального района благоприятны для накопления и использования ресурсов пресных подземных вод, организации хозяйственно-питьевого водоснабжения большинства населенных пунктов.</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Таким образом, климатические и агроклиматические ресурсы играют важную роль в развитии экономики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Торговые отношения увеличивают значимость транспортной доступности муниципального района.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схеме территориального планирования Пермского края предполагается восстановление в Бардымском муниципальном районе местной авиалинии, что дает дополнительные конкурентные преимущества муниципальному району.</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Близость к региональному центру – городу Пермь – также дает Бардымскому району преимущества. Бардымский муниципальный район расположен в 157 километрах от краевого центра, что позволяет налаживать социальные и экономические связи с краевым центром, а также увеличивает инвестиционную привлекательность муниципального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Демографическое положение в настоящее время в Бардымском муниципальном районе неутешительно. Наблюдается сокращение численности населения, в частности, трудоспособного, увеличение числа пенсионеров, рост демографической нагрузки, высокая смертность среди мужчин и трудоспособного населения в целом, а также миграционный отток.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Данная ситуация стала изменяться в сторону улучшения с введением целевых программ, стимулирующих рост рождаемости за счет предоставления жилья молодым семьям. Так, в последние годы наблюдается прирост числа детей в возрасте от 0 до 6 лет.</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Кроме того, жилье предоставляют молодым квалифицированным специалистам с целью привлечения и удержания их в Бардымском муниципальном районе.</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Уровень развития экономики района также зависит от наличия, диверсификации, уровня инвестиционной привлекательности, технологических инноваций базовых отраслейэкономики муниципального района. Бардымский муниципальный район имеет сельскохозяйственную специализацию, благодаря чему существует возможность применения кластерного подхода в развитии агропромышленного комплекса.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Применение кластерного подхода подразумевает под собой присвоение Бардымскому муниципальному району статуса особой экономической зоны.</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соответствии с Федеральным законом № 116 от 22.07.20015г.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Об особых экономических зонах в Российской Федерации</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существует 4 типа особых экономических зон:</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 промышленно-производственные особые экономические зоны;</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2) технико-внедренческие особые экономические зоны;</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3) туристско-рекреационные особые экономические зоны;</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4) портовые особые экономические зоны.</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Промышленно-производственные особые экономические зоны создаются на участках территории, площадь которых составляет не более чем 40 кв.км. Технико-внедренческие особые экономические зоны создаются на участках территории, общая площадь которых составляет не более чем 4 кв.км. Туристско-рекреационные особые экономические зоны особые экономические зоны создаются на одном или нескольких участках территории.</w:t>
      </w:r>
      <w:r w:rsidRPr="00153E07">
        <w:rPr>
          <w:rStyle w:val="aff2"/>
          <w:rFonts w:ascii="Times New Roman" w:eastAsia="Times New Roman" w:hAnsi="Times New Roman" w:cs="Times New Roman"/>
          <w:sz w:val="28"/>
          <w:szCs w:val="28"/>
        </w:rPr>
        <w:footnoteReference w:id="8"/>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территории Бардымского муниципального района возможно создание промышленно – производственной, технико-внедренческой и туристско-рекреационной особых экономических зон.</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t>В пределах промышленно-производственной особой</w:t>
      </w:r>
      <w:r w:rsidRPr="00153E07">
        <w:rPr>
          <w:rFonts w:ascii="Times New Roman" w:eastAsia="Times New Roman" w:hAnsi="Times New Roman" w:cs="Times New Roman"/>
          <w:sz w:val="28"/>
          <w:szCs w:val="28"/>
        </w:rPr>
        <w:t xml:space="preserve"> экономической зоны возможно не только производство сельскохозяйственной продукции, но и ее переработка (переработка в сфере растениеводства, животноводства и рыбоводства, организация хранилищ сельскохозяйственной продукции, пчеловодство, овощеводство), а также производство вспомогательных расходных материалов для развития сельского хозяйства (например, удобрений).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 промышленно-производственнойособой экономической зоне также относятся обрабатывающие производства: лесообрабатывающие производства, производства строительных материалов и т.п.</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Ресурсный потенциал Бардымского муниципального района характеризуется наличием на территории муниципального образования минерально-сырьевых месторождений, которые могут быть использованы для производства продукции, как для собственного использования, так и для реализации на внешние товарные рынки.</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 благодаря наличию на территории района месторождений красных глин возможно производство полнотелого кирпича и развитие гончарного ремесла. Наличие месторождений песчано-гравийных смесей и песка позволяет создавать производства по их переработке и производству строительных смесей и материалов. Наличие месторождений известкового туфа позволяет производить облицовочную плитку и минеральные удобрения. Разработка данных месторождений дает возможность Бардымскому муниципальному району применять продукцию собственного производства в жилищном и промышленном строительстве, которое в настоящее время интенсивно ведется на территории муниципального района, по более низкой себестоимости, чем импортируемую из соседних регионов. Кроме того, у предпринимателей Бардымского района открывается возможность выхода на внешние рынки со своей продукцией и расширение рынков сбыта.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пределах кластерного подхода в Бардымском муниципальном районе возможно развитие селекционной индустрии, так, например, картофель, выращиваемый в районе, известен на весь Пермский край. Данная деятельность возможна на территории </w:t>
      </w:r>
      <w:r w:rsidRPr="00153E07">
        <w:rPr>
          <w:rFonts w:ascii="Times New Roman" w:eastAsia="Times New Roman" w:hAnsi="Times New Roman" w:cs="Times New Roman"/>
          <w:b/>
          <w:sz w:val="28"/>
          <w:szCs w:val="28"/>
        </w:rPr>
        <w:t>технико-внедренческой особой экономической зоны</w:t>
      </w:r>
      <w:r w:rsidRPr="00153E07">
        <w:rPr>
          <w:rFonts w:ascii="Times New Roman" w:eastAsia="Times New Roman" w:hAnsi="Times New Roman" w:cs="Times New Roman"/>
          <w:sz w:val="28"/>
          <w:szCs w:val="28"/>
        </w:rPr>
        <w:t>.</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 xml:space="preserve">Кроме того, Бардымский муниципальный район обладает туристским потенциалом, благодаря чему возможно создание </w:t>
      </w:r>
      <w:r w:rsidRPr="00153E07">
        <w:rPr>
          <w:rFonts w:ascii="Times New Roman" w:eastAsia="Times New Roman" w:hAnsi="Times New Roman" w:cs="Times New Roman"/>
          <w:b/>
          <w:sz w:val="28"/>
          <w:szCs w:val="28"/>
        </w:rPr>
        <w:t>туристско-рекреационной особой экономической зоны</w:t>
      </w:r>
      <w:r w:rsidRPr="00153E07">
        <w:rPr>
          <w:rFonts w:ascii="Times New Roman" w:eastAsia="Times New Roman" w:hAnsi="Times New Roman" w:cs="Times New Roman"/>
          <w:sz w:val="28"/>
          <w:szCs w:val="28"/>
        </w:rPr>
        <w:t xml:space="preserve">.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Таким образом, можно говорить о создании комплексной экономической зоны на территории Бардымского муниципального района, т.е. присвоению Бардымскому муниципальному району статуса особой экономической зоны с целью предоставления льгот всем или почти всем предпринимателям для поддержки данного муниципального образования.</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sz w:val="28"/>
          <w:szCs w:val="28"/>
        </w:rPr>
        <w:t xml:space="preserve">Согласно </w:t>
      </w:r>
      <w:r w:rsidRPr="00153E07">
        <w:rPr>
          <w:rFonts w:ascii="Times New Roman" w:eastAsia="Times New Roman" w:hAnsi="Times New Roman" w:cs="Times New Roman"/>
          <w:bCs/>
          <w:sz w:val="28"/>
          <w:szCs w:val="28"/>
        </w:rPr>
        <w:t xml:space="preserve">Федеральному закону № 116-ФЗ от 22.07.2005г. </w:t>
      </w:r>
      <w:r w:rsidR="00DE2D0E">
        <w:rPr>
          <w:rFonts w:ascii="Times New Roman" w:eastAsia="Times New Roman" w:hAnsi="Times New Roman" w:cs="Times New Roman"/>
          <w:bCs/>
          <w:sz w:val="28"/>
          <w:szCs w:val="28"/>
        </w:rPr>
        <w:t>«</w:t>
      </w:r>
      <w:r w:rsidRPr="00153E07">
        <w:rPr>
          <w:rFonts w:ascii="Times New Roman" w:eastAsia="Times New Roman" w:hAnsi="Times New Roman" w:cs="Times New Roman"/>
          <w:bCs/>
          <w:sz w:val="28"/>
          <w:szCs w:val="28"/>
        </w:rPr>
        <w:t>Об особых экономических зонах в Российской Федерации</w:t>
      </w:r>
      <w:r w:rsidR="00DE2D0E">
        <w:rPr>
          <w:rFonts w:ascii="Times New Roman" w:eastAsia="Times New Roman" w:hAnsi="Times New Roman" w:cs="Times New Roman"/>
          <w:bCs/>
          <w:sz w:val="28"/>
          <w:szCs w:val="28"/>
        </w:rPr>
        <w:t>»</w:t>
      </w:r>
      <w:r w:rsidRPr="00153E07">
        <w:rPr>
          <w:rFonts w:ascii="Times New Roman" w:eastAsia="Times New Roman" w:hAnsi="Times New Roman" w:cs="Times New Roman"/>
          <w:bCs/>
          <w:sz w:val="28"/>
          <w:szCs w:val="28"/>
        </w:rPr>
        <w:t xml:space="preserve"> решение о создании особой экономической зоны на территории муниципального образования принимается Правительством Российской Федерации исходя из критериев создания особой экономической зоны.</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Основными критериями создания особой экономической зоны являются:</w:t>
      </w:r>
      <w:r w:rsidRPr="00153E07">
        <w:rPr>
          <w:rStyle w:val="aff2"/>
          <w:rFonts w:ascii="Times New Roman" w:eastAsia="Times New Roman" w:hAnsi="Times New Roman" w:cs="Times New Roman"/>
          <w:bCs/>
          <w:sz w:val="28"/>
          <w:szCs w:val="28"/>
        </w:rPr>
        <w:footnoteReference w:id="9"/>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1. Наличие естественных экономико-географических конкурентных преимуществ для реализации инвестиционных проектов, соответствующих специализации предполагаемой к созданию особой экономической зоны.</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 xml:space="preserve">2. Соответствие целей создания особой экономической зоны следующим документам стратегического планирования в соответствии с Федеральным законом </w:t>
      </w:r>
      <w:r w:rsidR="00DE2D0E">
        <w:rPr>
          <w:rFonts w:ascii="Times New Roman" w:eastAsia="Times New Roman" w:hAnsi="Times New Roman" w:cs="Times New Roman"/>
          <w:bCs/>
          <w:sz w:val="28"/>
          <w:szCs w:val="28"/>
        </w:rPr>
        <w:t>«</w:t>
      </w:r>
      <w:r w:rsidRPr="00153E07">
        <w:rPr>
          <w:rFonts w:ascii="Times New Roman" w:eastAsia="Times New Roman" w:hAnsi="Times New Roman" w:cs="Times New Roman"/>
          <w:bCs/>
          <w:sz w:val="28"/>
          <w:szCs w:val="28"/>
        </w:rPr>
        <w:t>О стратегическом планировании в Российской Федерации</w:t>
      </w:r>
      <w:r w:rsidR="00DE2D0E">
        <w:rPr>
          <w:rFonts w:ascii="Times New Roman" w:eastAsia="Times New Roman" w:hAnsi="Times New Roman" w:cs="Times New Roman"/>
          <w:bCs/>
          <w:sz w:val="28"/>
          <w:szCs w:val="28"/>
        </w:rPr>
        <w:t>»</w:t>
      </w:r>
      <w:r w:rsidRPr="00153E07">
        <w:rPr>
          <w:rFonts w:ascii="Times New Roman" w:eastAsia="Times New Roman" w:hAnsi="Times New Roman" w:cs="Times New Roman"/>
          <w:bCs/>
          <w:sz w:val="28"/>
          <w:szCs w:val="28"/>
        </w:rPr>
        <w:t>:стратегия социально-экономического развития Российской Федерации;стратегия национальной безопасности Российской Федерации;отраслевые документы стратегического планирования Российской Федерации;стратегия научно-технологического развития Российской Федерации;стратегия пространственного развития Российской Федерации;стратегии социально-экономического развития макрорегионов;государственные программы Российской Федерации;стратегии социально-экономического развития субъектов Российской Федерации;государственные программы субъектов Российской Федерации;схемы территориального планирования субъекта Российской Федерации.</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3. Прогнозная положительная динамика (включая обоснование) роста объемов дополнительных доходов, поступающих в федеральный бюджет, бюджет субъекта Российской Федерации, на территории которого предполагается создание особой экономической зоны, а также в местный бюджет в связи с созданием и функционированием особой экономической зоны.</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4. Наличие инвестиционных проектов (включая их финансово-экономические показатели) и потенциальных инвесторов, подтвердивших в письменной форме готовность реализовать эти проекты на территории предполагаемой к созданию особой экономической зоны, с объемом запланированных инвестиций накопленным итогом за 3 года со дня создания особой экономической зоны не менее планируемого объема необходимых для создания ее инфраструктуры средств федерального бюджета, бюджета субъекта Российской Федерации, местного бюджета.</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lastRenderedPageBreak/>
        <w:t>5. Обоснованность плановых показателей развития инженерной, транспортной, инновационной, социальной и иной инфраструктуры предполагаемой к созданию особой экономической зоны и оценки стоимости затрат на ее развитие.</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6. Значение и обоснованность прогнозных показателей эффективности функционирования предполагаемой к созданию особой экономической зоны, необходимых для проведения оценки эффективности функционирования особых экономических зон, а такженаличие оценки предполагаемой к созданию особой экономической зоны по показателям рентабельности, доходности и срока окупаемости.</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Значение показателя рентабельности, рассчитанного как отношение планируемого объема инвестиций резидентов особой экономической зоны, а также планируемых к уплате резидентами особой экономической зоны и управляющей компанией особой экономической зоны налоговых отчислений в бюджеты всех уровней бюджетной системы Российской Федерации и таможенных платежей на конец 10-го года реализации проекта накопленным итогом к размеру необходимых для создания инфраструктуры особой экономической зоны средств федерального бюджета, бюджета субъекта Российской Федерации, местного бюджета, для предполагаемой к созданию особой экономической зоны промышленно-производственного типа должно составлять не менее 2, для предполагаемых к созданию особых экономических зон туристско-рекреационного типа, технико-внедренческого типа и портовых особых экономических зон - не менее 1.</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Значение показателя доходности, рассчитанного как отношение размера выручки, планируемой к получению резидентами особой экономической зоны и управляющей компанией особой экономической зоны на конец 10-го года реализации проекта накопленным итогом, к размеру необходимых для создания инфраструктуры особой экономической зоны средств федерального бюджета, бюджета субъекта Российской Федерации, местного бюджета и планируемых инвестиций резидентов особой экономической зоны, для предполагаемой к созданию особой экономической зоны промышленно-производственного типа должно составлять не менее 1,2, для предполагаемых к созданию особых экономических зон туристско-рекреационного типа, технико-внедренческого типа и портовых особых экономических зон - не менее 1.</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Срок окупаемости предполагаемой к созданию особой экономической зоны промышленно-производственного типа должен составлять не более 8 лет, для особых экономических зон туристско-рекреационного типа, технико-внедренческого типа и портовых особых экономических зон - не более 15 лет. При определении срока окупаемости учитывается разница между размером выручки, планируемой к получению резидентами особой экономической зоны и управляющей компанией особой экономической зоны, и размером необходимых для создания инфраструктуры особой экономической зоны средств федерального бюджета, бюджета субъекта Российской Федерации, местного бюджета и планируемых инвестиций резидентов особой экономической зоны.</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lastRenderedPageBreak/>
        <w:t>7. Наличие не менее одного хозяйственного общества, намеревающегося осуществлять функции управляющей компании и подтвердившего в письменной форме наличие у него или его учредителей (участников) опыта создания и обеспечения функционирования объектов инфраструктуры с представлением документов о вводе их в эксплуатацию, их количества и размера фактического финансирования, а также готовность заключить с уполномоченным Правительством Российской Федерации органом исполнительной власти соглашение об управлении особой экономической зоной и принять на себя обязательство привлечь не менее 50 процентов планируемого объема внебюджетных инвестиций на создание и функционирование особой экономической зоны.</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8. Возможность обеспечить планируемых к размещению в особой экономической зоне резидентов необходимыми ресурсами, в том числе кадровыми. Наличие, в случае имеющихся инфраструктурных и иных ограничений, предложений по их устранению, достаточных для обеспечения планируемых к размещению в особой экономической зоне резидентов необходимыми ресурсами.</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9. Наличие успешного опыта реализации в субъекте Российской Федерации или муниципальном образовании, на территориях которых предполагается создание особой экономической зоны, крупных инвестиционных проектов с участием российских и иностранных инвесторов, объем фактически привлеченных частных инвестиций в которые составляет не менее объема запланированных инвестиций потенциальных инвесторов особой экономической зоны, и (или) опыта создания инновационных кластеров, индустриальных парков и технопарков (с указанием размера затрат бюджета субъекта Российской Федерации и (или) местного бюджета на единицу площади (рублей на один гектар общей площади индустриальных парков и инновационных кластеров либо рублей на один квадратный метр общей площади технопарков).</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10. Наличие на территории, где предполагается создание особой экономической зоны, а также на прилегающей территории объектов внутренней и внешней инженерной, транспортной, инновационной, социальной и иной инфраструктуры, которые возможно использовать для целей функционирования и развития особой экономической зоны.</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11. Наличие проекта планировки территории особой экономической зоны и перспективного плана развития особой экономической зоны.</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12. Наличие анализа экологических рисков проекта создания особой экономической зоны и (или) стратегии управления экологической эффективностью.</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Преимуществами осуществления предпринимательской деятельности для резидентов особой экономической зоны являются налоговые льготы.</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Налоговая нагрузка на предпринимателей-резидентов особых экономических зон уменьшается в части налога на прибыль организаций, налога на имущество, земельного налога, страховых взносов.</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lastRenderedPageBreak/>
        <w:t>Такие налоговые каникулы для резидентов особых экономических зон действуют в течение 5-10 лет с момента признания предпринимателя резидентом ОЭЗ.</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Особые экономические зоны могут устанавливать собственные льготные ставки по налогу на прибыль, транспортному налогу и НДС. Так работы, связанные с инновационной деятельностью, не облагаются НДС. В таблице приведено сравнение налоговых ставок для резидентов ОЭЗ и обычных предпринимателей.</w:t>
      </w:r>
    </w:p>
    <w:p w:rsidR="00153E07" w:rsidRPr="00153E07" w:rsidRDefault="00153E07" w:rsidP="006D2568">
      <w:pPr>
        <w:spacing w:after="0" w:line="240" w:lineRule="auto"/>
        <w:ind w:firstLine="709"/>
        <w:jc w:val="right"/>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Таблица 3.1</w:t>
      </w:r>
    </w:p>
    <w:p w:rsidR="00153E07" w:rsidRPr="00FD0291" w:rsidRDefault="00153E07" w:rsidP="006D2568">
      <w:pPr>
        <w:spacing w:after="0" w:line="240" w:lineRule="auto"/>
        <w:jc w:val="center"/>
        <w:rPr>
          <w:rFonts w:ascii="Times New Roman" w:eastAsia="Times New Roman" w:hAnsi="Times New Roman" w:cs="Times New Roman"/>
          <w:b/>
          <w:bCs/>
          <w:sz w:val="28"/>
          <w:szCs w:val="28"/>
        </w:rPr>
      </w:pPr>
      <w:r w:rsidRPr="00FD0291">
        <w:rPr>
          <w:rFonts w:ascii="Times New Roman" w:eastAsia="Times New Roman" w:hAnsi="Times New Roman" w:cs="Times New Roman"/>
          <w:b/>
          <w:bCs/>
          <w:sz w:val="28"/>
          <w:szCs w:val="28"/>
        </w:rPr>
        <w:t>Налоговые льготы для резидентов ОЗС</w:t>
      </w:r>
    </w:p>
    <w:tbl>
      <w:tblPr>
        <w:tblW w:w="10031" w:type="dxa"/>
        <w:tblLook w:val="04A0"/>
      </w:tblPr>
      <w:tblGrid>
        <w:gridCol w:w="2040"/>
        <w:gridCol w:w="2040"/>
        <w:gridCol w:w="2040"/>
        <w:gridCol w:w="3911"/>
      </w:tblGrid>
      <w:tr w:rsidR="00153E07" w:rsidRPr="00153E07" w:rsidTr="00FD0291">
        <w:trPr>
          <w:trHeight w:val="300"/>
        </w:trPr>
        <w:tc>
          <w:tcPr>
            <w:tcW w:w="2040" w:type="dxa"/>
            <w:tcBorders>
              <w:top w:val="single" w:sz="4" w:space="0" w:color="auto"/>
              <w:left w:val="single" w:sz="4" w:space="0" w:color="auto"/>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Вид налога</w:t>
            </w:r>
          </w:p>
        </w:tc>
        <w:tc>
          <w:tcPr>
            <w:tcW w:w="2040" w:type="dxa"/>
            <w:tcBorders>
              <w:top w:val="single" w:sz="4" w:space="0" w:color="auto"/>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Обычная ставка</w:t>
            </w:r>
          </w:p>
        </w:tc>
        <w:tc>
          <w:tcPr>
            <w:tcW w:w="2040" w:type="dxa"/>
            <w:tcBorders>
              <w:top w:val="single" w:sz="4" w:space="0" w:color="auto"/>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Льготная ставка</w:t>
            </w:r>
          </w:p>
        </w:tc>
        <w:tc>
          <w:tcPr>
            <w:tcW w:w="3911" w:type="dxa"/>
            <w:tcBorders>
              <w:top w:val="single" w:sz="4" w:space="0" w:color="auto"/>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Срок действия льготы</w:t>
            </w:r>
          </w:p>
        </w:tc>
      </w:tr>
      <w:tr w:rsidR="00153E07" w:rsidRPr="00153E07" w:rsidTr="00FD0291">
        <w:trPr>
          <w:trHeight w:val="1140"/>
        </w:trPr>
        <w:tc>
          <w:tcPr>
            <w:tcW w:w="2040" w:type="dxa"/>
            <w:tcBorders>
              <w:top w:val="nil"/>
              <w:left w:val="single" w:sz="4" w:space="0" w:color="auto"/>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Налог на прибыль</w:t>
            </w:r>
          </w:p>
        </w:tc>
        <w:tc>
          <w:tcPr>
            <w:tcW w:w="2040" w:type="dxa"/>
            <w:tcBorders>
              <w:top w:val="nil"/>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18%</w:t>
            </w:r>
          </w:p>
        </w:tc>
        <w:tc>
          <w:tcPr>
            <w:tcW w:w="2040" w:type="dxa"/>
            <w:tcBorders>
              <w:top w:val="nil"/>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0% + 13,5%</w:t>
            </w:r>
          </w:p>
        </w:tc>
        <w:tc>
          <w:tcPr>
            <w:tcW w:w="3911" w:type="dxa"/>
            <w:tcBorders>
              <w:top w:val="nil"/>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5 + 10 лет с месяца получения статуса резидента, либо различные ставки по годам</w:t>
            </w:r>
          </w:p>
        </w:tc>
      </w:tr>
      <w:tr w:rsidR="00153E07" w:rsidRPr="00153E07" w:rsidTr="00FD0291">
        <w:trPr>
          <w:trHeight w:val="855"/>
        </w:trPr>
        <w:tc>
          <w:tcPr>
            <w:tcW w:w="2040" w:type="dxa"/>
            <w:tcBorders>
              <w:top w:val="nil"/>
              <w:left w:val="single" w:sz="4" w:space="0" w:color="auto"/>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Налог на имущество</w:t>
            </w:r>
          </w:p>
        </w:tc>
        <w:tc>
          <w:tcPr>
            <w:tcW w:w="2040" w:type="dxa"/>
            <w:tcBorders>
              <w:top w:val="nil"/>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2,20%</w:t>
            </w:r>
          </w:p>
        </w:tc>
        <w:tc>
          <w:tcPr>
            <w:tcW w:w="2040" w:type="dxa"/>
            <w:tcBorders>
              <w:top w:val="nil"/>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0%</w:t>
            </w:r>
          </w:p>
        </w:tc>
        <w:tc>
          <w:tcPr>
            <w:tcW w:w="3911" w:type="dxa"/>
            <w:tcBorders>
              <w:top w:val="nil"/>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10 лет с месяца, следующего за месяцем постановки имущества на учет</w:t>
            </w:r>
          </w:p>
        </w:tc>
      </w:tr>
      <w:tr w:rsidR="00153E07" w:rsidRPr="00153E07" w:rsidTr="00FD0291">
        <w:trPr>
          <w:trHeight w:val="1140"/>
        </w:trPr>
        <w:tc>
          <w:tcPr>
            <w:tcW w:w="2040" w:type="dxa"/>
            <w:tcBorders>
              <w:top w:val="nil"/>
              <w:left w:val="single" w:sz="4" w:space="0" w:color="auto"/>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Земельный налог</w:t>
            </w:r>
          </w:p>
        </w:tc>
        <w:tc>
          <w:tcPr>
            <w:tcW w:w="2040" w:type="dxa"/>
            <w:tcBorders>
              <w:top w:val="nil"/>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1,50%</w:t>
            </w:r>
          </w:p>
        </w:tc>
        <w:tc>
          <w:tcPr>
            <w:tcW w:w="2040" w:type="dxa"/>
            <w:tcBorders>
              <w:top w:val="nil"/>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0%</w:t>
            </w:r>
          </w:p>
        </w:tc>
        <w:tc>
          <w:tcPr>
            <w:tcW w:w="3911" w:type="dxa"/>
            <w:tcBorders>
              <w:top w:val="nil"/>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5 лет с месяца возникновения собственности на каждый участок</w:t>
            </w:r>
          </w:p>
        </w:tc>
      </w:tr>
      <w:tr w:rsidR="00153E07" w:rsidRPr="00153E07" w:rsidTr="00FD0291">
        <w:trPr>
          <w:trHeight w:val="300"/>
        </w:trPr>
        <w:tc>
          <w:tcPr>
            <w:tcW w:w="2040" w:type="dxa"/>
            <w:vMerge w:val="restart"/>
            <w:tcBorders>
              <w:top w:val="nil"/>
              <w:left w:val="single" w:sz="4" w:space="0" w:color="auto"/>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Страховые взносы</w:t>
            </w:r>
          </w:p>
        </w:tc>
        <w:tc>
          <w:tcPr>
            <w:tcW w:w="204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 xml:space="preserve">ПФР + 22% </w:t>
            </w:r>
          </w:p>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 xml:space="preserve">ФСС + 2,9% </w:t>
            </w:r>
          </w:p>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ФФОМС + 5,1%</w:t>
            </w:r>
          </w:p>
        </w:tc>
        <w:tc>
          <w:tcPr>
            <w:tcW w:w="2040" w:type="dxa"/>
            <w:tcBorders>
              <w:top w:val="nil"/>
              <w:left w:val="nil"/>
              <w:bottom w:val="single" w:sz="4" w:space="0" w:color="auto"/>
              <w:right w:val="single" w:sz="4" w:space="0" w:color="auto"/>
            </w:tcBorders>
            <w:shd w:val="clear" w:color="000000" w:fill="FFFFFF"/>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ПФР + 8%</w:t>
            </w:r>
          </w:p>
        </w:tc>
        <w:tc>
          <w:tcPr>
            <w:tcW w:w="3911" w:type="dxa"/>
            <w:vMerge w:val="restart"/>
            <w:tcBorders>
              <w:top w:val="nil"/>
              <w:left w:val="single" w:sz="4" w:space="0" w:color="auto"/>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2016 + 2017 годы</w:t>
            </w:r>
          </w:p>
        </w:tc>
      </w:tr>
      <w:tr w:rsidR="00153E07" w:rsidRPr="00153E07" w:rsidTr="00FD0291">
        <w:trPr>
          <w:trHeight w:val="300"/>
        </w:trPr>
        <w:tc>
          <w:tcPr>
            <w:tcW w:w="2040" w:type="dxa"/>
            <w:vMerge/>
            <w:tcBorders>
              <w:top w:val="nil"/>
              <w:left w:val="single" w:sz="4" w:space="0" w:color="auto"/>
              <w:bottom w:val="single" w:sz="4" w:space="0" w:color="auto"/>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p>
        </w:tc>
        <w:tc>
          <w:tcPr>
            <w:tcW w:w="2040" w:type="dxa"/>
            <w:vMerge/>
            <w:tcBorders>
              <w:top w:val="nil"/>
              <w:left w:val="single" w:sz="4" w:space="0" w:color="auto"/>
              <w:bottom w:val="single" w:sz="4" w:space="0" w:color="000000"/>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p>
        </w:tc>
        <w:tc>
          <w:tcPr>
            <w:tcW w:w="2040" w:type="dxa"/>
            <w:tcBorders>
              <w:top w:val="nil"/>
              <w:left w:val="nil"/>
              <w:bottom w:val="single" w:sz="4" w:space="0" w:color="auto"/>
              <w:right w:val="single" w:sz="4" w:space="0" w:color="auto"/>
            </w:tcBorders>
            <w:shd w:val="clear" w:color="000000" w:fill="FFFFFF"/>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ФСС + 2%</w:t>
            </w:r>
          </w:p>
        </w:tc>
        <w:tc>
          <w:tcPr>
            <w:tcW w:w="3911" w:type="dxa"/>
            <w:vMerge/>
            <w:tcBorders>
              <w:top w:val="nil"/>
              <w:left w:val="single" w:sz="4" w:space="0" w:color="auto"/>
              <w:bottom w:val="single" w:sz="4" w:space="0" w:color="auto"/>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p>
        </w:tc>
      </w:tr>
      <w:tr w:rsidR="00153E07" w:rsidRPr="00153E07" w:rsidTr="00FD0291">
        <w:trPr>
          <w:trHeight w:val="300"/>
        </w:trPr>
        <w:tc>
          <w:tcPr>
            <w:tcW w:w="2040" w:type="dxa"/>
            <w:vMerge/>
            <w:tcBorders>
              <w:top w:val="nil"/>
              <w:left w:val="single" w:sz="4" w:space="0" w:color="auto"/>
              <w:bottom w:val="single" w:sz="4" w:space="0" w:color="auto"/>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p>
        </w:tc>
        <w:tc>
          <w:tcPr>
            <w:tcW w:w="2040" w:type="dxa"/>
            <w:vMerge/>
            <w:tcBorders>
              <w:top w:val="nil"/>
              <w:left w:val="single" w:sz="4" w:space="0" w:color="auto"/>
              <w:bottom w:val="single" w:sz="4" w:space="0" w:color="000000"/>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p>
        </w:tc>
        <w:tc>
          <w:tcPr>
            <w:tcW w:w="2040" w:type="dxa"/>
            <w:tcBorders>
              <w:top w:val="nil"/>
              <w:left w:val="nil"/>
              <w:bottom w:val="single" w:sz="4" w:space="0" w:color="auto"/>
              <w:right w:val="single" w:sz="4" w:space="0" w:color="auto"/>
            </w:tcBorders>
            <w:shd w:val="clear" w:color="000000" w:fill="FFFFFF"/>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ФФОМС + 4%</w:t>
            </w:r>
          </w:p>
        </w:tc>
        <w:tc>
          <w:tcPr>
            <w:tcW w:w="3911" w:type="dxa"/>
            <w:vMerge/>
            <w:tcBorders>
              <w:top w:val="nil"/>
              <w:left w:val="single" w:sz="4" w:space="0" w:color="auto"/>
              <w:bottom w:val="single" w:sz="4" w:space="0" w:color="auto"/>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p>
        </w:tc>
      </w:tr>
      <w:tr w:rsidR="00153E07" w:rsidRPr="00153E07" w:rsidTr="00FD0291">
        <w:trPr>
          <w:trHeight w:val="300"/>
        </w:trPr>
        <w:tc>
          <w:tcPr>
            <w:tcW w:w="2040" w:type="dxa"/>
            <w:vMerge/>
            <w:tcBorders>
              <w:top w:val="nil"/>
              <w:left w:val="single" w:sz="4" w:space="0" w:color="auto"/>
              <w:bottom w:val="single" w:sz="4" w:space="0" w:color="auto"/>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p>
        </w:tc>
        <w:tc>
          <w:tcPr>
            <w:tcW w:w="2040" w:type="dxa"/>
            <w:vMerge/>
            <w:tcBorders>
              <w:top w:val="nil"/>
              <w:left w:val="single" w:sz="4" w:space="0" w:color="auto"/>
              <w:bottom w:val="single" w:sz="4" w:space="0" w:color="000000"/>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p>
        </w:tc>
        <w:tc>
          <w:tcPr>
            <w:tcW w:w="2040" w:type="dxa"/>
            <w:tcBorders>
              <w:top w:val="nil"/>
              <w:left w:val="nil"/>
              <w:bottom w:val="single" w:sz="4" w:space="0" w:color="auto"/>
              <w:right w:val="single" w:sz="4" w:space="0" w:color="auto"/>
            </w:tcBorders>
            <w:shd w:val="clear" w:color="000000" w:fill="FFFFFF"/>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ПФР + 13%</w:t>
            </w:r>
          </w:p>
        </w:tc>
        <w:tc>
          <w:tcPr>
            <w:tcW w:w="3911" w:type="dxa"/>
            <w:vMerge w:val="restart"/>
            <w:tcBorders>
              <w:top w:val="nil"/>
              <w:left w:val="single" w:sz="4" w:space="0" w:color="auto"/>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2018 год</w:t>
            </w:r>
          </w:p>
        </w:tc>
      </w:tr>
      <w:tr w:rsidR="00153E07" w:rsidRPr="00153E07" w:rsidTr="00FD0291">
        <w:trPr>
          <w:trHeight w:val="300"/>
        </w:trPr>
        <w:tc>
          <w:tcPr>
            <w:tcW w:w="2040" w:type="dxa"/>
            <w:vMerge/>
            <w:tcBorders>
              <w:top w:val="nil"/>
              <w:left w:val="single" w:sz="4" w:space="0" w:color="auto"/>
              <w:bottom w:val="single" w:sz="4" w:space="0" w:color="auto"/>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p>
        </w:tc>
        <w:tc>
          <w:tcPr>
            <w:tcW w:w="2040" w:type="dxa"/>
            <w:vMerge/>
            <w:tcBorders>
              <w:top w:val="nil"/>
              <w:left w:val="single" w:sz="4" w:space="0" w:color="auto"/>
              <w:bottom w:val="single" w:sz="4" w:space="0" w:color="000000"/>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p>
        </w:tc>
        <w:tc>
          <w:tcPr>
            <w:tcW w:w="2040" w:type="dxa"/>
            <w:tcBorders>
              <w:top w:val="nil"/>
              <w:left w:val="nil"/>
              <w:bottom w:val="single" w:sz="4" w:space="0" w:color="auto"/>
              <w:right w:val="single" w:sz="4" w:space="0" w:color="auto"/>
            </w:tcBorders>
            <w:shd w:val="clear" w:color="000000" w:fill="FFFFFF"/>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ФСС + 2,9%</w:t>
            </w:r>
          </w:p>
        </w:tc>
        <w:tc>
          <w:tcPr>
            <w:tcW w:w="3911" w:type="dxa"/>
            <w:vMerge/>
            <w:tcBorders>
              <w:top w:val="nil"/>
              <w:left w:val="single" w:sz="4" w:space="0" w:color="auto"/>
              <w:bottom w:val="single" w:sz="4" w:space="0" w:color="auto"/>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p>
        </w:tc>
      </w:tr>
      <w:tr w:rsidR="00153E07" w:rsidRPr="00153E07" w:rsidTr="00FD0291">
        <w:trPr>
          <w:trHeight w:val="300"/>
        </w:trPr>
        <w:tc>
          <w:tcPr>
            <w:tcW w:w="2040" w:type="dxa"/>
            <w:vMerge/>
            <w:tcBorders>
              <w:top w:val="nil"/>
              <w:left w:val="single" w:sz="4" w:space="0" w:color="auto"/>
              <w:bottom w:val="single" w:sz="4" w:space="0" w:color="auto"/>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p>
        </w:tc>
        <w:tc>
          <w:tcPr>
            <w:tcW w:w="2040" w:type="dxa"/>
            <w:vMerge/>
            <w:tcBorders>
              <w:top w:val="nil"/>
              <w:left w:val="single" w:sz="4" w:space="0" w:color="auto"/>
              <w:bottom w:val="single" w:sz="4" w:space="0" w:color="000000"/>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p>
        </w:tc>
        <w:tc>
          <w:tcPr>
            <w:tcW w:w="2040" w:type="dxa"/>
            <w:tcBorders>
              <w:top w:val="nil"/>
              <w:left w:val="nil"/>
              <w:bottom w:val="single" w:sz="4" w:space="0" w:color="auto"/>
              <w:right w:val="single" w:sz="4" w:space="0" w:color="auto"/>
            </w:tcBorders>
            <w:shd w:val="clear" w:color="000000" w:fill="FFFFFF"/>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ФФОМС + 5,1%</w:t>
            </w:r>
          </w:p>
        </w:tc>
        <w:tc>
          <w:tcPr>
            <w:tcW w:w="3911" w:type="dxa"/>
            <w:vMerge/>
            <w:tcBorders>
              <w:top w:val="nil"/>
              <w:left w:val="single" w:sz="4" w:space="0" w:color="auto"/>
              <w:bottom w:val="single" w:sz="4" w:space="0" w:color="auto"/>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p>
        </w:tc>
      </w:tr>
      <w:tr w:rsidR="00153E07" w:rsidRPr="00153E07" w:rsidTr="00FD0291">
        <w:trPr>
          <w:trHeight w:val="300"/>
        </w:trPr>
        <w:tc>
          <w:tcPr>
            <w:tcW w:w="2040" w:type="dxa"/>
            <w:vMerge/>
            <w:tcBorders>
              <w:top w:val="nil"/>
              <w:left w:val="single" w:sz="4" w:space="0" w:color="auto"/>
              <w:bottom w:val="single" w:sz="4" w:space="0" w:color="auto"/>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p>
        </w:tc>
        <w:tc>
          <w:tcPr>
            <w:tcW w:w="2040" w:type="dxa"/>
            <w:vMerge/>
            <w:tcBorders>
              <w:top w:val="nil"/>
              <w:left w:val="single" w:sz="4" w:space="0" w:color="auto"/>
              <w:bottom w:val="single" w:sz="4" w:space="0" w:color="000000"/>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p>
        </w:tc>
        <w:tc>
          <w:tcPr>
            <w:tcW w:w="2040" w:type="dxa"/>
            <w:tcBorders>
              <w:top w:val="nil"/>
              <w:left w:val="nil"/>
              <w:bottom w:val="single" w:sz="4" w:space="0" w:color="auto"/>
              <w:right w:val="single" w:sz="4" w:space="0" w:color="auto"/>
            </w:tcBorders>
            <w:shd w:val="clear" w:color="000000" w:fill="FFFFFF"/>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ПФР + 20%</w:t>
            </w:r>
          </w:p>
        </w:tc>
        <w:tc>
          <w:tcPr>
            <w:tcW w:w="3911" w:type="dxa"/>
            <w:vMerge w:val="restart"/>
            <w:tcBorders>
              <w:top w:val="nil"/>
              <w:left w:val="single" w:sz="4" w:space="0" w:color="auto"/>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2019 год</w:t>
            </w:r>
          </w:p>
        </w:tc>
      </w:tr>
      <w:tr w:rsidR="00153E07" w:rsidRPr="00153E07" w:rsidTr="00FD0291">
        <w:trPr>
          <w:trHeight w:val="300"/>
        </w:trPr>
        <w:tc>
          <w:tcPr>
            <w:tcW w:w="2040" w:type="dxa"/>
            <w:vMerge/>
            <w:tcBorders>
              <w:top w:val="nil"/>
              <w:left w:val="single" w:sz="4" w:space="0" w:color="auto"/>
              <w:bottom w:val="single" w:sz="4" w:space="0" w:color="auto"/>
              <w:right w:val="single" w:sz="4" w:space="0" w:color="auto"/>
            </w:tcBorders>
            <w:vAlign w:val="center"/>
            <w:hideMark/>
          </w:tcPr>
          <w:p w:rsidR="00153E07" w:rsidRPr="00153E07" w:rsidRDefault="00153E07" w:rsidP="006D2568">
            <w:pPr>
              <w:spacing w:after="0" w:line="240" w:lineRule="auto"/>
              <w:jc w:val="both"/>
              <w:rPr>
                <w:rFonts w:ascii="Times New Roman" w:eastAsia="Times New Roman" w:hAnsi="Times New Roman" w:cs="Times New Roman"/>
                <w:sz w:val="28"/>
                <w:szCs w:val="28"/>
              </w:rPr>
            </w:pPr>
          </w:p>
        </w:tc>
        <w:tc>
          <w:tcPr>
            <w:tcW w:w="2040" w:type="dxa"/>
            <w:vMerge/>
            <w:tcBorders>
              <w:top w:val="nil"/>
              <w:left w:val="single" w:sz="4" w:space="0" w:color="auto"/>
              <w:bottom w:val="single" w:sz="4" w:space="0" w:color="000000"/>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p>
        </w:tc>
        <w:tc>
          <w:tcPr>
            <w:tcW w:w="2040" w:type="dxa"/>
            <w:tcBorders>
              <w:top w:val="nil"/>
              <w:left w:val="nil"/>
              <w:bottom w:val="single" w:sz="4" w:space="0" w:color="auto"/>
              <w:right w:val="single" w:sz="4" w:space="0" w:color="auto"/>
            </w:tcBorders>
            <w:shd w:val="clear" w:color="000000" w:fill="FFFFFF"/>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ФСС + 2,9%</w:t>
            </w:r>
          </w:p>
        </w:tc>
        <w:tc>
          <w:tcPr>
            <w:tcW w:w="3911" w:type="dxa"/>
            <w:vMerge/>
            <w:tcBorders>
              <w:top w:val="nil"/>
              <w:left w:val="single" w:sz="4" w:space="0" w:color="auto"/>
              <w:bottom w:val="single" w:sz="4" w:space="0" w:color="auto"/>
              <w:right w:val="single" w:sz="4" w:space="0" w:color="auto"/>
            </w:tcBorders>
            <w:vAlign w:val="center"/>
            <w:hideMark/>
          </w:tcPr>
          <w:p w:rsidR="00153E07" w:rsidRPr="00153E07" w:rsidRDefault="00153E07" w:rsidP="006D2568">
            <w:pPr>
              <w:spacing w:after="0" w:line="240" w:lineRule="auto"/>
              <w:jc w:val="both"/>
              <w:rPr>
                <w:rFonts w:ascii="Times New Roman" w:eastAsia="Times New Roman" w:hAnsi="Times New Roman" w:cs="Times New Roman"/>
                <w:sz w:val="28"/>
                <w:szCs w:val="28"/>
              </w:rPr>
            </w:pPr>
          </w:p>
        </w:tc>
      </w:tr>
      <w:tr w:rsidR="00153E07" w:rsidRPr="00153E07" w:rsidTr="00FD0291">
        <w:trPr>
          <w:trHeight w:val="300"/>
        </w:trPr>
        <w:tc>
          <w:tcPr>
            <w:tcW w:w="2040" w:type="dxa"/>
            <w:vMerge/>
            <w:tcBorders>
              <w:top w:val="nil"/>
              <w:left w:val="single" w:sz="4" w:space="0" w:color="auto"/>
              <w:bottom w:val="single" w:sz="4" w:space="0" w:color="auto"/>
              <w:right w:val="single" w:sz="4" w:space="0" w:color="auto"/>
            </w:tcBorders>
            <w:vAlign w:val="center"/>
            <w:hideMark/>
          </w:tcPr>
          <w:p w:rsidR="00153E07" w:rsidRPr="00153E07" w:rsidRDefault="00153E07" w:rsidP="006D2568">
            <w:pPr>
              <w:spacing w:after="0" w:line="240" w:lineRule="auto"/>
              <w:jc w:val="both"/>
              <w:rPr>
                <w:rFonts w:ascii="Times New Roman" w:eastAsia="Times New Roman" w:hAnsi="Times New Roman" w:cs="Times New Roman"/>
                <w:sz w:val="28"/>
                <w:szCs w:val="28"/>
              </w:rPr>
            </w:pPr>
          </w:p>
        </w:tc>
        <w:tc>
          <w:tcPr>
            <w:tcW w:w="2040" w:type="dxa"/>
            <w:vMerge/>
            <w:tcBorders>
              <w:top w:val="nil"/>
              <w:left w:val="single" w:sz="4" w:space="0" w:color="auto"/>
              <w:bottom w:val="single" w:sz="4" w:space="0" w:color="000000"/>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p>
        </w:tc>
        <w:tc>
          <w:tcPr>
            <w:tcW w:w="2040" w:type="dxa"/>
            <w:tcBorders>
              <w:top w:val="nil"/>
              <w:left w:val="nil"/>
              <w:bottom w:val="single" w:sz="4" w:space="0" w:color="auto"/>
              <w:right w:val="single" w:sz="4" w:space="0" w:color="auto"/>
            </w:tcBorders>
            <w:shd w:val="clear" w:color="000000" w:fill="FFFFFF"/>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ФФОМС + 5,1%</w:t>
            </w:r>
          </w:p>
        </w:tc>
        <w:tc>
          <w:tcPr>
            <w:tcW w:w="3911" w:type="dxa"/>
            <w:vMerge/>
            <w:tcBorders>
              <w:top w:val="nil"/>
              <w:left w:val="single" w:sz="4" w:space="0" w:color="auto"/>
              <w:bottom w:val="single" w:sz="4" w:space="0" w:color="auto"/>
              <w:right w:val="single" w:sz="4" w:space="0" w:color="auto"/>
            </w:tcBorders>
            <w:vAlign w:val="center"/>
            <w:hideMark/>
          </w:tcPr>
          <w:p w:rsidR="00153E07" w:rsidRPr="00153E07" w:rsidRDefault="00153E07" w:rsidP="006D2568">
            <w:pPr>
              <w:spacing w:after="0" w:line="240" w:lineRule="auto"/>
              <w:jc w:val="both"/>
              <w:rPr>
                <w:rFonts w:ascii="Times New Roman" w:eastAsia="Times New Roman" w:hAnsi="Times New Roman" w:cs="Times New Roman"/>
                <w:sz w:val="28"/>
                <w:szCs w:val="28"/>
              </w:rPr>
            </w:pPr>
          </w:p>
        </w:tc>
      </w:tr>
    </w:tbl>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 xml:space="preserve">Еще одним преимуществом особой экономической зоны является </w:t>
      </w:r>
      <w:r w:rsidR="00DE2D0E">
        <w:rPr>
          <w:rFonts w:ascii="Times New Roman" w:eastAsia="Times New Roman" w:hAnsi="Times New Roman" w:cs="Times New Roman"/>
          <w:bCs/>
          <w:sz w:val="28"/>
          <w:szCs w:val="28"/>
        </w:rPr>
        <w:t>«</w:t>
      </w:r>
      <w:r w:rsidRPr="00153E07">
        <w:rPr>
          <w:rFonts w:ascii="Times New Roman" w:eastAsia="Times New Roman" w:hAnsi="Times New Roman" w:cs="Times New Roman"/>
          <w:bCs/>
          <w:sz w:val="28"/>
          <w:szCs w:val="28"/>
        </w:rPr>
        <w:t>налоговый иммунитет</w:t>
      </w:r>
      <w:r w:rsidR="00DE2D0E">
        <w:rPr>
          <w:rFonts w:ascii="Times New Roman" w:eastAsia="Times New Roman" w:hAnsi="Times New Roman" w:cs="Times New Roman"/>
          <w:bCs/>
          <w:sz w:val="28"/>
          <w:szCs w:val="28"/>
        </w:rPr>
        <w:t>»</w:t>
      </w:r>
      <w:r w:rsidRPr="00153E07">
        <w:rPr>
          <w:rFonts w:ascii="Times New Roman" w:eastAsia="Times New Roman" w:hAnsi="Times New Roman" w:cs="Times New Roman"/>
          <w:bCs/>
          <w:sz w:val="28"/>
          <w:szCs w:val="28"/>
        </w:rPr>
        <w:t>. На резидентов особых экономических зон не распространяются изменения налогового законодательства, ухудшающие их положение. При этом резиденты особых экономических зон применяют ускоренную амортизацию с двойным коэффициентом.</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Стимулирующим фактором развития района выступает рост инвестиционной привлекательности и привлечение инвестиций в хозяйственную деятельность действующих субъектов малого и среднего бизнеса и открытие новых. Улучшение инвестиционной привлекательности района способствует занятости населения, росту налоговых поступлений в районный бюджет. ВБардымском муниципальном районевопросы инвестиций частично были решены с помощью самообложения граждан, решение о котором принято на референдуме граждан сельских поселений. Данный проект предполагает самообложение граждан. Согласно Федеральному закону от 06.10.2003 № 131-ФЗ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Об общих принципах организации местного самоуправления в Российской Федерации</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под средствами самообложения граждан понимаются разовые </w:t>
      </w:r>
      <w:r w:rsidRPr="00153E07">
        <w:rPr>
          <w:rFonts w:ascii="Times New Roman" w:eastAsia="Times New Roman" w:hAnsi="Times New Roman" w:cs="Times New Roman"/>
          <w:sz w:val="28"/>
          <w:szCs w:val="28"/>
        </w:rPr>
        <w:lastRenderedPageBreak/>
        <w:t>платежи граждан, осуществляемые для решения конкретных вопросов местного значения.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Согласно закону, в некоторых поселениях определяется проблема, для которой необходимо собрать денежные средства местных жителей, денежные средства собираются и происходит финансирование проекта. Таким образом, жители фактически сами решают вопросы тротуаров, ремонта дорог, водопроводов, уличного освещения, скважин, детских площадок и тому подобное.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Самообложение является неналоговым доходом бюджета, как некий акт добровольных пожертвований. По результатам референдумов, проведенных в Пермском крае в сельских поселениях Бардымского района, жители проголосовали за введение разового платежа в 2014 г. (в размере 100 рублей) на мероприятия по благоустройству и озеленению территорий.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Таким образом, районы получают дополнительную финансовую поддержку из регионального бюджета. В 2011 году эта помощь составляла один к трем, с 2014 года краевое правительство по поручению Губернатора области увеличило финансирование программы самообложения до пяти рублей на рубль.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Также в современных условиях немаловажную роль играют факторы информационных ресурсов, а также коммуникаций для полного владения информацией о текущем состоянии развития мировой и российской экономике, современных тенденциях и технологиях развития и др.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сегодняшний день для эффективного управления экономикой в целом активно привлекаются научно-технические составляющие. Научно-технический прогресс стремится к тому, чтобы использовать человеческий и технический потенциал, экономить капитал, труд, энергию, сырье и финансы при этом извлекая выгоду. Ресурсосберегающие технологии актуальны в современном мире.</w:t>
      </w:r>
    </w:p>
    <w:p w:rsid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Таким образом, ни один район или регион не имеет одинаковое преимущество по всем факторам. Однако, природные ресурсы, человеческий потенциал, предприятия, инновации и инвестиции главные факторы, оказывающие влияние на развитие экономики района. </w:t>
      </w:r>
    </w:p>
    <w:p w:rsidR="00E21B77" w:rsidRDefault="00E21B7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pStyle w:val="1"/>
        <w:numPr>
          <w:ilvl w:val="1"/>
          <w:numId w:val="7"/>
        </w:numPr>
        <w:spacing w:line="240" w:lineRule="auto"/>
      </w:pPr>
      <w:r w:rsidRPr="00153E07">
        <w:t>Основные итоги анализа социально-экономического развития Бардымского муниципального района с использованием метода свод-анализ</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Для выявления тенденций развития и проблем Бардымского муниципального района был проведен SWOT-анализ, в котором отражены сильные и слабые стороны, а также возможности и угрозы развития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результате проведенного SWOT-анализа было выявлено, что в Бардымском муниципальном районе существует потенциал для социально-экономического развития территории: наличие месторождений полезных ископаемых, природных ресурсов, земельных угодий, территорий для размещения производительных сил.</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Основными слабыми сторонами в Бардымском муниципальном районе являются недостаток компенсирующих отраслей народного хозяйства, недостаток необходимой развитой инфраструктуры и коммуникаций для размещения </w:t>
      </w:r>
      <w:r w:rsidRPr="00153E07">
        <w:rPr>
          <w:rFonts w:ascii="Times New Roman" w:eastAsia="Times New Roman" w:hAnsi="Times New Roman" w:cs="Times New Roman"/>
          <w:sz w:val="28"/>
          <w:szCs w:val="28"/>
        </w:rPr>
        <w:lastRenderedPageBreak/>
        <w:t>производительных сил, невысокий уровень внедрения передовых технологий, ухудшающаяся демографическая ситуация.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Возможностями для развития социальной и экономической сфер в Бардымском районе являются развитие основной специализации района – сельского хозяйства. Наибольший экономический эффект в данном случае будет достигнут посредством развития компенсирующих отраслей народного хозяйства, организации промышленных производств, благодаря чему район сможет выйти на внешние рынки со своей продукцией и обеспечить собственные нужды в строительстве, сельском хозяйстве и т.д. Обеспечение нужд района продукцией собственного производства позволит сократить себестоимость сырья и материалов, необходимых в строительстве, что имеет высокую актуальность в режиме интенсивной застройки. Кроме того, целесообразно рассмотреть вопрос об объединении м</w:t>
      </w:r>
      <w:r w:rsidR="00FD0291">
        <w:rPr>
          <w:rFonts w:ascii="Times New Roman" w:eastAsia="Times New Roman" w:hAnsi="Times New Roman" w:cs="Times New Roman"/>
          <w:sz w:val="28"/>
          <w:szCs w:val="28"/>
        </w:rPr>
        <w:t>алона</w:t>
      </w:r>
      <w:r w:rsidRPr="00153E07">
        <w:rPr>
          <w:rFonts w:ascii="Times New Roman" w:eastAsia="Times New Roman" w:hAnsi="Times New Roman" w:cs="Times New Roman"/>
          <w:sz w:val="28"/>
          <w:szCs w:val="28"/>
        </w:rPr>
        <w:t>селенных сельских поселений по принципу кустовой системы расселения.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Кустовые или межхозяйственные системы расселения. Культурно-бытовые связи в кустовых или межхозяйственных системах расселения охватывают всю территорию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куста</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и трудовые связи при условии хорошей транспортной доступности могут выходить за пределы поселения, возглавляемого кустовым центром.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Задачами формирования опорного системообразующего каркаса расселения района являются:</w:t>
      </w:r>
    </w:p>
    <w:p w:rsidR="00FD0291"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наращивание социально-экономического потенциала местных центров, преобразование их в комплексно развитые центры и подцентры областного и районного агропромышленного объединения</w:t>
      </w:r>
      <w:r w:rsidR="00FD0291">
        <w:rPr>
          <w:rFonts w:ascii="Times New Roman" w:eastAsia="Times New Roman" w:hAnsi="Times New Roman" w:cs="Times New Roman"/>
          <w:sz w:val="28"/>
          <w:szCs w:val="28"/>
        </w:rPr>
        <w:t>;</w:t>
      </w:r>
    </w:p>
    <w:p w:rsidR="00153E07" w:rsidRPr="00153E07" w:rsidRDefault="00FD0291"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153E07" w:rsidRPr="00153E07">
        <w:rPr>
          <w:rFonts w:ascii="Times New Roman" w:eastAsia="Times New Roman" w:hAnsi="Times New Roman" w:cs="Times New Roman"/>
          <w:sz w:val="28"/>
          <w:szCs w:val="28"/>
        </w:rPr>
        <w:t xml:space="preserve"> развитие интенсивных производственно-хозяйственных, трудовых, социально-культурных и других связей местных центров с населенными пунктами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создание необходимых дорожно-транспортных предпосылок, обеспечивающих осуществление устойчивых меж</w:t>
      </w:r>
      <w:r w:rsidR="005A7C26">
        <w:rPr>
          <w:rFonts w:ascii="Times New Roman" w:eastAsia="Times New Roman" w:hAnsi="Times New Roman" w:cs="Times New Roman"/>
          <w:sz w:val="28"/>
          <w:szCs w:val="28"/>
        </w:rPr>
        <w:t xml:space="preserve">поселенческих </w:t>
      </w:r>
      <w:r w:rsidRPr="00153E07">
        <w:rPr>
          <w:rFonts w:ascii="Times New Roman" w:eastAsia="Times New Roman" w:hAnsi="Times New Roman" w:cs="Times New Roman"/>
          <w:sz w:val="28"/>
          <w:szCs w:val="28"/>
        </w:rPr>
        <w:t>сообщений.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Социальный потенциал центра системы расселения выражается комплексом объектов и учреждений социально-культурного обслуживания, предназначенного для обеспечения всего населения местной системы расселения полным набором стандартных и частично специализированных услуг эпизодического спроса.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 групповой форме расселения, территория района должна быть насыщена</w:t>
      </w:r>
      <w:r w:rsidR="00530383">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социально-культурной и транспортно-инженерной инфраструктурами, а также увеличивать градообразующий и социально-культурный потенциал центра и подцентров Бардымского муниципального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настоящее время в Бардымском районе существует двухуровневая система расселения: местный (районный) и первичный уровень. Учитывая невысокую плотность населения в Бардымском муниципальном районе и большие расстояния между населенными пунктами целесообразно выделить еще один уровень – кустовой.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Формирование районной системы расселения определяется административными границами Бардымского муниципального района и </w:t>
      </w:r>
      <w:r w:rsidRPr="00153E07">
        <w:rPr>
          <w:rFonts w:ascii="Times New Roman" w:eastAsia="Times New Roman" w:hAnsi="Times New Roman" w:cs="Times New Roman"/>
          <w:sz w:val="28"/>
          <w:szCs w:val="28"/>
        </w:rPr>
        <w:lastRenderedPageBreak/>
        <w:t xml:space="preserve">объединяет в себе сельские поселения, которые ежедневно и еженедельно взаимодействуют между собой.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составе районной системы расселения предлагается сформировать кустовые системы расселения,</w:t>
      </w:r>
      <w:r w:rsidR="00530383">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с соответствующими центрами межселенного обслуживания, основанные на перспективном зонировании территории, проектной планировочной структуре и сложившихся местных системах расселения.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Иерархическими уровнями будут выступать:</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 Местный (районный центр) - село Барда, центр районной системы расселения и опорный центр всей системы расселения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2. Кустовой (районный подцентр) - село Краснояр-1;</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3. Кустовой (районный подцентр) - село Елпачиха;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4. Кустовой (районный подцентр) – село Сараши;</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5. Первичные центры – центры сельских поселений.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Предлагаемая кустовая система расселения: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 Бардымский куст формируется в составе муниципального образования Бардымское сельское поселение с центром в селе Барда.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2. Красноярский куст формируется в составе муниципальных образований Бичуринское, Тюндюковское и Красноярское сельские поселения с центром в селе Краснояр-1.</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3. Елпачихинский куст формируется в составе муниципальных образований Шермейское, Федорковское, Березниковское и Елпачихинское сельские поселения с центром в селе Елпачиха.</w:t>
      </w:r>
    </w:p>
    <w:p w:rsid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4. Сарашевский куст формируется в составе муниципальных образований Сарашевское, Печменское, Брюзлинское и Новоашапское сельские поселения с центром в селе Сараши.</w:t>
      </w:r>
    </w:p>
    <w:p w:rsidR="00FF387A" w:rsidRDefault="00FF387A"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таблице 3.2 представлено распределение населенных пунктов Бардымского муниципального района по кустам.</w:t>
      </w:r>
    </w:p>
    <w:p w:rsidR="00FF387A" w:rsidRDefault="00FF387A" w:rsidP="006D2568">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3.2</w:t>
      </w:r>
    </w:p>
    <w:p w:rsidR="00FF387A" w:rsidRPr="008B24F0" w:rsidRDefault="00FF387A" w:rsidP="006D2568">
      <w:pPr>
        <w:spacing w:after="0" w:line="240" w:lineRule="auto"/>
        <w:ind w:firstLine="709"/>
        <w:jc w:val="center"/>
        <w:rPr>
          <w:rFonts w:ascii="Times New Roman" w:eastAsia="Times New Roman" w:hAnsi="Times New Roman" w:cs="Times New Roman"/>
          <w:b/>
          <w:sz w:val="28"/>
          <w:szCs w:val="28"/>
        </w:rPr>
      </w:pPr>
      <w:r w:rsidRPr="008B24F0">
        <w:rPr>
          <w:rFonts w:ascii="Times New Roman" w:eastAsia="Times New Roman" w:hAnsi="Times New Roman" w:cs="Times New Roman"/>
          <w:b/>
          <w:sz w:val="28"/>
          <w:szCs w:val="28"/>
        </w:rPr>
        <w:t>Распределение населенных пунктов Бардымского муниципального района по кустам</w:t>
      </w:r>
    </w:p>
    <w:tbl>
      <w:tblPr>
        <w:tblW w:w="5071" w:type="pct"/>
        <w:tblLayout w:type="fixed"/>
        <w:tblLook w:val="04A0"/>
      </w:tblPr>
      <w:tblGrid>
        <w:gridCol w:w="1950"/>
        <w:gridCol w:w="2274"/>
        <w:gridCol w:w="1559"/>
        <w:gridCol w:w="1557"/>
        <w:gridCol w:w="1415"/>
        <w:gridCol w:w="1526"/>
      </w:tblGrid>
      <w:tr w:rsidR="00FF387A" w:rsidRPr="007E2C94" w:rsidTr="007E2C94">
        <w:trPr>
          <w:trHeight w:val="300"/>
        </w:trPr>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Куст</w:t>
            </w:r>
          </w:p>
        </w:tc>
        <w:tc>
          <w:tcPr>
            <w:tcW w:w="1106" w:type="pct"/>
            <w:tcBorders>
              <w:top w:val="single" w:sz="4" w:space="0" w:color="auto"/>
              <w:left w:val="nil"/>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Населенный пункт</w:t>
            </w: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Численность населения, чел.</w:t>
            </w:r>
          </w:p>
        </w:tc>
        <w:tc>
          <w:tcPr>
            <w:tcW w:w="757" w:type="pct"/>
            <w:tcBorders>
              <w:top w:val="single" w:sz="4" w:space="0" w:color="auto"/>
              <w:left w:val="nil"/>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Численность населения по кустам, чел.</w:t>
            </w:r>
          </w:p>
        </w:tc>
        <w:tc>
          <w:tcPr>
            <w:tcW w:w="688" w:type="pct"/>
            <w:tcBorders>
              <w:top w:val="single" w:sz="4" w:space="0" w:color="auto"/>
              <w:left w:val="nil"/>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Количество населенных пунктов, ед.</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Кустовая структура Бардымского МР, %</w:t>
            </w:r>
          </w:p>
        </w:tc>
      </w:tr>
      <w:tr w:rsidR="00FF387A" w:rsidRPr="00FF387A" w:rsidTr="007E2C94">
        <w:trPr>
          <w:trHeight w:val="300"/>
        </w:trPr>
        <w:tc>
          <w:tcPr>
            <w:tcW w:w="94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Бардымский</w:t>
            </w: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 xml:space="preserve">д. Мостовая </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8B24F0"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392</w:t>
            </w:r>
          </w:p>
        </w:tc>
        <w:tc>
          <w:tcPr>
            <w:tcW w:w="7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10</w:t>
            </w:r>
            <w:r w:rsidR="008B24F0">
              <w:rPr>
                <w:rFonts w:ascii="Times New Roman" w:eastAsia="Times New Roman" w:hAnsi="Times New Roman" w:cs="Times New Roman"/>
                <w:color w:val="000000"/>
              </w:rPr>
              <w:t>2</w:t>
            </w:r>
            <w:r w:rsidR="00321DFC">
              <w:rPr>
                <w:rFonts w:ascii="Times New Roman" w:eastAsia="Times New Roman" w:hAnsi="Times New Roman" w:cs="Times New Roman"/>
                <w:color w:val="000000"/>
              </w:rPr>
              <w:t>67</w:t>
            </w:r>
          </w:p>
        </w:tc>
        <w:tc>
          <w:tcPr>
            <w:tcW w:w="6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4</w:t>
            </w:r>
          </w:p>
        </w:tc>
        <w:tc>
          <w:tcPr>
            <w:tcW w:w="7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37,0</w:t>
            </w: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Старый Чад</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8B24F0"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179</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Чалково</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w:t>
            </w:r>
            <w:r w:rsidR="008B24F0">
              <w:rPr>
                <w:rFonts w:ascii="Times New Roman" w:eastAsia="Times New Roman" w:hAnsi="Times New Roman" w:cs="Times New Roman"/>
                <w:color w:val="000000"/>
              </w:rPr>
              <w:t>23</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Барда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9</w:t>
            </w:r>
            <w:r w:rsidR="008B24F0">
              <w:rPr>
                <w:rFonts w:ascii="Times New Roman" w:eastAsia="Times New Roman" w:hAnsi="Times New Roman" w:cs="Times New Roman"/>
                <w:color w:val="000000"/>
              </w:rPr>
              <w:t>5</w:t>
            </w:r>
            <w:r w:rsidR="00596AAE">
              <w:rPr>
                <w:rFonts w:ascii="Times New Roman" w:eastAsia="Times New Roman" w:hAnsi="Times New Roman" w:cs="Times New Roman"/>
                <w:color w:val="000000"/>
              </w:rPr>
              <w:t>73</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FF387A">
              <w:rPr>
                <w:rFonts w:ascii="Times New Roman" w:eastAsia="Times New Roman" w:hAnsi="Times New Roman" w:cs="Times New Roman"/>
                <w:color w:val="000000"/>
              </w:rPr>
              <w:t> </w:t>
            </w:r>
            <w:r w:rsidR="007E2C94" w:rsidRPr="007E2C94">
              <w:rPr>
                <w:rFonts w:ascii="Times New Roman" w:eastAsia="Times New Roman" w:hAnsi="Times New Roman" w:cs="Times New Roman"/>
                <w:b/>
                <w:color w:val="000000"/>
              </w:rPr>
              <w:t>Елпачихинский</w:t>
            </w: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Ишимово</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8B24F0"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398</w:t>
            </w:r>
          </w:p>
        </w:tc>
        <w:tc>
          <w:tcPr>
            <w:tcW w:w="7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7E2C94"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4799</w:t>
            </w:r>
          </w:p>
        </w:tc>
        <w:tc>
          <w:tcPr>
            <w:tcW w:w="6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22</w:t>
            </w:r>
          </w:p>
        </w:tc>
        <w:tc>
          <w:tcPr>
            <w:tcW w:w="7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21,6</w:t>
            </w: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Антуфьево</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4</w:t>
            </w:r>
            <w:r w:rsidR="008B24F0">
              <w:rPr>
                <w:rFonts w:ascii="Times New Roman" w:eastAsia="Times New Roman" w:hAnsi="Times New Roman" w:cs="Times New Roman"/>
                <w:color w:val="000000"/>
              </w:rPr>
              <w:t>4</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Зайцево</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w:t>
            </w:r>
            <w:r w:rsidR="008B24F0">
              <w:rPr>
                <w:rFonts w:ascii="Times New Roman" w:eastAsia="Times New Roman" w:hAnsi="Times New Roman" w:cs="Times New Roman"/>
                <w:color w:val="000000"/>
              </w:rPr>
              <w:t>7</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Искирь</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8B24F0"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Караул</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11</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Конюково</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8B24F0"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Кудаш</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8B24F0"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109</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Низовское</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0671CF"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Усть-Тунтор</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Чувашаево</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Шабарка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w:t>
            </w:r>
            <w:r w:rsidR="00661B3A">
              <w:rPr>
                <w:rFonts w:ascii="Times New Roman" w:eastAsia="Times New Roman" w:hAnsi="Times New Roman" w:cs="Times New Roman"/>
                <w:color w:val="000000"/>
              </w:rPr>
              <w:t>55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Шермеинск</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3</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Щипа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2</w:t>
            </w:r>
            <w:r w:rsidR="00661B3A">
              <w:rPr>
                <w:rFonts w:ascii="Times New Roman" w:eastAsia="Times New Roman" w:hAnsi="Times New Roman" w:cs="Times New Roman"/>
                <w:color w:val="000000"/>
              </w:rPr>
              <w:t>3</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Юкшур</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п. Искирский</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3</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Акбаш</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401</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Березники</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402</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Елпачиха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w:t>
            </w:r>
            <w:r w:rsidR="00661B3A">
              <w:rPr>
                <w:rFonts w:ascii="Times New Roman" w:eastAsia="Times New Roman" w:hAnsi="Times New Roman" w:cs="Times New Roman"/>
                <w:color w:val="000000"/>
              </w:rPr>
              <w:t>382</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Куземьярово</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404</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Уймуж</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Федорки</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4</w:t>
            </w:r>
            <w:r w:rsidR="00661B3A">
              <w:rPr>
                <w:rFonts w:ascii="Times New Roman" w:eastAsia="Times New Roman" w:hAnsi="Times New Roman" w:cs="Times New Roman"/>
                <w:color w:val="000000"/>
              </w:rPr>
              <w:t>44</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Шермейка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178</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Красноярский</w:t>
            </w: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Новая Казанка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99</w:t>
            </w:r>
          </w:p>
        </w:tc>
        <w:tc>
          <w:tcPr>
            <w:tcW w:w="7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596AAE"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507</w:t>
            </w:r>
            <w:r w:rsidR="007E2C94">
              <w:rPr>
                <w:rFonts w:ascii="Times New Roman" w:eastAsia="Times New Roman" w:hAnsi="Times New Roman" w:cs="Times New Roman"/>
                <w:color w:val="000000"/>
              </w:rPr>
              <w:t>7</w:t>
            </w:r>
          </w:p>
        </w:tc>
        <w:tc>
          <w:tcPr>
            <w:tcW w:w="6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13</w:t>
            </w:r>
          </w:p>
        </w:tc>
        <w:tc>
          <w:tcPr>
            <w:tcW w:w="7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20,4</w:t>
            </w: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Бардабашка-I</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179</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Бардабашка-II</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38</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Верх-Шлык</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88</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 xml:space="preserve">д. Новый Чад  </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41</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Старый Ашап</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43</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Утяй</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2</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Учкул</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Аклуши</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323</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Тюндюк</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653</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Бичурино</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12</w:t>
            </w:r>
            <w:r w:rsidR="00661B3A">
              <w:rPr>
                <w:rFonts w:ascii="Times New Roman" w:eastAsia="Times New Roman" w:hAnsi="Times New Roman" w:cs="Times New Roman"/>
                <w:color w:val="000000"/>
              </w:rPr>
              <w:t>85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Краснояр-I</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16</w:t>
            </w:r>
            <w:r w:rsidR="00661B3A">
              <w:rPr>
                <w:rFonts w:ascii="Times New Roman" w:eastAsia="Times New Roman" w:hAnsi="Times New Roman" w:cs="Times New Roman"/>
                <w:color w:val="000000"/>
              </w:rPr>
              <w:t>01</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Краснояр-II</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670</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Сарашевский</w:t>
            </w: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Игатка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7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7E2C94"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5059</w:t>
            </w:r>
          </w:p>
        </w:tc>
        <w:tc>
          <w:tcPr>
            <w:tcW w:w="6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22</w:t>
            </w:r>
          </w:p>
        </w:tc>
        <w:tc>
          <w:tcPr>
            <w:tcW w:w="7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21,0</w:t>
            </w: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Амировка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2</w:t>
            </w:r>
            <w:r w:rsidR="00661B3A">
              <w:rPr>
                <w:rFonts w:ascii="Times New Roman" w:eastAsia="Times New Roman" w:hAnsi="Times New Roman" w:cs="Times New Roman"/>
                <w:color w:val="000000"/>
              </w:rPr>
              <w:t>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Асюл</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w:t>
            </w:r>
            <w:r w:rsidR="00661B3A">
              <w:rPr>
                <w:rFonts w:ascii="Times New Roman" w:eastAsia="Times New Roman" w:hAnsi="Times New Roman" w:cs="Times New Roman"/>
                <w:color w:val="000000"/>
              </w:rPr>
              <w:t>16</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Батырбай</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w:t>
            </w:r>
            <w:r w:rsidR="00661B3A">
              <w:rPr>
                <w:rFonts w:ascii="Times New Roman" w:eastAsia="Times New Roman" w:hAnsi="Times New Roman" w:cs="Times New Roman"/>
                <w:color w:val="000000"/>
              </w:rPr>
              <w:t>28</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Верхний Ашап</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6</w:t>
            </w:r>
            <w:r w:rsidR="00661B3A">
              <w:rPr>
                <w:rFonts w:ascii="Times New Roman" w:eastAsia="Times New Roman" w:hAnsi="Times New Roman" w:cs="Times New Roman"/>
                <w:color w:val="000000"/>
              </w:rPr>
              <w:t>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Зязелга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13</w:t>
            </w:r>
            <w:r w:rsidR="00661B3A">
              <w:rPr>
                <w:rFonts w:ascii="Times New Roman" w:eastAsia="Times New Roman" w:hAnsi="Times New Roman" w:cs="Times New Roman"/>
                <w:color w:val="000000"/>
              </w:rPr>
              <w:t>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Кармановка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2</w:t>
            </w:r>
            <w:r w:rsidR="00661B3A">
              <w:rPr>
                <w:rFonts w:ascii="Times New Roman" w:eastAsia="Times New Roman" w:hAnsi="Times New Roman" w:cs="Times New Roman"/>
                <w:color w:val="000000"/>
              </w:rPr>
              <w:t>30</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Нарадка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Нижняя Искильда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w:t>
            </w:r>
            <w:r w:rsidR="00661B3A">
              <w:rPr>
                <w:rFonts w:ascii="Times New Roman" w:eastAsia="Times New Roman" w:hAnsi="Times New Roman" w:cs="Times New Roman"/>
                <w:color w:val="000000"/>
              </w:rPr>
              <w:t>27</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Никольск</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4</w:t>
            </w:r>
            <w:r w:rsidR="00661B3A">
              <w:rPr>
                <w:rFonts w:ascii="Times New Roman" w:eastAsia="Times New Roman" w:hAnsi="Times New Roman" w:cs="Times New Roman"/>
                <w:color w:val="000000"/>
              </w:rPr>
              <w:t>1</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Сюзянь</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297</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Талканка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 xml:space="preserve">д. Усаклы </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Усть-Ашап</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w:t>
            </w:r>
            <w:r w:rsidR="00661B3A">
              <w:rPr>
                <w:rFonts w:ascii="Times New Roman" w:eastAsia="Times New Roman" w:hAnsi="Times New Roman" w:cs="Times New Roman"/>
                <w:color w:val="000000"/>
              </w:rPr>
              <w:t>16</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Усть-Шлык</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Брюзли</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299</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Константиновка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459</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Новый Ашап</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248</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Печмень</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418</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Сараши</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w:t>
            </w:r>
            <w:r w:rsidR="00661B3A">
              <w:rPr>
                <w:rFonts w:ascii="Times New Roman" w:eastAsia="Times New Roman" w:hAnsi="Times New Roman" w:cs="Times New Roman"/>
                <w:color w:val="000000"/>
              </w:rPr>
              <w:t>455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Султанай</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342</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Танып</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475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205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Итого</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7E2C94" w:rsidRDefault="007E2C94"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25 202</w:t>
            </w:r>
          </w:p>
        </w:tc>
        <w:tc>
          <w:tcPr>
            <w:tcW w:w="757" w:type="pct"/>
            <w:tcBorders>
              <w:top w:val="nil"/>
              <w:left w:val="nil"/>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2</w:t>
            </w:r>
            <w:r w:rsidR="00321DFC">
              <w:rPr>
                <w:rFonts w:ascii="Times New Roman" w:eastAsia="Times New Roman" w:hAnsi="Times New Roman" w:cs="Times New Roman"/>
                <w:b/>
                <w:color w:val="000000"/>
              </w:rPr>
              <w:t>5 202</w:t>
            </w:r>
            <w:r w:rsidR="007E2C94">
              <w:rPr>
                <w:rFonts w:ascii="Times New Roman" w:eastAsia="Times New Roman" w:hAnsi="Times New Roman" w:cs="Times New Roman"/>
                <w:b/>
                <w:color w:val="000000"/>
              </w:rPr>
              <w:t xml:space="preserve"> </w:t>
            </w:r>
          </w:p>
        </w:tc>
        <w:tc>
          <w:tcPr>
            <w:tcW w:w="688" w:type="pct"/>
            <w:tcBorders>
              <w:top w:val="nil"/>
              <w:left w:val="nil"/>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61</w:t>
            </w:r>
          </w:p>
        </w:tc>
        <w:tc>
          <w:tcPr>
            <w:tcW w:w="742" w:type="pct"/>
            <w:tcBorders>
              <w:top w:val="nil"/>
              <w:left w:val="nil"/>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100</w:t>
            </w:r>
          </w:p>
        </w:tc>
      </w:tr>
    </w:tbl>
    <w:p w:rsidR="00FF387A" w:rsidRDefault="00FF387A" w:rsidP="006D2568">
      <w:pPr>
        <w:spacing w:after="0" w:line="240" w:lineRule="auto"/>
        <w:ind w:firstLine="709"/>
        <w:jc w:val="both"/>
        <w:rPr>
          <w:rFonts w:ascii="Times New Roman" w:eastAsia="Times New Roman" w:hAnsi="Times New Roman" w:cs="Times New Roman"/>
          <w:sz w:val="28"/>
          <w:szCs w:val="28"/>
        </w:rPr>
      </w:pPr>
    </w:p>
    <w:p w:rsidR="00FF387A" w:rsidRDefault="00FF387A"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Благодаря объединению сельских поселений в кустовую систему расселения у Бардымского муниципального района появится возможность упразднить некоторые административные должности, что позволит сократить административные расходы. Экономия затрат приведена в таблице 3.3.</w:t>
      </w:r>
    </w:p>
    <w:p w:rsidR="00FF387A" w:rsidRDefault="00FF387A">
      <w:pPr>
        <w:rPr>
          <w:rFonts w:ascii="Times New Roman" w:eastAsia="Times New Roman" w:hAnsi="Times New Roman" w:cs="Times New Roman"/>
          <w:sz w:val="28"/>
          <w:szCs w:val="28"/>
        </w:rPr>
      </w:pPr>
    </w:p>
    <w:p w:rsidR="001D3C25" w:rsidRDefault="001D3C25" w:rsidP="00FF387A">
      <w:pPr>
        <w:spacing w:after="0"/>
        <w:ind w:firstLine="709"/>
        <w:jc w:val="right"/>
        <w:rPr>
          <w:rFonts w:ascii="Times New Roman" w:eastAsia="Times New Roman" w:hAnsi="Times New Roman" w:cs="Times New Roman"/>
          <w:sz w:val="28"/>
          <w:szCs w:val="28"/>
        </w:rPr>
        <w:sectPr w:rsidR="001D3C25" w:rsidSect="00E3313E">
          <w:footerReference w:type="default" r:id="rId94"/>
          <w:pgSz w:w="11906" w:h="16838"/>
          <w:pgMar w:top="851" w:right="567" w:bottom="851" w:left="1418" w:header="709" w:footer="709" w:gutter="0"/>
          <w:cols w:space="708"/>
          <w:docGrid w:linePitch="360"/>
        </w:sectPr>
      </w:pPr>
    </w:p>
    <w:p w:rsidR="00FF387A" w:rsidRDefault="00FF387A" w:rsidP="00FF387A">
      <w:pPr>
        <w:spacing w:after="0"/>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Таблица 3.3</w:t>
      </w:r>
    </w:p>
    <w:p w:rsidR="002E0664" w:rsidRPr="006E5D55" w:rsidRDefault="002E0664" w:rsidP="002E0664">
      <w:pPr>
        <w:spacing w:after="0"/>
        <w:ind w:firstLine="709"/>
        <w:jc w:val="center"/>
        <w:rPr>
          <w:rFonts w:ascii="Times New Roman" w:eastAsia="Times New Roman" w:hAnsi="Times New Roman" w:cs="Times New Roman"/>
          <w:b/>
          <w:sz w:val="28"/>
          <w:szCs w:val="28"/>
        </w:rPr>
      </w:pPr>
      <w:r w:rsidRPr="006E5D55">
        <w:rPr>
          <w:rFonts w:ascii="Times New Roman" w:eastAsia="Times New Roman" w:hAnsi="Times New Roman" w:cs="Times New Roman"/>
          <w:b/>
          <w:sz w:val="28"/>
          <w:szCs w:val="28"/>
        </w:rPr>
        <w:t>Возможная экономия затрат в Бардымском муниципальном районе при изменении системы расселения</w:t>
      </w:r>
    </w:p>
    <w:p w:rsidR="002E0664" w:rsidRPr="002E0664" w:rsidRDefault="002E0664" w:rsidP="002E0664">
      <w:pPr>
        <w:spacing w:after="0"/>
        <w:ind w:firstLine="709"/>
        <w:jc w:val="right"/>
        <w:rPr>
          <w:rFonts w:ascii="Times New Roman" w:eastAsia="Times New Roman" w:hAnsi="Times New Roman" w:cs="Times New Roman"/>
          <w:sz w:val="24"/>
          <w:szCs w:val="28"/>
        </w:rPr>
      </w:pPr>
      <w:r w:rsidRPr="002E0664">
        <w:rPr>
          <w:rFonts w:ascii="Times New Roman" w:eastAsia="Times New Roman" w:hAnsi="Times New Roman" w:cs="Times New Roman"/>
          <w:sz w:val="24"/>
          <w:szCs w:val="28"/>
        </w:rPr>
        <w:t>(тыс.руб.)</w:t>
      </w:r>
    </w:p>
    <w:tbl>
      <w:tblPr>
        <w:tblW w:w="5000" w:type="pct"/>
        <w:tblLayout w:type="fixed"/>
        <w:tblLook w:val="04A0"/>
      </w:tblPr>
      <w:tblGrid>
        <w:gridCol w:w="1526"/>
        <w:gridCol w:w="1133"/>
        <w:gridCol w:w="1136"/>
        <w:gridCol w:w="992"/>
        <w:gridCol w:w="1274"/>
        <w:gridCol w:w="1277"/>
        <w:gridCol w:w="992"/>
        <w:gridCol w:w="1277"/>
        <w:gridCol w:w="992"/>
        <w:gridCol w:w="1133"/>
        <w:gridCol w:w="1277"/>
        <w:gridCol w:w="1133"/>
        <w:gridCol w:w="1210"/>
      </w:tblGrid>
      <w:tr w:rsidR="002E0664" w:rsidRPr="00FF387A" w:rsidTr="002E0664">
        <w:trPr>
          <w:trHeight w:val="300"/>
        </w:trPr>
        <w:tc>
          <w:tcPr>
            <w:tcW w:w="4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Поселения</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Доходы</w:t>
            </w:r>
          </w:p>
        </w:tc>
        <w:tc>
          <w:tcPr>
            <w:tcW w:w="1847" w:type="pct"/>
            <w:gridSpan w:val="5"/>
            <w:tcBorders>
              <w:top w:val="single" w:sz="4" w:space="0" w:color="auto"/>
              <w:left w:val="nil"/>
              <w:bottom w:val="single" w:sz="4" w:space="0" w:color="auto"/>
              <w:right w:val="single" w:sz="4" w:space="0" w:color="auto"/>
            </w:tcBorders>
            <w:shd w:val="clear" w:color="auto" w:fill="auto"/>
            <w:noWrap/>
            <w:vAlign w:val="bottom"/>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Расходы до</w:t>
            </w:r>
          </w:p>
        </w:tc>
        <w:tc>
          <w:tcPr>
            <w:tcW w:w="1893" w:type="pct"/>
            <w:gridSpan w:val="5"/>
            <w:tcBorders>
              <w:top w:val="single" w:sz="4" w:space="0" w:color="auto"/>
              <w:left w:val="nil"/>
              <w:bottom w:val="single" w:sz="4" w:space="0" w:color="auto"/>
              <w:right w:val="single" w:sz="4" w:space="0" w:color="auto"/>
            </w:tcBorders>
            <w:shd w:val="clear" w:color="auto" w:fill="auto"/>
            <w:noWrap/>
            <w:vAlign w:val="bottom"/>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Расходы после</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rPr>
            </w:pPr>
            <w:r w:rsidRPr="00F553E8">
              <w:rPr>
                <w:rFonts w:ascii="Times New Roman" w:eastAsia="Times New Roman" w:hAnsi="Times New Roman" w:cs="Times New Roman"/>
                <w:b/>
                <w:color w:val="000000"/>
                <w:sz w:val="20"/>
              </w:rPr>
              <w:t>Экономия</w:t>
            </w:r>
          </w:p>
        </w:tc>
      </w:tr>
      <w:tr w:rsidR="002E0664" w:rsidRPr="00FF387A" w:rsidTr="00E21B77">
        <w:trPr>
          <w:trHeight w:val="599"/>
        </w:trPr>
        <w:tc>
          <w:tcPr>
            <w:tcW w:w="497" w:type="pct"/>
            <w:vMerge/>
            <w:tcBorders>
              <w:top w:val="single" w:sz="4" w:space="0" w:color="auto"/>
              <w:left w:val="single" w:sz="4" w:space="0" w:color="auto"/>
              <w:bottom w:val="single" w:sz="4" w:space="0" w:color="auto"/>
              <w:right w:val="single" w:sz="4" w:space="0" w:color="auto"/>
            </w:tcBorders>
            <w:vAlign w:val="center"/>
            <w:hideMark/>
          </w:tcPr>
          <w:p w:rsidR="002E0664" w:rsidRPr="00F553E8" w:rsidRDefault="002E0664" w:rsidP="002E0664">
            <w:pPr>
              <w:spacing w:after="0" w:line="240" w:lineRule="auto"/>
              <w:rPr>
                <w:rFonts w:ascii="Times New Roman" w:eastAsia="Times New Roman" w:hAnsi="Times New Roman" w:cs="Times New Roman"/>
                <w:color w:val="000000"/>
                <w:sz w:val="20"/>
                <w:szCs w:val="20"/>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rsidR="002E0664" w:rsidRPr="00F553E8" w:rsidRDefault="002E0664" w:rsidP="002E0664">
            <w:pPr>
              <w:spacing w:after="0" w:line="240" w:lineRule="auto"/>
              <w:rPr>
                <w:rFonts w:ascii="Times New Roman" w:eastAsia="Times New Roman" w:hAnsi="Times New Roman" w:cs="Times New Roman"/>
                <w:color w:val="000000"/>
                <w:sz w:val="20"/>
                <w:szCs w:val="20"/>
              </w:rPr>
            </w:pPr>
          </w:p>
        </w:tc>
        <w:tc>
          <w:tcPr>
            <w:tcW w:w="370" w:type="pct"/>
            <w:tcBorders>
              <w:top w:val="nil"/>
              <w:left w:val="nil"/>
              <w:bottom w:val="single" w:sz="4" w:space="0" w:color="auto"/>
              <w:right w:val="single" w:sz="4" w:space="0" w:color="auto"/>
            </w:tcBorders>
            <w:shd w:val="clear" w:color="auto" w:fill="auto"/>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всего, в т.ч.:</w:t>
            </w:r>
          </w:p>
        </w:tc>
        <w:tc>
          <w:tcPr>
            <w:tcW w:w="323" w:type="pct"/>
            <w:tcBorders>
              <w:top w:val="nil"/>
              <w:left w:val="nil"/>
              <w:bottom w:val="single" w:sz="4" w:space="0" w:color="auto"/>
              <w:right w:val="single" w:sz="4" w:space="0" w:color="auto"/>
            </w:tcBorders>
            <w:shd w:val="clear" w:color="auto" w:fill="auto"/>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ФОТ</w:t>
            </w:r>
          </w:p>
        </w:tc>
        <w:tc>
          <w:tcPr>
            <w:tcW w:w="415" w:type="pct"/>
            <w:tcBorders>
              <w:top w:val="nil"/>
              <w:left w:val="nil"/>
              <w:bottom w:val="single" w:sz="4" w:space="0" w:color="auto"/>
              <w:right w:val="single" w:sz="4" w:space="0" w:color="auto"/>
            </w:tcBorders>
            <w:shd w:val="clear" w:color="auto" w:fill="auto"/>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комм. усл.</w:t>
            </w:r>
          </w:p>
        </w:tc>
        <w:tc>
          <w:tcPr>
            <w:tcW w:w="416" w:type="pct"/>
            <w:tcBorders>
              <w:top w:val="nil"/>
              <w:left w:val="nil"/>
              <w:bottom w:val="single" w:sz="4" w:space="0" w:color="auto"/>
              <w:right w:val="single" w:sz="4" w:space="0" w:color="auto"/>
            </w:tcBorders>
            <w:shd w:val="clear" w:color="auto" w:fill="auto"/>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благоустр, содерж. дорог</w:t>
            </w:r>
          </w:p>
        </w:tc>
        <w:tc>
          <w:tcPr>
            <w:tcW w:w="323" w:type="pct"/>
            <w:tcBorders>
              <w:top w:val="nil"/>
              <w:left w:val="nil"/>
              <w:bottom w:val="single" w:sz="4" w:space="0" w:color="auto"/>
              <w:right w:val="single" w:sz="4" w:space="0" w:color="auto"/>
            </w:tcBorders>
            <w:shd w:val="clear" w:color="auto" w:fill="auto"/>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прочие</w:t>
            </w:r>
          </w:p>
        </w:tc>
        <w:tc>
          <w:tcPr>
            <w:tcW w:w="416" w:type="pct"/>
            <w:tcBorders>
              <w:top w:val="nil"/>
              <w:left w:val="nil"/>
              <w:bottom w:val="single" w:sz="4" w:space="0" w:color="auto"/>
              <w:right w:val="single" w:sz="4" w:space="0" w:color="auto"/>
            </w:tcBorders>
            <w:shd w:val="clear" w:color="auto" w:fill="auto"/>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всего, в т.ч.:</w:t>
            </w:r>
          </w:p>
        </w:tc>
        <w:tc>
          <w:tcPr>
            <w:tcW w:w="323" w:type="pct"/>
            <w:tcBorders>
              <w:top w:val="nil"/>
              <w:left w:val="nil"/>
              <w:bottom w:val="single" w:sz="4" w:space="0" w:color="auto"/>
              <w:right w:val="single" w:sz="4" w:space="0" w:color="auto"/>
            </w:tcBorders>
            <w:shd w:val="clear" w:color="auto" w:fill="auto"/>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ФОТ</w:t>
            </w:r>
          </w:p>
        </w:tc>
        <w:tc>
          <w:tcPr>
            <w:tcW w:w="369" w:type="pct"/>
            <w:tcBorders>
              <w:top w:val="nil"/>
              <w:left w:val="nil"/>
              <w:bottom w:val="single" w:sz="4" w:space="0" w:color="auto"/>
              <w:right w:val="single" w:sz="4" w:space="0" w:color="auto"/>
            </w:tcBorders>
            <w:shd w:val="clear" w:color="auto" w:fill="auto"/>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комм. усл.</w:t>
            </w:r>
          </w:p>
        </w:tc>
        <w:tc>
          <w:tcPr>
            <w:tcW w:w="416" w:type="pct"/>
            <w:tcBorders>
              <w:top w:val="nil"/>
              <w:left w:val="nil"/>
              <w:bottom w:val="single" w:sz="4" w:space="0" w:color="auto"/>
              <w:right w:val="single" w:sz="4" w:space="0" w:color="auto"/>
            </w:tcBorders>
            <w:shd w:val="clear" w:color="auto" w:fill="auto"/>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благоустр, содерж. дорог</w:t>
            </w:r>
          </w:p>
        </w:tc>
        <w:tc>
          <w:tcPr>
            <w:tcW w:w="369" w:type="pct"/>
            <w:tcBorders>
              <w:top w:val="nil"/>
              <w:left w:val="nil"/>
              <w:bottom w:val="single" w:sz="4" w:space="0" w:color="auto"/>
              <w:right w:val="single" w:sz="4" w:space="0" w:color="auto"/>
            </w:tcBorders>
            <w:shd w:val="clear" w:color="auto" w:fill="auto"/>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прочие</w:t>
            </w:r>
          </w:p>
        </w:tc>
        <w:tc>
          <w:tcPr>
            <w:tcW w:w="394" w:type="pct"/>
            <w:vMerge/>
            <w:tcBorders>
              <w:top w:val="single" w:sz="4" w:space="0" w:color="auto"/>
              <w:left w:val="single" w:sz="4" w:space="0" w:color="auto"/>
              <w:bottom w:val="single" w:sz="4" w:space="0" w:color="auto"/>
              <w:right w:val="single" w:sz="4" w:space="0" w:color="auto"/>
            </w:tcBorders>
            <w:vAlign w:val="center"/>
            <w:hideMark/>
          </w:tcPr>
          <w:p w:rsidR="002E0664" w:rsidRPr="00FF387A" w:rsidRDefault="002E0664" w:rsidP="002E0664">
            <w:pPr>
              <w:spacing w:after="0" w:line="240" w:lineRule="auto"/>
              <w:rPr>
                <w:rFonts w:ascii="Times New Roman" w:eastAsia="Times New Roman" w:hAnsi="Times New Roman" w:cs="Times New Roman"/>
                <w:color w:val="000000"/>
              </w:rPr>
            </w:pPr>
          </w:p>
        </w:tc>
      </w:tr>
      <w:tr w:rsidR="002E0664" w:rsidRPr="00FF387A" w:rsidTr="002E0664">
        <w:trPr>
          <w:trHeight w:val="300"/>
        </w:trPr>
        <w:tc>
          <w:tcPr>
            <w:tcW w:w="5000" w:type="pct"/>
            <w:gridSpan w:val="13"/>
            <w:tcBorders>
              <w:top w:val="nil"/>
              <w:left w:val="single" w:sz="4" w:space="0" w:color="auto"/>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Красноярский куст</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Краснояр</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8235,8</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10151,4</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4764,8</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516</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3742,4</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1128,2</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10151,4</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4764,8</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516</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3742,4</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1128,2</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0</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Тюндюк</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7661,2</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8355,1</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5667,7</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698,4</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1251,4</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737,6</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6840,2</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4343,8</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698,4</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1251,4</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546,6</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1514,9</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Бичурино</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7497,4</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8201</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4622</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467,9</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2278,3</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832,8</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6357,5</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3115,9</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467,9</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2278,3</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495,4</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1843,5</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Итого</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23394,4</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26707,5</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15054,5</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1682,3</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7272,1</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2698,6</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23349,1</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12224,5</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1682,3</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7272,1</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2170,2</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3358,4</w:t>
            </w:r>
          </w:p>
        </w:tc>
      </w:tr>
      <w:tr w:rsidR="002E0664" w:rsidRPr="00FF387A" w:rsidTr="002E0664">
        <w:trPr>
          <w:trHeight w:val="300"/>
        </w:trPr>
        <w:tc>
          <w:tcPr>
            <w:tcW w:w="5000" w:type="pct"/>
            <w:gridSpan w:val="13"/>
            <w:tcBorders>
              <w:top w:val="nil"/>
              <w:left w:val="single" w:sz="4" w:space="0" w:color="auto"/>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Сарашевский куст</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Сараши</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9233</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9472,3</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7309,8</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147</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851,1</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1164,4</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9472,3</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7309,8</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147</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851,1</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1164,4</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0</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Нов</w:t>
            </w:r>
            <w:r>
              <w:rPr>
                <w:rFonts w:ascii="Times New Roman" w:eastAsia="Times New Roman" w:hAnsi="Times New Roman" w:cs="Times New Roman"/>
                <w:color w:val="000000"/>
              </w:rPr>
              <w:t>ый А</w:t>
            </w:r>
            <w:r w:rsidRPr="00FF387A">
              <w:rPr>
                <w:rFonts w:ascii="Times New Roman" w:eastAsia="Times New Roman" w:hAnsi="Times New Roman" w:cs="Times New Roman"/>
                <w:color w:val="000000"/>
              </w:rPr>
              <w:t>шап</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4161</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4374,9</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2587,6</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540,1</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328,5</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918,7</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3585,3</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2057,4</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437</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328,5</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762,4</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789,6</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Печмень</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8274,6</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9386,8</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2991,5</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70</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2897,8</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3427,5</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7436,8</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1514,2</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70</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2897,8</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2954,8</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1950</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Брюзли</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4131,6</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4523,4</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3210,9</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288,5</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660,3</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363,7</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3380,4</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2163,6</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288,5</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660,3</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268</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1143</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Итого</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25800,2</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27757,4</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16099,8</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1045,6</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4737,7</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5874,3</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23874,8</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13045</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942,5</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4737,7</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5149,6</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3882,6</w:t>
            </w:r>
          </w:p>
        </w:tc>
      </w:tr>
      <w:tr w:rsidR="002E0664" w:rsidRPr="00FF387A" w:rsidTr="002E0664">
        <w:trPr>
          <w:trHeight w:val="300"/>
        </w:trPr>
        <w:tc>
          <w:tcPr>
            <w:tcW w:w="5000" w:type="pct"/>
            <w:gridSpan w:val="13"/>
            <w:tcBorders>
              <w:top w:val="nil"/>
              <w:left w:val="single" w:sz="4" w:space="0" w:color="auto"/>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Елпачихинский куст</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Елпачиха</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8477,8</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8842,8</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5125</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740</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1692,3</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1285,5</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8842,8</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5125</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740</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1692,3</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1285,5</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0</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Березники</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8396,8</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8948,2</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5744,3</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384</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1736,8</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1083,1</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7317,95</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4353,4</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384</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1736,8</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843,75</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1630,25</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Федорки</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6103,1</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6207,9</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4257,8</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600</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505,4</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844,7</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5744,9</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3824,6</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600</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505,4</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814,9</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463</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Шермейка</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4497,3</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4673,2</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2439,9</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763,5</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875,5</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594,3</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3964,3</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1825,2</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763,5</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875,5</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500,1</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708,9</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Итого</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27475</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28672,1</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17567</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2487,5</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4810</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3807,6</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25869,95</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15128,2</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2487,5</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4810</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3444,25</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2802,15</w:t>
            </w:r>
          </w:p>
        </w:tc>
      </w:tr>
      <w:tr w:rsidR="002E0664" w:rsidRPr="00FF387A" w:rsidTr="002E0664">
        <w:trPr>
          <w:trHeight w:val="300"/>
        </w:trPr>
        <w:tc>
          <w:tcPr>
            <w:tcW w:w="5000" w:type="pct"/>
            <w:gridSpan w:val="13"/>
            <w:tcBorders>
              <w:top w:val="nil"/>
              <w:left w:val="single" w:sz="4" w:space="0" w:color="auto"/>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Бардымский куст</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Барда</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31382,3</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35982,7</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6289,6</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207,1</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14361,9</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15124,1</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35982,7</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6289,6</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207,1</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14361,9</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15124,1</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0</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Всего</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108051,9</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119119,7</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55010,9</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5422,5</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31181,7</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27504,6</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109076,55</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46687,3</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5319,4</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31181,7</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25888,15</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10043,2</w:t>
            </w:r>
          </w:p>
        </w:tc>
      </w:tr>
    </w:tbl>
    <w:p w:rsidR="001D3C25" w:rsidRPr="00153E07" w:rsidRDefault="001D3C25" w:rsidP="00D527C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д</w:t>
      </w:r>
      <w:r w:rsidRPr="00153E07">
        <w:rPr>
          <w:rFonts w:ascii="Times New Roman" w:eastAsia="Times New Roman" w:hAnsi="Times New Roman" w:cs="Times New Roman"/>
          <w:sz w:val="28"/>
          <w:szCs w:val="28"/>
        </w:rPr>
        <w:t xml:space="preserve">анные территориальные системы должны обеспечить необходимую устойчивость </w:t>
      </w:r>
      <w:r>
        <w:rPr>
          <w:rFonts w:ascii="Times New Roman" w:eastAsia="Times New Roman" w:hAnsi="Times New Roman" w:cs="Times New Roman"/>
          <w:sz w:val="28"/>
          <w:szCs w:val="28"/>
        </w:rPr>
        <w:t xml:space="preserve">и бюджетную экономию </w:t>
      </w:r>
      <w:r w:rsidRPr="00153E07">
        <w:rPr>
          <w:rFonts w:ascii="Times New Roman" w:eastAsia="Times New Roman" w:hAnsi="Times New Roman" w:cs="Times New Roman"/>
          <w:sz w:val="28"/>
          <w:szCs w:val="28"/>
        </w:rPr>
        <w:t>целостному каркасу расселения Бардымского района.</w:t>
      </w:r>
    </w:p>
    <w:p w:rsidR="00E21B77" w:rsidRDefault="00E21B77" w:rsidP="00D527CE">
      <w:pPr>
        <w:spacing w:after="0" w:line="240" w:lineRule="auto"/>
        <w:ind w:firstLine="709"/>
        <w:jc w:val="both"/>
        <w:rPr>
          <w:rFonts w:ascii="Times New Roman" w:eastAsia="Times New Roman" w:hAnsi="Times New Roman" w:cs="Times New Roman"/>
          <w:sz w:val="28"/>
          <w:szCs w:val="28"/>
        </w:rPr>
      </w:pPr>
    </w:p>
    <w:p w:rsidR="00E21B77" w:rsidRDefault="00E21B77" w:rsidP="00D527CE">
      <w:pPr>
        <w:spacing w:after="0" w:line="240" w:lineRule="auto"/>
        <w:ind w:firstLine="709"/>
        <w:jc w:val="both"/>
        <w:rPr>
          <w:rFonts w:ascii="Times New Roman" w:eastAsia="Times New Roman" w:hAnsi="Times New Roman" w:cs="Times New Roman"/>
          <w:sz w:val="28"/>
          <w:szCs w:val="28"/>
        </w:rPr>
      </w:pPr>
    </w:p>
    <w:p w:rsidR="001D3C25" w:rsidRPr="00153E07" w:rsidRDefault="001D3C25" w:rsidP="00D527C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SWOT-анализ социально-экономического развития Бардымского муниципального района представлен в таблице 3.</w:t>
      </w:r>
      <w:r>
        <w:rPr>
          <w:rFonts w:ascii="Times New Roman" w:eastAsia="Times New Roman" w:hAnsi="Times New Roman" w:cs="Times New Roman"/>
          <w:sz w:val="28"/>
          <w:szCs w:val="28"/>
        </w:rPr>
        <w:t>4</w:t>
      </w:r>
      <w:r w:rsidRPr="00153E07">
        <w:rPr>
          <w:rFonts w:ascii="Times New Roman" w:eastAsia="Times New Roman" w:hAnsi="Times New Roman" w:cs="Times New Roman"/>
          <w:sz w:val="28"/>
          <w:szCs w:val="28"/>
        </w:rPr>
        <w:t xml:space="preserve">. </w:t>
      </w:r>
    </w:p>
    <w:p w:rsidR="00153E07" w:rsidRPr="00153E07" w:rsidRDefault="001D3C25" w:rsidP="00D527CE">
      <w:pPr>
        <w:spacing w:line="240" w:lineRule="auto"/>
        <w:jc w:val="right"/>
        <w:rPr>
          <w:rFonts w:ascii="Times New Roman" w:hAnsi="Times New Roman" w:cs="Times New Roman"/>
          <w:sz w:val="28"/>
          <w:szCs w:val="28"/>
        </w:rPr>
      </w:pPr>
      <w:r>
        <w:rPr>
          <w:rFonts w:ascii="Times New Roman" w:hAnsi="Times New Roman" w:cs="Times New Roman"/>
          <w:sz w:val="28"/>
          <w:szCs w:val="28"/>
        </w:rPr>
        <w:t>Таблица 3.4</w:t>
      </w:r>
    </w:p>
    <w:p w:rsidR="00153E07" w:rsidRPr="005A7C26" w:rsidRDefault="00153E07" w:rsidP="00D527CE">
      <w:pPr>
        <w:spacing w:line="240" w:lineRule="auto"/>
        <w:jc w:val="center"/>
        <w:rPr>
          <w:rFonts w:ascii="Times New Roman" w:hAnsi="Times New Roman" w:cs="Times New Roman"/>
          <w:b/>
          <w:sz w:val="28"/>
          <w:szCs w:val="28"/>
        </w:rPr>
      </w:pPr>
      <w:r w:rsidRPr="005A7C26">
        <w:rPr>
          <w:rFonts w:ascii="Times New Roman" w:hAnsi="Times New Roman" w:cs="Times New Roman"/>
          <w:b/>
          <w:sz w:val="28"/>
          <w:szCs w:val="28"/>
          <w:lang w:val="en-US"/>
        </w:rPr>
        <w:t>SWOT</w:t>
      </w:r>
      <w:r w:rsidRPr="005A7C26">
        <w:rPr>
          <w:rFonts w:ascii="Times New Roman" w:hAnsi="Times New Roman" w:cs="Times New Roman"/>
          <w:b/>
          <w:sz w:val="28"/>
          <w:szCs w:val="28"/>
        </w:rPr>
        <w:t>-анализ социально-экономического развития Бардымского муниципального района</w:t>
      </w:r>
    </w:p>
    <w:tbl>
      <w:tblPr>
        <w:tblW w:w="5000" w:type="pct"/>
        <w:tblLook w:val="04A0"/>
      </w:tblPr>
      <w:tblGrid>
        <w:gridCol w:w="2646"/>
        <w:gridCol w:w="2888"/>
        <w:gridCol w:w="3278"/>
        <w:gridCol w:w="3290"/>
        <w:gridCol w:w="3250"/>
      </w:tblGrid>
      <w:tr w:rsidR="005A7C26" w:rsidRPr="005A7C26" w:rsidTr="00153E07">
        <w:trPr>
          <w:trHeight w:val="315"/>
        </w:trPr>
        <w:tc>
          <w:tcPr>
            <w:tcW w:w="772" w:type="pct"/>
            <w:tcBorders>
              <w:top w:val="single" w:sz="4" w:space="0" w:color="auto"/>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b/>
                <w:bCs/>
                <w:color w:val="000000"/>
                <w:sz w:val="24"/>
                <w:szCs w:val="28"/>
              </w:rPr>
            </w:pPr>
            <w:r w:rsidRPr="005A7C26">
              <w:rPr>
                <w:rFonts w:ascii="Times New Roman" w:eastAsia="Times New Roman" w:hAnsi="Times New Roman" w:cs="Times New Roman"/>
                <w:b/>
                <w:bCs/>
                <w:color w:val="000000"/>
                <w:sz w:val="24"/>
                <w:szCs w:val="28"/>
              </w:rPr>
              <w:t>Аспект</w:t>
            </w:r>
          </w:p>
        </w:tc>
        <w:tc>
          <w:tcPr>
            <w:tcW w:w="963" w:type="pct"/>
            <w:tcBorders>
              <w:top w:val="single" w:sz="4" w:space="0" w:color="auto"/>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b/>
                <w:bCs/>
                <w:color w:val="000000"/>
                <w:sz w:val="24"/>
                <w:szCs w:val="28"/>
              </w:rPr>
            </w:pPr>
            <w:r w:rsidRPr="005A7C26">
              <w:rPr>
                <w:rFonts w:ascii="Times New Roman" w:eastAsia="Times New Roman" w:hAnsi="Times New Roman" w:cs="Times New Roman"/>
                <w:b/>
                <w:bCs/>
                <w:color w:val="000000"/>
                <w:sz w:val="24"/>
                <w:szCs w:val="28"/>
              </w:rPr>
              <w:t>Сильные стороны</w:t>
            </w:r>
          </w:p>
        </w:tc>
        <w:tc>
          <w:tcPr>
            <w:tcW w:w="1090" w:type="pct"/>
            <w:tcBorders>
              <w:top w:val="single" w:sz="4" w:space="0" w:color="auto"/>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b/>
                <w:bCs/>
                <w:color w:val="000000"/>
                <w:sz w:val="24"/>
                <w:szCs w:val="28"/>
              </w:rPr>
            </w:pPr>
            <w:r w:rsidRPr="005A7C26">
              <w:rPr>
                <w:rFonts w:ascii="Times New Roman" w:eastAsia="Times New Roman" w:hAnsi="Times New Roman" w:cs="Times New Roman"/>
                <w:b/>
                <w:bCs/>
                <w:color w:val="000000"/>
                <w:sz w:val="24"/>
                <w:szCs w:val="28"/>
              </w:rPr>
              <w:t>Слабые стороны</w:t>
            </w:r>
          </w:p>
        </w:tc>
        <w:tc>
          <w:tcPr>
            <w:tcW w:w="1094" w:type="pct"/>
            <w:tcBorders>
              <w:top w:val="single" w:sz="4" w:space="0" w:color="auto"/>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b/>
                <w:bCs/>
                <w:color w:val="000000"/>
                <w:sz w:val="24"/>
                <w:szCs w:val="28"/>
              </w:rPr>
            </w:pPr>
            <w:r w:rsidRPr="005A7C26">
              <w:rPr>
                <w:rFonts w:ascii="Times New Roman" w:eastAsia="Times New Roman" w:hAnsi="Times New Roman" w:cs="Times New Roman"/>
                <w:b/>
                <w:bCs/>
                <w:color w:val="000000"/>
                <w:sz w:val="24"/>
                <w:szCs w:val="28"/>
              </w:rPr>
              <w:t>Возможности</w:t>
            </w:r>
          </w:p>
        </w:tc>
        <w:tc>
          <w:tcPr>
            <w:tcW w:w="1081" w:type="pct"/>
            <w:tcBorders>
              <w:top w:val="single" w:sz="4" w:space="0" w:color="auto"/>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b/>
                <w:bCs/>
                <w:color w:val="000000"/>
                <w:sz w:val="24"/>
                <w:szCs w:val="28"/>
              </w:rPr>
            </w:pPr>
            <w:r w:rsidRPr="005A7C26">
              <w:rPr>
                <w:rFonts w:ascii="Times New Roman" w:eastAsia="Times New Roman" w:hAnsi="Times New Roman" w:cs="Times New Roman"/>
                <w:b/>
                <w:bCs/>
                <w:color w:val="000000"/>
                <w:sz w:val="24"/>
                <w:szCs w:val="28"/>
              </w:rPr>
              <w:t>Угрозы</w:t>
            </w:r>
          </w:p>
        </w:tc>
      </w:tr>
      <w:tr w:rsidR="005A7C26" w:rsidRPr="005A7C26" w:rsidTr="00153E07">
        <w:trPr>
          <w:trHeight w:val="900"/>
        </w:trPr>
        <w:tc>
          <w:tcPr>
            <w:tcW w:w="772" w:type="pct"/>
            <w:vMerge w:val="restart"/>
            <w:tcBorders>
              <w:top w:val="nil"/>
              <w:left w:val="single" w:sz="4" w:space="0" w:color="auto"/>
              <w:bottom w:val="single" w:sz="4" w:space="0" w:color="auto"/>
              <w:right w:val="single" w:sz="4" w:space="0" w:color="auto"/>
            </w:tcBorders>
            <w:shd w:val="clear" w:color="auto" w:fill="auto"/>
            <w:hideMark/>
          </w:tcPr>
          <w:p w:rsidR="00153E07" w:rsidRPr="00D53C12" w:rsidRDefault="00153E07" w:rsidP="00D527CE">
            <w:pPr>
              <w:spacing w:after="0" w:line="240" w:lineRule="auto"/>
              <w:jc w:val="both"/>
              <w:rPr>
                <w:rFonts w:ascii="Times New Roman" w:eastAsia="Times New Roman" w:hAnsi="Times New Roman" w:cs="Times New Roman"/>
                <w:b/>
                <w:color w:val="000000"/>
                <w:sz w:val="24"/>
                <w:szCs w:val="28"/>
              </w:rPr>
            </w:pPr>
            <w:r w:rsidRPr="00D53C12">
              <w:rPr>
                <w:rFonts w:ascii="Times New Roman" w:eastAsia="Times New Roman" w:hAnsi="Times New Roman" w:cs="Times New Roman"/>
                <w:b/>
                <w:color w:val="000000"/>
                <w:sz w:val="24"/>
                <w:szCs w:val="28"/>
              </w:rPr>
              <w:t>Экономико-географическое положение и природные ресурсы</w:t>
            </w: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благоприятные природно-климатические условия, плодородные почвы</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железнодорожных транспортных магистралей на территории района</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близость к краевому центру позволяет налаживать экономические и социальные связи</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низкая конкурентоспособность товаров собственного производства из-за высоких транспортных затрат;</w:t>
            </w:r>
          </w:p>
        </w:tc>
      </w:tr>
      <w:tr w:rsidR="005A7C26" w:rsidRPr="005A7C26" w:rsidTr="00153E07">
        <w:trPr>
          <w:trHeight w:val="99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наличие лесных, земельных и водных ресурсов</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недостаточная протяженность дорог местного значения, труднодоступность части населенных пунктов</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перспективы разработки месторождений минерально-сырьевых ресурсов</w:t>
            </w:r>
          </w:p>
        </w:tc>
        <w:tc>
          <w:tcPr>
            <w:tcW w:w="1081" w:type="pct"/>
            <w:tcBorders>
              <w:top w:val="single" w:sz="4" w:space="0" w:color="auto"/>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вымирание сельских поселений</w:t>
            </w: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близость к региональному центру и соседним регионам</w:t>
            </w:r>
          </w:p>
        </w:tc>
        <w:tc>
          <w:tcPr>
            <w:tcW w:w="1090" w:type="pc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w:t>
            </w:r>
            <w:r w:rsidR="005A7C26">
              <w:rPr>
                <w:rFonts w:ascii="Times New Roman" w:eastAsia="Times New Roman" w:hAnsi="Times New Roman" w:cs="Times New Roman"/>
                <w:color w:val="000000"/>
                <w:sz w:val="24"/>
                <w:szCs w:val="28"/>
              </w:rPr>
              <w:t xml:space="preserve">малонаселенность </w:t>
            </w:r>
            <w:r w:rsidRPr="005A7C26">
              <w:rPr>
                <w:rFonts w:ascii="Times New Roman" w:eastAsia="Times New Roman" w:hAnsi="Times New Roman" w:cs="Times New Roman"/>
                <w:color w:val="000000"/>
                <w:sz w:val="24"/>
                <w:szCs w:val="28"/>
              </w:rPr>
              <w:t>сельских поселений</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развитие рынков сбыта продукции собственного производства за пределы муниципального района</w:t>
            </w:r>
          </w:p>
        </w:tc>
        <w:tc>
          <w:tcPr>
            <w:tcW w:w="1081"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r>
      <w:tr w:rsidR="005A7C26" w:rsidRPr="005A7C26" w:rsidTr="00153E07">
        <w:trPr>
          <w:trHeight w:val="6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автомобильных дорог регионального значения</w:t>
            </w:r>
          </w:p>
        </w:tc>
        <w:tc>
          <w:tcPr>
            <w:tcW w:w="1090" w:type="pct"/>
            <w:tcBorders>
              <w:top w:val="nil"/>
              <w:left w:val="single" w:sz="4" w:space="0" w:color="auto"/>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развитие транспортного сообщения местного значения</w:t>
            </w:r>
          </w:p>
        </w:tc>
        <w:tc>
          <w:tcPr>
            <w:tcW w:w="1081"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r>
      <w:tr w:rsidR="005A7C26" w:rsidRPr="005A7C26" w:rsidTr="00153E07">
        <w:trPr>
          <w:trHeight w:val="9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месторождений минерально-сырьевых ресурсов</w:t>
            </w:r>
          </w:p>
        </w:tc>
        <w:tc>
          <w:tcPr>
            <w:tcW w:w="1090" w:type="pct"/>
            <w:tcBorders>
              <w:top w:val="nil"/>
              <w:left w:val="single" w:sz="4" w:space="0" w:color="auto"/>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объединение </w:t>
            </w:r>
            <w:r w:rsidR="005A7C26">
              <w:rPr>
                <w:rFonts w:ascii="Times New Roman" w:eastAsia="Times New Roman" w:hAnsi="Times New Roman" w:cs="Times New Roman"/>
                <w:color w:val="000000"/>
                <w:sz w:val="24"/>
                <w:szCs w:val="28"/>
              </w:rPr>
              <w:t xml:space="preserve">малонаселенных </w:t>
            </w:r>
            <w:r w:rsidRPr="005A7C26">
              <w:rPr>
                <w:rFonts w:ascii="Times New Roman" w:eastAsia="Times New Roman" w:hAnsi="Times New Roman" w:cs="Times New Roman"/>
                <w:color w:val="000000"/>
                <w:sz w:val="24"/>
                <w:szCs w:val="28"/>
              </w:rPr>
              <w:t>сельских поселений по принципу кустовой системы расселения</w:t>
            </w:r>
          </w:p>
        </w:tc>
        <w:tc>
          <w:tcPr>
            <w:tcW w:w="1081" w:type="pct"/>
            <w:tcBorders>
              <w:top w:val="nil"/>
              <w:left w:val="single" w:sz="4" w:space="0" w:color="auto"/>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r>
      <w:tr w:rsidR="005A7C26" w:rsidRPr="005A7C26" w:rsidTr="005A7C26">
        <w:trPr>
          <w:trHeight w:val="418"/>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программы помощи по переезду жителей </w:t>
            </w:r>
            <w:r w:rsidR="005A7C26">
              <w:rPr>
                <w:rFonts w:ascii="Times New Roman" w:eastAsia="Times New Roman" w:hAnsi="Times New Roman" w:cs="Times New Roman"/>
                <w:color w:val="000000"/>
                <w:sz w:val="24"/>
                <w:szCs w:val="28"/>
              </w:rPr>
              <w:t xml:space="preserve">малонаселенных </w:t>
            </w:r>
            <w:r w:rsidRPr="005A7C26">
              <w:rPr>
                <w:rFonts w:ascii="Times New Roman" w:eastAsia="Times New Roman" w:hAnsi="Times New Roman" w:cs="Times New Roman"/>
                <w:color w:val="000000"/>
                <w:sz w:val="24"/>
                <w:szCs w:val="28"/>
              </w:rPr>
              <w:t>пунктов в более крупные</w:t>
            </w:r>
          </w:p>
        </w:tc>
        <w:tc>
          <w:tcPr>
            <w:tcW w:w="1090" w:type="pct"/>
            <w:tcBorders>
              <w:top w:val="nil"/>
              <w:left w:val="single" w:sz="4" w:space="0" w:color="auto"/>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возможность развития сети придорожного сервиса в районе</w:t>
            </w:r>
          </w:p>
        </w:tc>
        <w:tc>
          <w:tcPr>
            <w:tcW w:w="1081" w:type="pct"/>
            <w:tcBorders>
              <w:top w:val="nil"/>
              <w:left w:val="single" w:sz="4" w:space="0" w:color="auto"/>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r>
      <w:tr w:rsidR="005A7C26" w:rsidRPr="005A7C26" w:rsidTr="00153E07">
        <w:trPr>
          <w:trHeight w:val="18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0" w:type="pct"/>
            <w:tcBorders>
              <w:left w:val="nil"/>
              <w:bottom w:val="single" w:sz="4" w:space="0" w:color="auto"/>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на территории района большого количества рек, природных парков, лесных массивов способствует развитию активного и экстремального туризма</w:t>
            </w:r>
          </w:p>
        </w:tc>
        <w:tc>
          <w:tcPr>
            <w:tcW w:w="1081" w:type="pct"/>
            <w:tcBorders>
              <w:left w:val="nil"/>
              <w:bottom w:val="single" w:sz="4" w:space="0" w:color="auto"/>
              <w:right w:val="single" w:sz="4" w:space="0" w:color="auto"/>
            </w:tcBorders>
            <w:shd w:val="clear" w:color="auto" w:fill="auto"/>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r>
      <w:tr w:rsidR="005A7C26" w:rsidRPr="005A7C26" w:rsidTr="00153E07">
        <w:trPr>
          <w:trHeight w:val="1500"/>
        </w:trPr>
        <w:tc>
          <w:tcPr>
            <w:tcW w:w="772" w:type="pct"/>
            <w:vMerge w:val="restart"/>
            <w:tcBorders>
              <w:top w:val="nil"/>
              <w:left w:val="single" w:sz="4" w:space="0" w:color="auto"/>
              <w:bottom w:val="single" w:sz="4" w:space="0" w:color="auto"/>
              <w:right w:val="single" w:sz="4" w:space="0" w:color="auto"/>
            </w:tcBorders>
            <w:shd w:val="clear" w:color="auto" w:fill="auto"/>
            <w:hideMark/>
          </w:tcPr>
          <w:p w:rsidR="00153E07" w:rsidRPr="00D53C12" w:rsidRDefault="00153E07" w:rsidP="00D527CE">
            <w:pPr>
              <w:spacing w:after="0" w:line="240" w:lineRule="auto"/>
              <w:jc w:val="both"/>
              <w:rPr>
                <w:rFonts w:ascii="Times New Roman" w:eastAsia="Times New Roman" w:hAnsi="Times New Roman" w:cs="Times New Roman"/>
                <w:b/>
                <w:color w:val="000000"/>
                <w:sz w:val="24"/>
                <w:szCs w:val="28"/>
              </w:rPr>
            </w:pPr>
            <w:r w:rsidRPr="00D53C12">
              <w:rPr>
                <w:rFonts w:ascii="Times New Roman" w:eastAsia="Times New Roman" w:hAnsi="Times New Roman" w:cs="Times New Roman"/>
                <w:b/>
                <w:color w:val="000000"/>
                <w:sz w:val="24"/>
                <w:szCs w:val="28"/>
              </w:rPr>
              <w:t>Население, рынок труда и уровень жизни</w:t>
            </w: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малоимущих семей</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сокращение численности трудоспособного населения</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создание новых рабочих мест посредством  развития малого бизнеса, реализации инвестиционных проектов, ведения КФХ и ЛПХ;</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ухудшение демографической ситуации, отток квалифицированных специалистов из района, старение населения, естественная убыль населения</w:t>
            </w: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сокращение уровня безработицы</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увеличение демографической нагрузки, старение населения</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создание условий для закрепления молодых специалистов в сельской местности;</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  производительность труда оказывает влияние в большей степени сокращение численности трудоспособного населения</w:t>
            </w:r>
          </w:p>
        </w:tc>
      </w:tr>
      <w:tr w:rsidR="005A7C26" w:rsidRPr="005A7C26" w:rsidTr="00153E07">
        <w:trPr>
          <w:trHeight w:val="18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динамика роста денежных доходов населения</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миграционный отток населения в связи с отсутствием рабочих мест</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увеличение охвата населения медицинскими услугами (диспансеризация), путем организации оборудованных мобильных пунктов медицинского обслуживания</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 сокращение уровня безработицы в большей степени</w:t>
            </w:r>
            <w:r w:rsidR="00530383">
              <w:rPr>
                <w:rFonts w:ascii="Times New Roman" w:eastAsia="Times New Roman" w:hAnsi="Times New Roman" w:cs="Times New Roman"/>
                <w:color w:val="000000"/>
                <w:sz w:val="24"/>
                <w:szCs w:val="28"/>
              </w:rPr>
              <w:t xml:space="preserve"> </w:t>
            </w:r>
            <w:r w:rsidRPr="005A7C26">
              <w:rPr>
                <w:rFonts w:ascii="Times New Roman" w:eastAsia="Times New Roman" w:hAnsi="Times New Roman" w:cs="Times New Roman"/>
                <w:color w:val="000000"/>
                <w:sz w:val="24"/>
                <w:szCs w:val="28"/>
              </w:rPr>
              <w:t>оказывает влияние естественная убыль населения</w:t>
            </w:r>
            <w:r w:rsidR="00530383">
              <w:rPr>
                <w:rFonts w:ascii="Times New Roman" w:eastAsia="Times New Roman" w:hAnsi="Times New Roman" w:cs="Times New Roman"/>
                <w:color w:val="000000"/>
                <w:sz w:val="24"/>
                <w:szCs w:val="28"/>
              </w:rPr>
              <w:t xml:space="preserve"> </w:t>
            </w:r>
            <w:r w:rsidRPr="005A7C26">
              <w:rPr>
                <w:rFonts w:ascii="Times New Roman" w:eastAsia="Times New Roman" w:hAnsi="Times New Roman" w:cs="Times New Roman"/>
                <w:color w:val="000000"/>
                <w:sz w:val="24"/>
                <w:szCs w:val="28"/>
              </w:rPr>
              <w:t>и в меньшей – количество вновь созданных рабочих мест</w:t>
            </w:r>
          </w:p>
        </w:tc>
      </w:tr>
      <w:tr w:rsidR="005A7C26" w:rsidRPr="005A7C26" w:rsidTr="00570AAF">
        <w:trPr>
          <w:trHeight w:val="1414"/>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рост покупательной способности заработной платы по отношению к прожиточному минимуму</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заболеваемость населения онкологическими заболеваниями, заболеваниями органов дыхания</w:t>
            </w:r>
          </w:p>
        </w:tc>
        <w:tc>
          <w:tcPr>
            <w:tcW w:w="1094" w:type="pc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привлечение трудовых ресурсов из других населенных пунктов за счет развития транспортного сообщения и небольших расстояний между населенными пунктами.</w:t>
            </w:r>
          </w:p>
        </w:tc>
        <w:tc>
          <w:tcPr>
            <w:tcW w:w="1081" w:type="pc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недостаток занятости и рабочих мест ведет к распространению алкоголизма и наркомании, смертности от внешних причин, в частности, к суицидам</w:t>
            </w:r>
          </w:p>
        </w:tc>
      </w:tr>
      <w:tr w:rsidR="005A7C26" w:rsidRPr="005A7C26" w:rsidTr="00153E07">
        <w:trPr>
          <w:trHeight w:val="6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увеличение прожиточного минимума</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квалифицированных кадров</w:t>
            </w:r>
          </w:p>
        </w:tc>
        <w:tc>
          <w:tcPr>
            <w:tcW w:w="1094" w:type="pct"/>
            <w:tcBorders>
              <w:top w:val="nil"/>
              <w:left w:val="single" w:sz="4" w:space="0" w:color="auto"/>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81"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r>
      <w:tr w:rsidR="005A7C26" w:rsidRPr="005A7C26" w:rsidTr="00153E07">
        <w:trPr>
          <w:trHeight w:val="3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0"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работы для молодежи</w:t>
            </w:r>
          </w:p>
        </w:tc>
        <w:tc>
          <w:tcPr>
            <w:tcW w:w="1094"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81"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r>
      <w:tr w:rsidR="005A7C26" w:rsidRPr="005A7C26" w:rsidTr="00153E07">
        <w:trPr>
          <w:trHeight w:val="6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0"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высокий уровень смертности населения от внешних причин</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81"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r>
      <w:tr w:rsidR="005A7C26" w:rsidRPr="005A7C26" w:rsidTr="00D527CE">
        <w:trPr>
          <w:trHeight w:val="409"/>
        </w:trPr>
        <w:tc>
          <w:tcPr>
            <w:tcW w:w="772" w:type="pct"/>
            <w:vMerge w:val="restart"/>
            <w:tcBorders>
              <w:top w:val="nil"/>
              <w:left w:val="single" w:sz="4" w:space="0" w:color="auto"/>
              <w:bottom w:val="single" w:sz="4" w:space="0" w:color="auto"/>
              <w:right w:val="single" w:sz="4" w:space="0" w:color="auto"/>
            </w:tcBorders>
            <w:shd w:val="clear" w:color="auto" w:fill="auto"/>
            <w:hideMark/>
          </w:tcPr>
          <w:p w:rsidR="00153E07" w:rsidRPr="00D53C12" w:rsidRDefault="00153E07" w:rsidP="00D527CE">
            <w:pPr>
              <w:spacing w:after="0" w:line="240" w:lineRule="auto"/>
              <w:jc w:val="both"/>
              <w:rPr>
                <w:rFonts w:ascii="Times New Roman" w:eastAsia="Times New Roman" w:hAnsi="Times New Roman" w:cs="Times New Roman"/>
                <w:b/>
                <w:color w:val="000000"/>
                <w:sz w:val="24"/>
                <w:szCs w:val="28"/>
              </w:rPr>
            </w:pPr>
            <w:r w:rsidRPr="00D53C12">
              <w:rPr>
                <w:rFonts w:ascii="Times New Roman" w:eastAsia="Times New Roman" w:hAnsi="Times New Roman" w:cs="Times New Roman"/>
                <w:b/>
                <w:color w:val="000000"/>
                <w:sz w:val="24"/>
                <w:szCs w:val="28"/>
              </w:rPr>
              <w:t>Сельское хозяйство, промышленность, предпринимательство и хозяйственный климат</w:t>
            </w:r>
          </w:p>
        </w:tc>
        <w:tc>
          <w:tcPr>
            <w:tcW w:w="963" w:type="pct"/>
            <w:tcBorders>
              <w:top w:val="single" w:sz="4" w:space="0" w:color="auto"/>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территорий для развития сельского хозяйства</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почвы, требующие минеральных и органических удобрений, вымывание плодородных почв</w:t>
            </w:r>
          </w:p>
        </w:tc>
        <w:tc>
          <w:tcPr>
            <w:tcW w:w="1094" w:type="pct"/>
            <w:tcBorders>
              <w:top w:val="single" w:sz="4" w:space="0" w:color="auto"/>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применение кластерного подхода в развитии АПК путем организации ОЭЗ: развитие сельского хозяйства, создание собственных перерабатывающих предприятий, предприятий по производству удобрений, развитие малого бизнеса и КФХ способствует расширению рынка сбыта, сокращению затрат за счет близости сопутствующих производственных и перерабатывающих предприятий, увеличению доходов бюджета всех уровней.</w:t>
            </w:r>
          </w:p>
        </w:tc>
        <w:tc>
          <w:tcPr>
            <w:tcW w:w="1081" w:type="pct"/>
            <w:tcBorders>
              <w:top w:val="single" w:sz="4" w:space="0" w:color="auto"/>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зависимость сельскохозяйственного производства от природных факторов.</w:t>
            </w:r>
          </w:p>
        </w:tc>
      </w:tr>
      <w:tr w:rsidR="005A7C26" w:rsidRPr="005A7C26" w:rsidTr="00153E07">
        <w:trPr>
          <w:trHeight w:val="9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-благоприятные природно-климатические условия;</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неблагоприятные природные условия</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задействование в сельском хозяйстве неиспользуемых сельскохозяйственных земель</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сокращение рентабельности производства сельскохозяйственной продукции;</w:t>
            </w: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стимулирующих программ развития, реализация приоритетного национального проекта </w:t>
            </w:r>
            <w:r w:rsidR="00DE2D0E">
              <w:rPr>
                <w:rFonts w:ascii="Times New Roman" w:eastAsia="Times New Roman" w:hAnsi="Times New Roman" w:cs="Times New Roman"/>
                <w:color w:val="000000"/>
                <w:sz w:val="24"/>
                <w:szCs w:val="28"/>
              </w:rPr>
              <w:t>«</w:t>
            </w:r>
            <w:r w:rsidRPr="005A7C26">
              <w:rPr>
                <w:rFonts w:ascii="Times New Roman" w:eastAsia="Times New Roman" w:hAnsi="Times New Roman" w:cs="Times New Roman"/>
                <w:color w:val="000000"/>
                <w:sz w:val="24"/>
                <w:szCs w:val="28"/>
              </w:rPr>
              <w:t>Развитие АПК</w:t>
            </w:r>
            <w:r w:rsidR="00DE2D0E">
              <w:rPr>
                <w:rFonts w:ascii="Times New Roman" w:eastAsia="Times New Roman" w:hAnsi="Times New Roman" w:cs="Times New Roman"/>
                <w:color w:val="000000"/>
                <w:sz w:val="24"/>
                <w:szCs w:val="28"/>
              </w:rPr>
              <w:t>»</w:t>
            </w:r>
            <w:r w:rsidRPr="005A7C26">
              <w:rPr>
                <w:rFonts w:ascii="Times New Roman" w:eastAsia="Times New Roman" w:hAnsi="Times New Roman" w:cs="Times New Roman"/>
                <w:color w:val="000000"/>
                <w:sz w:val="24"/>
                <w:szCs w:val="28"/>
              </w:rPr>
              <w:t>;</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физический и моральный износ основных фондов, инженерных коммуникаций</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строительство перерабатывающих производств и хранилищ сельскохозяйственной продукции</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сокращение дотаций и иных межбюджетных трансфертов из бюджетов верхних уровней;</w:t>
            </w: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развитие малого предпринимательства, КФХ и ЛПХ;</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инвесторов</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стимулирование развития малых форм хозяйствования путем предоставления налоговых льгот, грантов и внедрения аутсорсинга</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усиление диспаритета цен на сельскохозяйственную продукцию способствует банкротству многих предприятий.</w:t>
            </w:r>
          </w:p>
        </w:tc>
      </w:tr>
      <w:tr w:rsidR="005A7C26" w:rsidRPr="005A7C26" w:rsidTr="00153E07">
        <w:trPr>
          <w:trHeight w:val="18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обеспечение жильем и льготами молодых специалистов на селе</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сезонность</w:t>
            </w:r>
            <w:r w:rsidR="00530383">
              <w:rPr>
                <w:rFonts w:ascii="Times New Roman" w:eastAsia="Times New Roman" w:hAnsi="Times New Roman" w:cs="Times New Roman"/>
                <w:color w:val="000000"/>
                <w:sz w:val="24"/>
                <w:szCs w:val="28"/>
              </w:rPr>
              <w:t xml:space="preserve"> </w:t>
            </w:r>
            <w:r w:rsidRPr="005A7C26">
              <w:rPr>
                <w:rFonts w:ascii="Times New Roman" w:eastAsia="Times New Roman" w:hAnsi="Times New Roman" w:cs="Times New Roman"/>
                <w:color w:val="000000"/>
                <w:sz w:val="24"/>
                <w:szCs w:val="28"/>
              </w:rPr>
              <w:t>производства сельскохозяйственной продукции</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снижение диспаритета цен на сельскохозяйственную продукцию путем интеграции сельскохозяйственных предприятий и перерабатывающей промышленности</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инерционное поведение населения района по отношению к предпринимательству</w:t>
            </w: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конкурентоспособная продукция</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промышленных, перерабатывающих производств и хранилищ сельскохозяйственной продукции</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увеличение производительности труда за счет развития отраслей и увеличения объемов производства</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низкая инвестиционная привлекательность района</w:t>
            </w:r>
          </w:p>
        </w:tc>
      </w:tr>
      <w:tr w:rsidR="005A7C26" w:rsidRPr="005A7C26" w:rsidTr="00153E07">
        <w:trPr>
          <w:trHeight w:val="9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хороших селекционных посадочных материалов</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существенный диспаритет цен на продукцию КФХ и ЛПХ</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возможность развития селекционной индустрии</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рост темпов инфляции  приведет к увеличению финансовых и производственных рисков для бизнеса</w:t>
            </w:r>
          </w:p>
        </w:tc>
      </w:tr>
      <w:tr w:rsidR="005A7C26" w:rsidRPr="005A7C26" w:rsidTr="00153E07">
        <w:trPr>
          <w:trHeight w:val="15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потенциально резервных месторождений красных глин, известкового туфа, торфа, ПГС, строительного песка</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низкий уровень внедрения передовых технологий</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модернизация инженерных коммуникаций</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научно-технического прогресса повлечет за собой низкую конкурентоспособность, отставание от масштабов бизнеса</w:t>
            </w:r>
          </w:p>
        </w:tc>
      </w:tr>
      <w:tr w:rsidR="005A7C26" w:rsidRPr="005A7C26" w:rsidTr="00153E07">
        <w:trPr>
          <w:trHeight w:val="15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свободных производственных объектов и площадей для организации производств</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необходимых мощностей и коммуникаций в районе</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строительство кирпичного завода, производств строительных материалов, облицовочного камня, минеральных удобрений, гончарной продукции</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увеличение цен на энергоносители увеличит себестоимость производимой продукции</w:t>
            </w:r>
          </w:p>
        </w:tc>
      </w:tr>
      <w:tr w:rsidR="005A7C26" w:rsidRPr="005A7C26" w:rsidTr="00153E07">
        <w:trPr>
          <w:trHeight w:val="15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применение налоговых льгот</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проработанных туристических продуктов</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ориентир экономики района на развитие малых форм хозяйствования в целях развития как существующих, так и открытия новых производств;</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ресурсы, закрепленные за Бардымским районом, используются соседними районами и пополняют их бюджет </w:t>
            </w:r>
          </w:p>
        </w:tc>
      </w:tr>
      <w:tr w:rsidR="005A7C26" w:rsidRPr="005A7C26" w:rsidTr="00153E07">
        <w:trPr>
          <w:trHeight w:val="24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музеев, санатория-профилактория </w:t>
            </w:r>
            <w:r w:rsidR="00DE2D0E">
              <w:rPr>
                <w:rFonts w:ascii="Times New Roman" w:eastAsia="Times New Roman" w:hAnsi="Times New Roman" w:cs="Times New Roman"/>
                <w:color w:val="000000"/>
                <w:sz w:val="24"/>
                <w:szCs w:val="28"/>
              </w:rPr>
              <w:t>«</w:t>
            </w:r>
            <w:r w:rsidRPr="005A7C26">
              <w:rPr>
                <w:rFonts w:ascii="Times New Roman" w:eastAsia="Times New Roman" w:hAnsi="Times New Roman" w:cs="Times New Roman"/>
                <w:color w:val="000000"/>
                <w:sz w:val="24"/>
                <w:szCs w:val="28"/>
              </w:rPr>
              <w:t>Колос</w:t>
            </w:r>
            <w:r w:rsidR="00DE2D0E">
              <w:rPr>
                <w:rFonts w:ascii="Times New Roman" w:eastAsia="Times New Roman" w:hAnsi="Times New Roman" w:cs="Times New Roman"/>
                <w:color w:val="000000"/>
                <w:sz w:val="24"/>
                <w:szCs w:val="28"/>
              </w:rPr>
              <w:t>»</w:t>
            </w:r>
            <w:r w:rsidRPr="005A7C26">
              <w:rPr>
                <w:rFonts w:ascii="Times New Roman" w:eastAsia="Times New Roman" w:hAnsi="Times New Roman" w:cs="Times New Roman"/>
                <w:color w:val="000000"/>
                <w:sz w:val="24"/>
                <w:szCs w:val="28"/>
              </w:rPr>
              <w:t xml:space="preserve">, горнолыжного комплекса </w:t>
            </w:r>
            <w:r w:rsidR="00DE2D0E">
              <w:rPr>
                <w:rFonts w:ascii="Times New Roman" w:eastAsia="Times New Roman" w:hAnsi="Times New Roman" w:cs="Times New Roman"/>
                <w:color w:val="000000"/>
                <w:sz w:val="24"/>
                <w:szCs w:val="28"/>
              </w:rPr>
              <w:t>«</w:t>
            </w:r>
            <w:r w:rsidRPr="005A7C26">
              <w:rPr>
                <w:rFonts w:ascii="Times New Roman" w:eastAsia="Times New Roman" w:hAnsi="Times New Roman" w:cs="Times New Roman"/>
                <w:color w:val="000000"/>
                <w:sz w:val="24"/>
                <w:szCs w:val="28"/>
              </w:rPr>
              <w:t>Ашатли</w:t>
            </w:r>
            <w:r w:rsidR="00DE2D0E">
              <w:rPr>
                <w:rFonts w:ascii="Times New Roman" w:eastAsia="Times New Roman" w:hAnsi="Times New Roman" w:cs="Times New Roman"/>
                <w:color w:val="000000"/>
                <w:sz w:val="24"/>
                <w:szCs w:val="28"/>
              </w:rPr>
              <w:t>»</w:t>
            </w:r>
            <w:r w:rsidRPr="005A7C26">
              <w:rPr>
                <w:rFonts w:ascii="Times New Roman" w:eastAsia="Times New Roman" w:hAnsi="Times New Roman" w:cs="Times New Roman"/>
                <w:color w:val="000000"/>
                <w:sz w:val="24"/>
                <w:szCs w:val="28"/>
              </w:rPr>
              <w:t>, туристических объектов показа</w:t>
            </w:r>
          </w:p>
        </w:tc>
        <w:tc>
          <w:tcPr>
            <w:tcW w:w="1090" w:type="pc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уровень самостоятельности распоряжения природными богатствами</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приоритетные направления государственной политики социально-экономического развития способствуют развитию внутреннего и въездного туризма, агропромышленного комплекса, малого предпринимательства</w:t>
            </w:r>
          </w:p>
        </w:tc>
        <w:tc>
          <w:tcPr>
            <w:tcW w:w="1081" w:type="pct"/>
            <w:vMerge w:val="restart"/>
            <w:tcBorders>
              <w:top w:val="nil"/>
              <w:left w:val="nil"/>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9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политика импортозамещения на государственном уровне</w:t>
            </w:r>
          </w:p>
        </w:tc>
        <w:tc>
          <w:tcPr>
            <w:tcW w:w="1090" w:type="pct"/>
            <w:tcBorders>
              <w:top w:val="nil"/>
              <w:left w:val="single" w:sz="4" w:space="0" w:color="auto"/>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выход на внешние рынки с продукцией собственного производства</w:t>
            </w:r>
          </w:p>
        </w:tc>
        <w:tc>
          <w:tcPr>
            <w:tcW w:w="1081" w:type="pct"/>
            <w:vMerge/>
            <w:tcBorders>
              <w:left w:val="nil"/>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приверженность национальным традициям</w:t>
            </w:r>
          </w:p>
        </w:tc>
        <w:tc>
          <w:tcPr>
            <w:tcW w:w="1090" w:type="pct"/>
            <w:tcBorders>
              <w:top w:val="nil"/>
              <w:left w:val="single" w:sz="4" w:space="0" w:color="auto"/>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использование свободных производственных объектов и площадей для создания производственных предприятий</w:t>
            </w: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val="restar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передача на аутсорсинг непрофилирующих в учреждениях услуг</w:t>
            </w:r>
          </w:p>
          <w:p w:rsidR="00153E07" w:rsidRPr="005A7C26" w:rsidRDefault="00153E07" w:rsidP="00D527CE">
            <w:pPr>
              <w:spacing w:after="0" w:line="240" w:lineRule="auto"/>
              <w:ind w:firstLineChars="200" w:firstLine="480"/>
              <w:jc w:val="both"/>
              <w:rPr>
                <w:rFonts w:ascii="Times New Roman" w:eastAsia="Times New Roman" w:hAnsi="Times New Roman" w:cs="Times New Roman"/>
                <w:color w:val="000000"/>
                <w:sz w:val="24"/>
                <w:szCs w:val="28"/>
              </w:rPr>
            </w:pPr>
          </w:p>
        </w:tc>
        <w:tc>
          <w:tcPr>
            <w:tcW w:w="1090"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возможность привлечения инвесторов за счет введения инвестиционных льгот по налогу на прибыль организаций</w:t>
            </w: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15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применение налоговых льгот способствует росту числа предпринимателей и, как следствие, увеличению количества рабочих мест.</w:t>
            </w:r>
          </w:p>
        </w:tc>
        <w:tc>
          <w:tcPr>
            <w:tcW w:w="1081" w:type="pct"/>
            <w:vMerge/>
            <w:tcBorders>
              <w:left w:val="nil"/>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18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использование сырья, производимого на предприятиях района позволит снизить себестоимость производства и увеличить рентабельность продукции</w:t>
            </w: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1136"/>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привлечение на территорию района большого количества туристов в оздоровительных, культурно-познавательных целях даст возможность увеличить налоговые доходы бюджета.</w:t>
            </w: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6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возможность развития химии органического синтеза</w:t>
            </w: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18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проведение национальных праздников, приглашение на мероприятия гостей из Татарстана и Башкортостана позволит привлечь финансовые ресурсы в бюджет муниципального района</w:t>
            </w:r>
          </w:p>
        </w:tc>
        <w:tc>
          <w:tcPr>
            <w:tcW w:w="1081" w:type="pct"/>
            <w:vMerge/>
            <w:tcBorders>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1500"/>
        </w:trPr>
        <w:tc>
          <w:tcPr>
            <w:tcW w:w="772" w:type="pct"/>
            <w:vMerge w:val="restart"/>
            <w:tcBorders>
              <w:top w:val="nil"/>
              <w:left w:val="single" w:sz="4" w:space="0" w:color="auto"/>
              <w:bottom w:val="single" w:sz="4" w:space="0" w:color="auto"/>
              <w:right w:val="single" w:sz="4" w:space="0" w:color="auto"/>
            </w:tcBorders>
            <w:shd w:val="clear" w:color="auto" w:fill="auto"/>
            <w:hideMark/>
          </w:tcPr>
          <w:p w:rsidR="00153E07" w:rsidRPr="00D53C12" w:rsidRDefault="00153E07" w:rsidP="00D527CE">
            <w:pPr>
              <w:spacing w:after="0" w:line="240" w:lineRule="auto"/>
              <w:jc w:val="both"/>
              <w:rPr>
                <w:rFonts w:ascii="Times New Roman" w:eastAsia="Times New Roman" w:hAnsi="Times New Roman" w:cs="Times New Roman"/>
                <w:b/>
                <w:color w:val="000000"/>
                <w:sz w:val="24"/>
                <w:szCs w:val="28"/>
              </w:rPr>
            </w:pPr>
            <w:r w:rsidRPr="00D53C12">
              <w:rPr>
                <w:rFonts w:ascii="Times New Roman" w:eastAsia="Times New Roman" w:hAnsi="Times New Roman" w:cs="Times New Roman"/>
                <w:b/>
                <w:color w:val="000000"/>
                <w:sz w:val="24"/>
                <w:szCs w:val="28"/>
              </w:rPr>
              <w:t>Финансы и инвестиции</w:t>
            </w:r>
          </w:p>
        </w:tc>
        <w:tc>
          <w:tcPr>
            <w:tcW w:w="963" w:type="pct"/>
            <w:tcBorders>
              <w:top w:val="single" w:sz="4" w:space="0" w:color="auto"/>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федеральных и краевых целевых программ развития</w:t>
            </w:r>
          </w:p>
        </w:tc>
        <w:tc>
          <w:tcPr>
            <w:tcW w:w="1090" w:type="pct"/>
            <w:tcBorders>
              <w:top w:val="single" w:sz="4" w:space="0" w:color="auto"/>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низкая ликвидность и финансовая неустойчивость предприятий района, высокая доля заемных средств, отрицательный финансовый результат</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рост финансовых возможностей и финансовой самостоятельности предприятий;</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ухудшение финансового состояния предприятий района способствует сокращению инвестиционной активности</w:t>
            </w: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близость к региональному центру, транзитное транспортное расположение района</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сокращение инвестиций в основной капитал</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рост собственных доходов бюджета района;</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недостаток собственных доходов в бюджете и увеличение межбюджетных трансфертов</w:t>
            </w:r>
          </w:p>
        </w:tc>
      </w:tr>
      <w:tr w:rsidR="005A7C26" w:rsidRPr="005A7C26" w:rsidTr="00153E07">
        <w:trPr>
          <w:trHeight w:val="15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экономических связей субъектов предпринимательства с другими районами</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диверсификации отраслей народного хозяйства</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возможность привлечения инвестиций за счет существующих предпринимателей в АПК</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увеличение доли заемных средств ведет к нерациональному использованию финансовых ресурсов и высокой вероятности банкротства предприятий района</w:t>
            </w: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высокая доля собственных доходов в бюджетах сельских поселений</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необходимость обновления основных фондов</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возможность диверсификации отраслей экономики района за счет привлечения инвестиций</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слабое развитие социальной инфраструктуры сдерживает инвестирование и создание рабочих мест</w:t>
            </w:r>
          </w:p>
        </w:tc>
      </w:tr>
      <w:tr w:rsidR="005A7C26" w:rsidRPr="005A7C26" w:rsidTr="00F553E8">
        <w:trPr>
          <w:trHeight w:val="976"/>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самообложение граждан</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высококвалифицированных кадров в отраслях</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активизация участия района в федеральных и региональных программах;</w:t>
            </w:r>
          </w:p>
        </w:tc>
        <w:tc>
          <w:tcPr>
            <w:tcW w:w="1081" w:type="pct"/>
            <w:vMerge w:val="restar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дифференцированного бизнес-портфеля отраслей </w:t>
            </w:r>
            <w:r w:rsidRPr="005A7C26">
              <w:rPr>
                <w:rFonts w:ascii="Times New Roman" w:eastAsia="Times New Roman" w:hAnsi="Times New Roman" w:cs="Times New Roman"/>
                <w:color w:val="000000"/>
                <w:sz w:val="24"/>
                <w:szCs w:val="28"/>
              </w:rPr>
              <w:lastRenderedPageBreak/>
              <w:t>народного хозяйства в районе ведет к невозможности формирования финансового резерва для покрытия убытков</w:t>
            </w: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val="restar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базы для создания агропромышленного кластера</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информации для инвесторов о Бардымском районе как потенциальной инвестиционной площадке</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активизация инвестиционной деятельности в результате улучшения инвестиционного климата.</w:t>
            </w: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18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неразвитость системы банковского и коммерческого кредитования</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сокращение инвестиционных и финансовых рисков посредством активного использования экономико-географического расположения района и природных ресурсов</w:t>
            </w: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57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высокая стоимость кредитных ресурсов</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создание информационного ресурса о районе и его потенциале с целью его развития.</w:t>
            </w: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3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крупных проектов</w:t>
            </w:r>
          </w:p>
        </w:tc>
        <w:tc>
          <w:tcPr>
            <w:tcW w:w="1094" w:type="pct"/>
            <w:vMerge w:val="restar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6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слабое развитие социальной инфраструктуры</w:t>
            </w:r>
          </w:p>
        </w:tc>
        <w:tc>
          <w:tcPr>
            <w:tcW w:w="1094" w:type="pct"/>
            <w:vMerge/>
            <w:tcBorders>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81" w:type="pct"/>
            <w:vMerge/>
            <w:tcBorders>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1500"/>
        </w:trPr>
        <w:tc>
          <w:tcPr>
            <w:tcW w:w="772" w:type="pct"/>
            <w:vMerge w:val="restart"/>
            <w:tcBorders>
              <w:top w:val="nil"/>
              <w:left w:val="single" w:sz="4" w:space="0" w:color="auto"/>
              <w:bottom w:val="single" w:sz="4" w:space="0" w:color="auto"/>
              <w:right w:val="single" w:sz="4" w:space="0" w:color="auto"/>
            </w:tcBorders>
            <w:shd w:val="clear" w:color="auto" w:fill="auto"/>
            <w:hideMark/>
          </w:tcPr>
          <w:p w:rsidR="00153E07" w:rsidRPr="00F553E8" w:rsidRDefault="00153E07" w:rsidP="00D527CE">
            <w:pPr>
              <w:spacing w:after="0" w:line="240" w:lineRule="auto"/>
              <w:jc w:val="both"/>
              <w:rPr>
                <w:rFonts w:ascii="Times New Roman" w:eastAsia="Times New Roman" w:hAnsi="Times New Roman" w:cs="Times New Roman"/>
                <w:b/>
                <w:color w:val="000000"/>
                <w:sz w:val="24"/>
                <w:szCs w:val="28"/>
              </w:rPr>
            </w:pPr>
            <w:r w:rsidRPr="00F553E8">
              <w:rPr>
                <w:rFonts w:ascii="Times New Roman" w:eastAsia="Times New Roman" w:hAnsi="Times New Roman" w:cs="Times New Roman"/>
                <w:b/>
                <w:color w:val="000000"/>
                <w:sz w:val="24"/>
                <w:szCs w:val="28"/>
              </w:rPr>
              <w:t>Социальная сфера</w:t>
            </w: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хороший уровень финансирования образования в рамках реализации приоритетного национального проекта </w:t>
            </w:r>
            <w:r w:rsidR="00DE2D0E">
              <w:rPr>
                <w:rFonts w:ascii="Times New Roman" w:eastAsia="Times New Roman" w:hAnsi="Times New Roman" w:cs="Times New Roman"/>
                <w:color w:val="000000"/>
                <w:sz w:val="24"/>
                <w:szCs w:val="28"/>
              </w:rPr>
              <w:t>«</w:t>
            </w:r>
            <w:r w:rsidRPr="005A7C26">
              <w:rPr>
                <w:rFonts w:ascii="Times New Roman" w:eastAsia="Times New Roman" w:hAnsi="Times New Roman" w:cs="Times New Roman"/>
                <w:color w:val="000000"/>
                <w:sz w:val="24"/>
                <w:szCs w:val="28"/>
              </w:rPr>
              <w:t>Образование</w:t>
            </w:r>
            <w:r w:rsidR="00DE2D0E">
              <w:rPr>
                <w:rFonts w:ascii="Times New Roman" w:eastAsia="Times New Roman" w:hAnsi="Times New Roman" w:cs="Times New Roman"/>
                <w:color w:val="000000"/>
                <w:sz w:val="24"/>
                <w:szCs w:val="28"/>
              </w:rPr>
              <w:t>»</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DE2D0E" w:rsidP="00D527CE">
            <w:pPr>
              <w:spacing w:after="0" w:line="240" w:lineRule="auto"/>
              <w:jc w:val="both"/>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w:t>
            </w:r>
            <w:r w:rsidR="00153E07" w:rsidRPr="005A7C26">
              <w:rPr>
                <w:rFonts w:ascii="Times New Roman" w:eastAsia="Times New Roman" w:hAnsi="Times New Roman" w:cs="Times New Roman"/>
                <w:color w:val="000000"/>
                <w:sz w:val="24"/>
                <w:szCs w:val="28"/>
              </w:rPr>
              <w:t>Старение</w:t>
            </w:r>
            <w:r>
              <w:rPr>
                <w:rFonts w:ascii="Times New Roman" w:eastAsia="Times New Roman" w:hAnsi="Times New Roman" w:cs="Times New Roman"/>
                <w:color w:val="000000"/>
                <w:sz w:val="24"/>
                <w:szCs w:val="28"/>
              </w:rPr>
              <w:t>»</w:t>
            </w:r>
            <w:r w:rsidR="00153E07" w:rsidRPr="005A7C26">
              <w:rPr>
                <w:rFonts w:ascii="Times New Roman" w:eastAsia="Times New Roman" w:hAnsi="Times New Roman" w:cs="Times New Roman"/>
                <w:color w:val="000000"/>
                <w:sz w:val="24"/>
                <w:szCs w:val="28"/>
              </w:rPr>
              <w:t xml:space="preserve"> медицинских кадров </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возможность развития эстетического образования детей</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недостаточное количество детских садов в противовес избытку мест в имеющихся детских садах</w:t>
            </w:r>
          </w:p>
        </w:tc>
      </w:tr>
      <w:tr w:rsidR="005A7C26" w:rsidRPr="005A7C26" w:rsidTr="00153E07">
        <w:trPr>
          <w:trHeight w:val="9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-наличие системы социальной поддержки учащихся (летний лагерь, питание и т.д.)</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недостаточный и устаревший библиотечный фонд, низкая скорость обновления</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возможность привлечения спонсорских средств для обновления библиотечных фондов</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увеличение ветхого и аварийного жилья</w:t>
            </w:r>
          </w:p>
        </w:tc>
      </w:tr>
      <w:tr w:rsidR="005A7C26" w:rsidRPr="005A7C26" w:rsidTr="004E2E6F">
        <w:trPr>
          <w:trHeight w:val="1127"/>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этническая направленность культурно-массовых мероприятий и творческих коллективов района</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газификации и необходимых коммуникаций на части территории района</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возможность развития традиционных народных промыслов в районе (декоративное творчество с уклоном на этнические традиции, гончарное ремесло)</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недостаток бюджетных средств для исполнения социальных обязательств</w:t>
            </w:r>
          </w:p>
        </w:tc>
      </w:tr>
      <w:tr w:rsidR="005A7C26" w:rsidRPr="005A7C26" w:rsidTr="00153E07">
        <w:trPr>
          <w:trHeight w:val="9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обеспеченность местами в детских садах</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телефонной связи и интернета на части территории района</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ввод нового жилья </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коммуникаций в районе приводит к оттоку населения</w:t>
            </w:r>
          </w:p>
        </w:tc>
      </w:tr>
      <w:tr w:rsidR="005A7C26" w:rsidRPr="005A7C26" w:rsidTr="00153E07">
        <w:trPr>
          <w:trHeight w:val="557"/>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объектов культурно-досугового типа, активное функционирование.</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недостаток культурно-досуговых учреждений, культурно-массовых мероприятий и их пропаганды в районе</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строительство спортивных объектов</w:t>
            </w:r>
          </w:p>
        </w:tc>
        <w:tc>
          <w:tcPr>
            <w:tcW w:w="1081" w:type="pct"/>
            <w:vMerge w:val="restar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возможностей для самореализации молодежи</w:t>
            </w:r>
          </w:p>
        </w:tc>
      </w:tr>
      <w:tr w:rsidR="005A7C26" w:rsidRPr="005A7C26" w:rsidTr="00153E07">
        <w:trPr>
          <w:trHeight w:val="9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развитой системы здравоохранения</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районного методического центра в сфере культуры и спорта</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сокращение количества преступлений</w:t>
            </w: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9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осуществление диспансеризации сельского населения</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недостаточное количество спортивных комплексов и объектов</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совершенствование системы образования, здравоохранения и социальной защиты населения</w:t>
            </w:r>
          </w:p>
        </w:tc>
        <w:tc>
          <w:tcPr>
            <w:tcW w:w="1081" w:type="pct"/>
            <w:vMerge/>
            <w:tcBorders>
              <w:left w:val="nil"/>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9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val="restar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-осуществление диспансеризации и вакцинации сельского населения.</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недостаток кадров в образовании и здравоохранении</w:t>
            </w:r>
          </w:p>
        </w:tc>
        <w:tc>
          <w:tcPr>
            <w:tcW w:w="1094" w:type="pct"/>
            <w:vMerge w:val="restar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создание методического центра в сфере культуры и спорта</w:t>
            </w: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6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nil"/>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большого числа семей, нуждающихся в жилье</w:t>
            </w:r>
          </w:p>
        </w:tc>
        <w:tc>
          <w:tcPr>
            <w:tcW w:w="1094"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6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малый охват населения диспансеризацией</w:t>
            </w:r>
          </w:p>
        </w:tc>
        <w:tc>
          <w:tcPr>
            <w:tcW w:w="1094"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6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nil"/>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детских садов в части сельских поселений</w:t>
            </w:r>
          </w:p>
        </w:tc>
        <w:tc>
          <w:tcPr>
            <w:tcW w:w="1094"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3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всплески преступности</w:t>
            </w:r>
          </w:p>
        </w:tc>
        <w:tc>
          <w:tcPr>
            <w:tcW w:w="1094" w:type="pct"/>
            <w:vMerge/>
            <w:tcBorders>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81" w:type="pct"/>
            <w:vMerge/>
            <w:tcBorders>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900"/>
        </w:trPr>
        <w:tc>
          <w:tcPr>
            <w:tcW w:w="772" w:type="pct"/>
            <w:vMerge w:val="restart"/>
            <w:tcBorders>
              <w:top w:val="nil"/>
              <w:left w:val="single" w:sz="4" w:space="0" w:color="auto"/>
              <w:bottom w:val="single" w:sz="4" w:space="0" w:color="auto"/>
              <w:right w:val="single" w:sz="4" w:space="0" w:color="auto"/>
            </w:tcBorders>
            <w:shd w:val="clear" w:color="auto" w:fill="auto"/>
            <w:hideMark/>
          </w:tcPr>
          <w:p w:rsidR="00153E07" w:rsidRPr="00F553E8" w:rsidRDefault="00153E07" w:rsidP="00D527CE">
            <w:pPr>
              <w:spacing w:after="0" w:line="240" w:lineRule="auto"/>
              <w:jc w:val="both"/>
              <w:rPr>
                <w:rFonts w:ascii="Times New Roman" w:eastAsia="Times New Roman" w:hAnsi="Times New Roman" w:cs="Times New Roman"/>
                <w:b/>
                <w:color w:val="000000"/>
                <w:sz w:val="24"/>
                <w:szCs w:val="28"/>
              </w:rPr>
            </w:pPr>
            <w:r w:rsidRPr="00F553E8">
              <w:rPr>
                <w:rFonts w:ascii="Times New Roman" w:eastAsia="Times New Roman" w:hAnsi="Times New Roman" w:cs="Times New Roman"/>
                <w:b/>
                <w:color w:val="000000"/>
                <w:sz w:val="24"/>
                <w:szCs w:val="28"/>
              </w:rPr>
              <w:t>Экологическая обстановка</w:t>
            </w: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большое количество лесных массивов и водных объектов</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на территории района сибиреязвенных скотомогильников</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увеличение финансирования мероприятий по охране окружающей среды</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рост объема грузоперевозок увеличит объем выбросов вредных веществ в атмосферу</w:t>
            </w:r>
          </w:p>
        </w:tc>
      </w:tr>
      <w:tr w:rsidR="005A7C26" w:rsidRPr="005A7C26" w:rsidTr="00153E07">
        <w:trPr>
          <w:trHeight w:val="711"/>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обеспеченность питьевой водой из подземных источников.</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негативное влияние на окружающую среду нефтегазодобывающей промышленности</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размещение в районе экологически безопасных производств</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ухудшение экологической обстановки в связи с выбросами от нефтегазодобывающей промышленности</w:t>
            </w: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благоприятная экологическая обстановка</w:t>
            </w:r>
          </w:p>
        </w:tc>
        <w:tc>
          <w:tcPr>
            <w:tcW w:w="1090" w:type="pct"/>
            <w:tcBorders>
              <w:top w:val="nil"/>
              <w:left w:val="nil"/>
              <w:bottom w:val="single" w:sz="4" w:space="0" w:color="auto"/>
              <w:right w:val="single" w:sz="4" w:space="0" w:color="auto"/>
            </w:tcBorders>
            <w:shd w:val="clear" w:color="000000" w:fill="FFFFFF"/>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в районе очистных сооружений, предприятий по переработке ТБО</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рациональное использование природных ресурсов.</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очистных сооружений приведет к увеличению уровня воздействия на окружающую среду при создании новых предприятий</w:t>
            </w:r>
          </w:p>
        </w:tc>
      </w:tr>
      <w:tr w:rsidR="005A7C26" w:rsidRPr="005A7C26" w:rsidTr="00153E07">
        <w:trPr>
          <w:trHeight w:val="696"/>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val="restar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малое количество предприятий, осуществляющих выбросы вредных веществ в атмосферу</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неосвоенные месторождения полезных ископаемых</w:t>
            </w:r>
          </w:p>
        </w:tc>
        <w:tc>
          <w:tcPr>
            <w:tcW w:w="1094" w:type="pct"/>
            <w:vMerge w:val="restar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проведение мероприятий по экологическому ликбезу</w:t>
            </w:r>
          </w:p>
        </w:tc>
        <w:tc>
          <w:tcPr>
            <w:tcW w:w="1081" w:type="pct"/>
            <w:tcBorders>
              <w:top w:val="nil"/>
              <w:left w:val="nil"/>
              <w:bottom w:val="single" w:sz="4" w:space="0" w:color="auto"/>
              <w:right w:val="single" w:sz="4" w:space="0" w:color="auto"/>
            </w:tcBorders>
            <w:shd w:val="clear" w:color="000000" w:fill="FFFFFF"/>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вымывание плодородных почв водой</w:t>
            </w:r>
          </w:p>
        </w:tc>
      </w:tr>
      <w:tr w:rsidR="005A7C26" w:rsidRPr="005A7C26" w:rsidTr="00153E07">
        <w:trPr>
          <w:trHeight w:val="1098"/>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nil"/>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экологическая неграмотность населения</w:t>
            </w:r>
          </w:p>
        </w:tc>
        <w:tc>
          <w:tcPr>
            <w:tcW w:w="1094" w:type="pct"/>
            <w:vMerge/>
            <w:tcBorders>
              <w:left w:val="nil"/>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81" w:type="pct"/>
            <w:vMerge w:val="restart"/>
            <w:tcBorders>
              <w:top w:val="nil"/>
              <w:left w:val="nil"/>
              <w:right w:val="single" w:sz="4" w:space="0" w:color="auto"/>
            </w:tcBorders>
            <w:shd w:val="clear" w:color="000000" w:fill="FFFFFF"/>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неграмотность населения в вопросах экологии ведет к увеличению числа заболеваний и смертности </w:t>
            </w:r>
          </w:p>
        </w:tc>
      </w:tr>
      <w:tr w:rsidR="005A7C26" w:rsidRPr="005A7C26" w:rsidTr="00153E07">
        <w:trPr>
          <w:trHeight w:val="3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153E07">
            <w:pPr>
              <w:spacing w:after="0" w:line="240" w:lineRule="auto"/>
              <w:jc w:val="both"/>
              <w:rPr>
                <w:rFonts w:ascii="Times New Roman" w:eastAsia="Times New Roman" w:hAnsi="Times New Roman" w:cs="Times New Roman"/>
                <w:color w:val="000000"/>
                <w:sz w:val="24"/>
                <w:szCs w:val="28"/>
              </w:rPr>
            </w:pPr>
          </w:p>
        </w:tc>
        <w:tc>
          <w:tcPr>
            <w:tcW w:w="963" w:type="pct"/>
            <w:vMerge/>
            <w:tcBorders>
              <w:left w:val="nil"/>
              <w:bottom w:val="single" w:sz="4" w:space="0" w:color="auto"/>
              <w:right w:val="single" w:sz="4" w:space="0" w:color="auto"/>
            </w:tcBorders>
            <w:shd w:val="clear" w:color="auto" w:fill="auto"/>
            <w:hideMark/>
          </w:tcPr>
          <w:p w:rsidR="00153E07" w:rsidRPr="005A7C26" w:rsidRDefault="00153E07" w:rsidP="00153E07">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153E07">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эрозия почвы</w:t>
            </w:r>
          </w:p>
        </w:tc>
        <w:tc>
          <w:tcPr>
            <w:tcW w:w="1094" w:type="pct"/>
            <w:vMerge/>
            <w:tcBorders>
              <w:left w:val="nil"/>
              <w:bottom w:val="single" w:sz="4" w:space="0" w:color="auto"/>
              <w:right w:val="single" w:sz="4" w:space="0" w:color="auto"/>
            </w:tcBorders>
            <w:shd w:val="clear" w:color="auto" w:fill="auto"/>
            <w:hideMark/>
          </w:tcPr>
          <w:p w:rsidR="00153E07" w:rsidRPr="005A7C26" w:rsidRDefault="00153E07" w:rsidP="00153E07">
            <w:pPr>
              <w:spacing w:after="0" w:line="240" w:lineRule="auto"/>
              <w:jc w:val="both"/>
              <w:rPr>
                <w:rFonts w:ascii="Times New Roman" w:eastAsia="Times New Roman" w:hAnsi="Times New Roman" w:cs="Times New Roman"/>
                <w:color w:val="000000"/>
                <w:sz w:val="24"/>
                <w:szCs w:val="28"/>
              </w:rPr>
            </w:pPr>
          </w:p>
        </w:tc>
        <w:tc>
          <w:tcPr>
            <w:tcW w:w="1081" w:type="pct"/>
            <w:vMerge/>
            <w:tcBorders>
              <w:left w:val="nil"/>
              <w:bottom w:val="single" w:sz="4" w:space="0" w:color="auto"/>
              <w:right w:val="single" w:sz="4" w:space="0" w:color="auto"/>
            </w:tcBorders>
            <w:shd w:val="clear" w:color="auto" w:fill="auto"/>
            <w:hideMark/>
          </w:tcPr>
          <w:p w:rsidR="00153E07" w:rsidRPr="005A7C26" w:rsidRDefault="00153E07" w:rsidP="00153E07">
            <w:pPr>
              <w:spacing w:after="0" w:line="240" w:lineRule="auto"/>
              <w:jc w:val="both"/>
              <w:rPr>
                <w:rFonts w:ascii="Times New Roman" w:eastAsia="Times New Roman" w:hAnsi="Times New Roman" w:cs="Times New Roman"/>
                <w:color w:val="000000"/>
                <w:sz w:val="24"/>
                <w:szCs w:val="28"/>
              </w:rPr>
            </w:pPr>
          </w:p>
        </w:tc>
      </w:tr>
    </w:tbl>
    <w:p w:rsidR="00153E07" w:rsidRDefault="00153E07" w:rsidP="00153E07">
      <w:pPr>
        <w:jc w:val="both"/>
        <w:rPr>
          <w:rFonts w:ascii="Times New Roman" w:hAnsi="Times New Roman" w:cs="Times New Roman"/>
          <w:sz w:val="24"/>
          <w:szCs w:val="28"/>
        </w:rPr>
      </w:pPr>
    </w:p>
    <w:p w:rsidR="001D3C25" w:rsidRDefault="001D3C25">
      <w:pPr>
        <w:rPr>
          <w:rFonts w:ascii="Times New Roman" w:eastAsiaTheme="majorEastAsia" w:hAnsi="Times New Roman" w:cs="Times New Roman"/>
          <w:b/>
          <w:bCs/>
          <w:sz w:val="28"/>
          <w:szCs w:val="28"/>
        </w:rPr>
      </w:pPr>
      <w:r>
        <w:br w:type="page"/>
      </w:r>
    </w:p>
    <w:p w:rsidR="00F553E8" w:rsidRDefault="00F553E8" w:rsidP="00153E07">
      <w:pPr>
        <w:pStyle w:val="1"/>
        <w:numPr>
          <w:ilvl w:val="1"/>
          <w:numId w:val="7"/>
        </w:numPr>
        <w:sectPr w:rsidR="00F553E8" w:rsidSect="00F553E8">
          <w:footerReference w:type="default" r:id="rId95"/>
          <w:pgSz w:w="16838" w:h="11906" w:orient="landscape"/>
          <w:pgMar w:top="567" w:right="851" w:bottom="1418" w:left="851" w:header="709" w:footer="709" w:gutter="0"/>
          <w:cols w:space="708"/>
          <w:docGrid w:linePitch="360"/>
        </w:sectPr>
      </w:pPr>
    </w:p>
    <w:p w:rsidR="00153E07" w:rsidRDefault="00153E07" w:rsidP="00D527CE">
      <w:pPr>
        <w:pStyle w:val="1"/>
        <w:numPr>
          <w:ilvl w:val="1"/>
          <w:numId w:val="7"/>
        </w:numPr>
        <w:spacing w:line="240" w:lineRule="auto"/>
      </w:pPr>
      <w:r w:rsidRPr="00153E07">
        <w:lastRenderedPageBreak/>
        <w:t>Предложения по развитию Бардымского муниципального района, как конкурентоспособного муниципального образования Пермского края</w:t>
      </w:r>
    </w:p>
    <w:p w:rsidR="004E2E6F" w:rsidRPr="004E2E6F" w:rsidRDefault="004E2E6F" w:rsidP="00D527CE">
      <w:pPr>
        <w:spacing w:line="240" w:lineRule="auto"/>
      </w:pPr>
    </w:p>
    <w:p w:rsidR="00153E07" w:rsidRPr="00153E07" w:rsidRDefault="00153E07" w:rsidP="00D527CE">
      <w:pPr>
        <w:pStyle w:val="1"/>
        <w:numPr>
          <w:ilvl w:val="2"/>
          <w:numId w:val="7"/>
        </w:numPr>
        <w:spacing w:line="240" w:lineRule="auto"/>
      </w:pPr>
      <w:r w:rsidRPr="00153E07">
        <w:t>Миссия Бардымского муниципального района</w:t>
      </w:r>
    </w:p>
    <w:p w:rsidR="00153E07" w:rsidRPr="00153E07" w:rsidRDefault="00153E07" w:rsidP="00D527C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Миссия Бардымского муниципального района: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Бардымский район – территория с богатым историко-культурным, национальным и духовным наследием, обладающая ресурсным потенциалом для дальнейшего социально-экономического развития</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vertAlign w:val="superscript"/>
        </w:rPr>
        <w:footnoteReference w:id="10"/>
      </w:r>
    </w:p>
    <w:p w:rsidR="00153E07" w:rsidRPr="00153E07" w:rsidRDefault="00153E07" w:rsidP="00D527C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формулировке миссии учтены географическое положение, природные особенности, исторически сложившаяся ситуация, потенциальные возможности Бардымского муниципального района и стремления его жителей.</w:t>
      </w:r>
    </w:p>
    <w:p w:rsidR="00153E07" w:rsidRPr="00153E07" w:rsidRDefault="00153E07" w:rsidP="00D527C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Образ желаемого будущего может характеризоваться следующими тезисами:</w:t>
      </w:r>
    </w:p>
    <w:p w:rsidR="00153E07" w:rsidRPr="00153E07" w:rsidRDefault="00153E07" w:rsidP="00D527CE">
      <w:pPr>
        <w:pStyle w:val="af1"/>
        <w:numPr>
          <w:ilvl w:val="0"/>
          <w:numId w:val="19"/>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экологически чистая, красивая и обихоженная природа (реки, леса, горы и т.п.);</w:t>
      </w:r>
    </w:p>
    <w:p w:rsidR="00153E07" w:rsidRPr="00153E07" w:rsidRDefault="00153E07" w:rsidP="00D527CE">
      <w:pPr>
        <w:pStyle w:val="af1"/>
        <w:numPr>
          <w:ilvl w:val="0"/>
          <w:numId w:val="19"/>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район с сохраненными и развивающимися национальными, духовными традициями и обычаями;</w:t>
      </w:r>
    </w:p>
    <w:p w:rsidR="00153E07" w:rsidRPr="00153E07" w:rsidRDefault="00153E07" w:rsidP="00D527CE">
      <w:pPr>
        <w:pStyle w:val="af1"/>
        <w:numPr>
          <w:ilvl w:val="0"/>
          <w:numId w:val="19"/>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непрерывно развивающаяся конкурентоспособная промышленность, предпринимательство и сельское хозяйство;</w:t>
      </w:r>
    </w:p>
    <w:p w:rsidR="00153E07" w:rsidRPr="00153E07" w:rsidRDefault="00153E07" w:rsidP="00D527CE">
      <w:pPr>
        <w:pStyle w:val="af1"/>
        <w:numPr>
          <w:ilvl w:val="0"/>
          <w:numId w:val="19"/>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низкий уровень безработицы и преступности;</w:t>
      </w:r>
    </w:p>
    <w:p w:rsidR="00153E07" w:rsidRPr="00153E07" w:rsidRDefault="00153E07" w:rsidP="00D527CE">
      <w:pPr>
        <w:pStyle w:val="af1"/>
        <w:numPr>
          <w:ilvl w:val="0"/>
          <w:numId w:val="19"/>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стабильный высокий уровень качества жизни и благосостояния населения района.</w:t>
      </w:r>
    </w:p>
    <w:p w:rsidR="00153E07" w:rsidRPr="00153E07" w:rsidRDefault="00153E07" w:rsidP="00D527CE">
      <w:pPr>
        <w:pStyle w:val="af1"/>
        <w:spacing w:after="0" w:line="240" w:lineRule="auto"/>
        <w:ind w:left="1134"/>
        <w:jc w:val="both"/>
        <w:rPr>
          <w:rFonts w:ascii="Times New Roman" w:eastAsia="Times New Roman" w:hAnsi="Times New Roman" w:cs="Times New Roman"/>
          <w:sz w:val="28"/>
          <w:szCs w:val="28"/>
        </w:rPr>
      </w:pPr>
    </w:p>
    <w:p w:rsidR="00153E07" w:rsidRPr="00153E07" w:rsidRDefault="00153E07" w:rsidP="00D527CE">
      <w:pPr>
        <w:pStyle w:val="1"/>
        <w:numPr>
          <w:ilvl w:val="2"/>
          <w:numId w:val="7"/>
        </w:numPr>
        <w:spacing w:line="240" w:lineRule="auto"/>
      </w:pPr>
      <w:r w:rsidRPr="00153E07">
        <w:t>Приоритетные направления социально-экономического развития Бардымского муниципального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Комплексное развитие экономической и социальной сфер муниципальных образований, решение сложных социально-экономических проблем, постепенное устранение негативных явлений является одной из задач территориального маркетинга.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Улучшение качества жизни населения выступает самым главным результатом применения маркетинга территорий, в процессе которого рождаются кардинально новые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стандарты</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территориального функционирования.</w:t>
      </w:r>
    </w:p>
    <w:p w:rsidR="00153E07" w:rsidRPr="00E21B77"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153E07">
        <w:rPr>
          <w:rFonts w:ascii="Times New Roman" w:eastAsia="Times New Roman" w:hAnsi="Times New Roman" w:cs="Times New Roman"/>
          <w:sz w:val="28"/>
          <w:szCs w:val="28"/>
        </w:rPr>
        <w:t xml:space="preserve">Определяя приоритетные направления социально-экономического развития Бардымского муниципального района, обеспечивающие конкурентоспособность района, основополагающим выступает </w:t>
      </w:r>
      <w:r w:rsidRPr="00E21B77">
        <w:rPr>
          <w:rFonts w:ascii="Times New Roman" w:eastAsia="Times New Roman" w:hAnsi="Times New Roman" w:cs="Times New Roman"/>
          <w:b/>
          <w:sz w:val="28"/>
          <w:szCs w:val="28"/>
        </w:rPr>
        <w:t>социально-демографическое развитие территории.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Развитие социальной сферы, </w:t>
      </w:r>
      <w:r w:rsidRPr="00E21B77">
        <w:rPr>
          <w:rFonts w:ascii="Times New Roman" w:eastAsia="Times New Roman" w:hAnsi="Times New Roman" w:cs="Times New Roman"/>
          <w:b/>
          <w:sz w:val="28"/>
          <w:szCs w:val="28"/>
        </w:rPr>
        <w:t>поддержание и улучшение демографической ситуации</w:t>
      </w:r>
      <w:r w:rsidRPr="00153E07">
        <w:rPr>
          <w:rFonts w:ascii="Times New Roman" w:eastAsia="Times New Roman" w:hAnsi="Times New Roman" w:cs="Times New Roman"/>
          <w:sz w:val="28"/>
          <w:szCs w:val="28"/>
        </w:rPr>
        <w:t xml:space="preserve"> находится в прямой корреляционной зависимости от уровня экономического развития территории, которое было определено как второе приоритетное направление развития Бардымского муниципального района.</w:t>
      </w:r>
    </w:p>
    <w:p w:rsidR="00153E07" w:rsidRPr="00E21B77"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153E07">
        <w:rPr>
          <w:rFonts w:ascii="Times New Roman" w:eastAsia="Times New Roman" w:hAnsi="Times New Roman" w:cs="Times New Roman"/>
          <w:sz w:val="28"/>
          <w:szCs w:val="28"/>
        </w:rPr>
        <w:lastRenderedPageBreak/>
        <w:t xml:space="preserve">Третьим приоритетным направлением в социально-экономическом развитии Бардымского муниципального района выступает </w:t>
      </w:r>
      <w:r w:rsidRPr="00E21B77">
        <w:rPr>
          <w:rFonts w:ascii="Times New Roman" w:eastAsia="Times New Roman" w:hAnsi="Times New Roman" w:cs="Times New Roman"/>
          <w:b/>
          <w:sz w:val="28"/>
          <w:szCs w:val="28"/>
        </w:rPr>
        <w:t>контроль и улучшение экологической ситуации.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Таким образом, все эти направления имеют тесную взаимосвязь и требуют одновременного решения задач, связанных с их развитием.</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486400" cy="3200400"/>
            <wp:effectExtent l="0" t="0" r="0" b="0"/>
            <wp:docPr id="2207"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153E07" w:rsidRPr="00D53C12" w:rsidRDefault="00153E07" w:rsidP="00D527CE">
      <w:pPr>
        <w:tabs>
          <w:tab w:val="left" w:pos="2177"/>
        </w:tabs>
        <w:spacing w:after="0" w:line="240" w:lineRule="auto"/>
        <w:jc w:val="both"/>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Рисунок 3.1. Приоритетные направления социально-экономического развития Бардымского муниципального района</w:t>
      </w:r>
    </w:p>
    <w:p w:rsidR="00153E07" w:rsidRPr="00153E07" w:rsidRDefault="00153E07" w:rsidP="00D527C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D527C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t>Социально - демографическое развитие</w:t>
      </w:r>
      <w:r w:rsidR="00530383">
        <w:rPr>
          <w:rFonts w:ascii="Times New Roman" w:eastAsia="Times New Roman" w:hAnsi="Times New Roman" w:cs="Times New Roman"/>
          <w:b/>
          <w:sz w:val="28"/>
          <w:szCs w:val="28"/>
        </w:rPr>
        <w:t xml:space="preserve"> </w:t>
      </w:r>
      <w:r w:rsidRPr="00153E07">
        <w:rPr>
          <w:rFonts w:ascii="Times New Roman" w:eastAsia="Times New Roman" w:hAnsi="Times New Roman" w:cs="Times New Roman"/>
          <w:sz w:val="28"/>
          <w:szCs w:val="28"/>
        </w:rPr>
        <w:t>является наиболее важным фактором развития территорий, поскольку наличие и качество человеческого потенциала является главным элементом, обеспечивающим развитие производительных сил.</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данном направлении наиболее важно увеличивать численность населения района, делая упор на росте населения трудоспособного возраста и молодежи. С этой целью необходимо стимулировать естественный прирост населения путем продвижения программ по обеспечению жильем малоимущих семей, улучшать качество предоставления услуг здравоохранения, предоставлять молодёжи возможность для самореализации и саморазвития в районе путем проведения молодежных форум и программ, нацеленных на развитие индивидуального предпринимательства, увеличение доходов населения путем стимулирования создания новых рабочих мест.</w:t>
      </w:r>
    </w:p>
    <w:p w:rsidR="00153E07" w:rsidRPr="00153E07" w:rsidRDefault="00153E07" w:rsidP="00D527C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Прирост численности населения Бардымского муниципального района также возможно достичь путем миграционного притока, для чего необходимо формирование имиджа района как престижного и перспективного места для жизни и деятельности. </w:t>
      </w:r>
    </w:p>
    <w:p w:rsidR="00153E07" w:rsidRPr="00153E07" w:rsidRDefault="00153E07" w:rsidP="00D527C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Для улучшения социальной ситуации в районе, и создания безопасных условий жизнедеятельности необходимо проведение программ по пропаганде </w:t>
      </w:r>
      <w:r w:rsidRPr="00153E07">
        <w:rPr>
          <w:rFonts w:ascii="Times New Roman" w:eastAsia="Times New Roman" w:hAnsi="Times New Roman" w:cs="Times New Roman"/>
          <w:sz w:val="28"/>
          <w:szCs w:val="28"/>
        </w:rPr>
        <w:lastRenderedPageBreak/>
        <w:t>здорового образа жизни, проведение мероприятий, направленных на обучение основам жизнедеятельности, увеличению количества спортивных объектов.</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Исследования показали, что вредные привычки негативно влияют на здоровье людей, а также могут служить причиной девиантного поведения граждан, особенно при отсутствии правильной мотивации и постоянного места работы. В связи с этим необходимо усилить борьбу с преступностью, ужесточить контроль распития спиртных напитков в общественных местах, совершенствовать программы пропаганды спорта и здорового образа жизни.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Непринятие себя, как части общества, нежелание и отсутствие возможностей для освоения и изучения культурного наследия могут повлечь за собой негативные последствия развития асоциализации населения района. В связи с этим становится актуальным сохранение культурных ценностей Бардымского муниципального района, а также улучшение условий доступа различных групп населения к культуре и искусству. Таким образом, необходимо сохранение и популяризация национального языка, проведение традиционных праздников и фестивалей, в том числе поддержка и поощрение творческой активности молодежи.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Формирование и улучшение имиджа территории сопровождается ощущением уверенности, стабильности, безопасности, гарантиями защиты здоровья, жизни, собственного имущества и своих прав. Также целесообразно наличие льгот для социально незащищенных категорий граждан, нуждающихся в государственной поддержке.</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Таким образом, основными показателями, характеризующими социально-демографическое развитие Бардымского муниципального района, являются:</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естественный прирост населения;</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сокращение смертности населения;</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улучшение качества предоставляемых медицинских услуг и наиболее полный охват населения профилактическими мероприятиями;</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рабочих мест;</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миграционный приток населения;</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сокращение преступности;</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внедрение новых образовательных программ с целью развития интереса к предпринимательству у молодежи;</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пропаганда здорового образа жизни,</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проведение культурных и спортивных мероприятий в муниципальном районе с целью развития нравственных качеств населения.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Таким образом, для улучшения качества жизни населения района необходимы условия для развития человеческого потенциала. Под человеческим потенциалом в данном случае понимаются качества людей, которые влияют на результаты активности, в которую они вовлечены.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t>Экономическое развитие</w:t>
      </w:r>
      <w:r w:rsidRPr="00153E07">
        <w:rPr>
          <w:rFonts w:ascii="Times New Roman" w:eastAsia="Times New Roman" w:hAnsi="Times New Roman" w:cs="Times New Roman"/>
          <w:sz w:val="28"/>
          <w:szCs w:val="28"/>
        </w:rPr>
        <w:t xml:space="preserve"> подразумевает формирование имиджа Бардымского муниципального района как конкурентоспособной территории, привлекательной инвестиционной площадки.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Благодаря сельскохозяйственной специализации района приоритетным направлением является развитие агропромышленного комплекса путем кластерного подхода, т.е. создания особой экономической зоны. Учитывая наличие земель, социальной и транспортной инфраструктуры возможно приобретение Бардымским муниципальным образованием статуса особой экономической зоны.</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Данное объединение может включать в себя не только производство продукции растениеводства и животноводства, но и создание предприятий по переработке сельскохозяйственной продукции и ее хранению, что сократит влияние сезонности на отрасль.</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Для продуктивного экономического развития района необходимо привлекать инвестиции в основной капитал. Стимулирующими факторами, оказывающими влияние на приток инвестиции, выступает создание инвестиционной площадки, отражающей в режиме </w:t>
      </w:r>
      <w:r w:rsidRPr="00153E07">
        <w:rPr>
          <w:rFonts w:ascii="Times New Roman" w:eastAsia="Times New Roman" w:hAnsi="Times New Roman" w:cs="Times New Roman"/>
          <w:sz w:val="28"/>
          <w:szCs w:val="28"/>
          <w:lang w:val="en-US"/>
        </w:rPr>
        <w:t>on</w:t>
      </w:r>
      <w:r w:rsidRPr="00153E07">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lang w:val="en-US"/>
        </w:rPr>
        <w:t>line</w:t>
      </w:r>
      <w:r w:rsidRPr="00153E07">
        <w:rPr>
          <w:rFonts w:ascii="Times New Roman" w:eastAsia="Times New Roman" w:hAnsi="Times New Roman" w:cs="Times New Roman"/>
          <w:sz w:val="28"/>
          <w:szCs w:val="28"/>
        </w:rPr>
        <w:t xml:space="preserve"> потребности бизнеса в использовании дополнительных финансовых ресурсов.</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Для формирования финансового резерва, пополнения доходной части бюджета, а также обеспечения расходов бюджета Бардымскому муниципальному району необходимо развитие компенсирующих отраслей народного хозяйства. Ими могут стать разработка месторождений минеральных ресурсов и создание производств по их переработке.</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Важным приоритетным направлением развития Бардымского района выступает</w:t>
      </w:r>
      <w:r w:rsidR="00530383">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строительство кирпичного завода. Предпосылками создания данного проекта служат месторождения красных глин в районе, которые пригодны для изготовления полнотелого кирпича. Красная глина может использоваться не только в производстве кирпича, но и в гончарном производстве. Ремесленные изделия, создание керамической посуды могут служить предпосылками для развития туристического направления. Развитие туристической отрасли в районе позволит увеличить поток туристов, увеличить доходы бюджета Бардымского района и создать дополнительные рабочие места.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Важно отметить наличие месторождений строительного песка. На данный момент в районе используется намывной песок из русла рек, однако, при разработке месторождения строительного песка, существует возможность развития данной отрасли.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Шермейское, Новоашапское и Елпачихинское сельские поселения согласно программам социально-экономического развития, богаты месторождением травертина. Известковый туф широко используется в производстве облицовочных материалов.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Помимо строительной сферы известняк также используется в удобрении почв, создании скульптур.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Таким образом, в Бардымском районе возможна организация производства и системы сбыта строительных материалов и удобрений, как в близлежащие районы, так и за пределы региона в целом. Учитывая интенсивное жилищное строительство в Бардымском муниципальном районе, строительная продукция </w:t>
      </w:r>
      <w:r w:rsidRPr="00153E07">
        <w:rPr>
          <w:rFonts w:ascii="Times New Roman" w:eastAsia="Times New Roman" w:hAnsi="Times New Roman" w:cs="Times New Roman"/>
          <w:sz w:val="28"/>
          <w:szCs w:val="28"/>
        </w:rPr>
        <w:lastRenderedPageBreak/>
        <w:t>собственного производства позволит сократить затраты на строительство, а также реализовать приоритетную для России политику импортозамещения.</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Близость района к региональному центру и соседним регионам позволяет развивать торговые связи путем выведения на торговую площадку строительных материалов, в том числе кирпича, сельскохозяйственную продукцию, туристский продукт.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Также приоритетной отраслью, развиваемой в настоящее время в России, является внутренний и въездной туризм. Учитывая этнический состав населения Бардымского муниципального района, а также приверженность национальным традициям села целесообразна разработка программ этнографического, культурно-познавательного и гастрономического туризма.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Наличие в муниципальном районе большого количества водоемов, лесов, уникальных природных ландшафтов, горнолыжных комплексов позволяет развивать активный, экстремальный, спортивный туризм.</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Благодаря реализации вышеуказанных проектов экономического развития Бардымский муниципальный район сможет повысить уровень самообеспеченности населения, эффективно реализовать бюджетную</w:t>
      </w:r>
      <w:r w:rsidR="00530383">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xml:space="preserve">политику, достигнуть социального комфорта и сформировать привлекательный инвестиционный имидж своей территории.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Размещение производительных сил на территории Бардымского муниципального района окажет влияние на экологическую ситуацию, поэтому следующим приоритетным направлением социально-экономического развития является контроль и улучшение экологической ситуации.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Наличие месторождений нефти и торфа, а также вырубка леса на территории района несут в себе высокую экологическую нагрузку. Именно поэтому одним из приоритетных направлений развития района является сохранение и восстановление лесного фонда дляподдержания благоприятной экологической обстановки.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Мероприятиями контроля и улучшения экологической ситуации района являются сохранение и восстановление лесного фонда района, строительство очистных сооружений и предприятий по переработке твердых бытовых отходов, контроль сибиреязвенных скотомогильников, внедрение новейших технологий по улавливанию выбросов в атмосферу от передвижных и стационарных источников, проведение мероприятий по информированию населения района об основах безопасности жизнедеятельности.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Бардымский муниципальный район обладает рядом преимуществ, что позволяет планировать дальнейшее развитие местности. Упор на разработку и внедрение территориального маркетинга в комплексе является одним из факторов роста конкурентоспособности муниципальных образований.</w:t>
      </w:r>
      <w:r w:rsidR="00530383">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А правильное использование потенциала муниципального района позволяет формировать возможности его дальнейшего развития.</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p>
    <w:p w:rsidR="00153E07" w:rsidRPr="00153E07" w:rsidRDefault="00153E07" w:rsidP="00D527CE">
      <w:pPr>
        <w:pStyle w:val="1"/>
        <w:numPr>
          <w:ilvl w:val="2"/>
          <w:numId w:val="7"/>
        </w:numPr>
        <w:spacing w:line="240" w:lineRule="auto"/>
      </w:pPr>
      <w:r w:rsidRPr="00153E07">
        <w:lastRenderedPageBreak/>
        <w:t>Система стратегических целей по приоритетным направлениям социально-экономического развития Бардымского муниципального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D53C12">
        <w:rPr>
          <w:rFonts w:ascii="Times New Roman" w:eastAsia="Times New Roman" w:hAnsi="Times New Roman" w:cs="Times New Roman"/>
          <w:b/>
          <w:sz w:val="28"/>
          <w:szCs w:val="28"/>
        </w:rPr>
        <w:t>Система стратегических целей</w:t>
      </w:r>
      <w:r w:rsidRPr="00153E07">
        <w:rPr>
          <w:rFonts w:ascii="Times New Roman" w:eastAsia="Times New Roman" w:hAnsi="Times New Roman" w:cs="Times New Roman"/>
          <w:sz w:val="28"/>
          <w:szCs w:val="28"/>
        </w:rPr>
        <w:t xml:space="preserve"> по приоритетным направлениям социально-экономического развития включает в себя:</w:t>
      </w:r>
    </w:p>
    <w:p w:rsidR="00153E07" w:rsidRPr="00D53C12" w:rsidRDefault="00153E07" w:rsidP="00D527CE">
      <w:pPr>
        <w:pStyle w:val="af1"/>
        <w:numPr>
          <w:ilvl w:val="0"/>
          <w:numId w:val="11"/>
        </w:numPr>
        <w:tabs>
          <w:tab w:val="left" w:pos="2177"/>
        </w:tabs>
        <w:spacing w:after="0" w:line="240" w:lineRule="auto"/>
        <w:jc w:val="both"/>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Повышение качества жизни и создание благоприятных условий для населения;</w:t>
      </w:r>
    </w:p>
    <w:p w:rsidR="00153E07" w:rsidRPr="00D53C12" w:rsidRDefault="00153E07" w:rsidP="00D527CE">
      <w:pPr>
        <w:pStyle w:val="af1"/>
        <w:numPr>
          <w:ilvl w:val="0"/>
          <w:numId w:val="11"/>
        </w:numPr>
        <w:tabs>
          <w:tab w:val="left" w:pos="2177"/>
        </w:tabs>
        <w:spacing w:after="0" w:line="240" w:lineRule="auto"/>
        <w:jc w:val="both"/>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Повышение инвестиционной привлекательности Бардымского муниципального района;</w:t>
      </w:r>
    </w:p>
    <w:p w:rsidR="00153E07" w:rsidRPr="00D53C12" w:rsidRDefault="00153E07" w:rsidP="00D527CE">
      <w:pPr>
        <w:pStyle w:val="af1"/>
        <w:numPr>
          <w:ilvl w:val="0"/>
          <w:numId w:val="11"/>
        </w:numPr>
        <w:tabs>
          <w:tab w:val="left" w:pos="2177"/>
        </w:tabs>
        <w:spacing w:after="0" w:line="240" w:lineRule="auto"/>
        <w:jc w:val="both"/>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Сохранение и развитие культурно-исторического, национального и духовного потенциала.</w:t>
      </w:r>
    </w:p>
    <w:p w:rsidR="00153E07" w:rsidRPr="00D53C12"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Глобальной стратегической целью социально-экономического развития, которая также отражена в качестве приоритетной в главном законе нашего государства – Конституции Российской Федерации – является повышение качества жизни и создание благоприятных условий для жизни и деятельности населения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Условием для создания благоприятных условий для населения выступает достаточный объем бюджетных средств муниципального района, что должно быть обеспечено благодаря экономическому развитию района, повышению инвестиционной привлекательности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Особенностью Бардымского муниципального района является его самобытность. Район обладает богатым историческим прошлым, имеет духовное и национальное наследие, поэтому одной из приоритетных целей развития района является сохранение и развитие культурно-исторического, национального и духовного потенциала.</w:t>
      </w:r>
    </w:p>
    <w:p w:rsidR="00153E07" w:rsidRPr="00D53C12"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Стратегические цели формируют основные стратегические задачи.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153E07">
        <w:rPr>
          <w:rFonts w:ascii="Times New Roman" w:eastAsia="Times New Roman" w:hAnsi="Times New Roman" w:cs="Times New Roman"/>
          <w:b/>
          <w:sz w:val="28"/>
          <w:szCs w:val="28"/>
        </w:rPr>
        <w:t>Промышленность:</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поддержка развития существующих предприятий (экономическая, информационная, инвестиционная);</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условий для размещения и развития новых промышленных предприятий, обновление технологий на существующих предприятиях;</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участие в подготовке квалифицированных кадров и образовательных программах для промышленности. </w:t>
      </w:r>
    </w:p>
    <w:p w:rsidR="00D53C12" w:rsidRDefault="00D53C12" w:rsidP="00D527CE">
      <w:pPr>
        <w:tabs>
          <w:tab w:val="left" w:pos="2177"/>
        </w:tabs>
        <w:spacing w:after="0" w:line="240" w:lineRule="auto"/>
        <w:ind w:firstLine="709"/>
        <w:jc w:val="both"/>
        <w:rPr>
          <w:rFonts w:ascii="Times New Roman" w:eastAsia="Times New Roman" w:hAnsi="Times New Roman" w:cs="Times New Roman"/>
          <w:b/>
          <w:sz w:val="28"/>
          <w:szCs w:val="28"/>
        </w:rPr>
      </w:pP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153E07">
        <w:rPr>
          <w:rFonts w:ascii="Times New Roman" w:eastAsia="Times New Roman" w:hAnsi="Times New Roman" w:cs="Times New Roman"/>
          <w:b/>
          <w:sz w:val="28"/>
          <w:szCs w:val="28"/>
        </w:rPr>
        <w:t>Сельское хозяйство:</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комплексной особой экономической зоны с привлечением существующих КФХ и ЛПХ, а также новых инвесторов;</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увеличение объемов производства и видов продукции животноводства и растениеводства, включая производство в КФХ и ЛПХ;</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согласование объемов производства продукции с потребностями внутреннего и региональных рынков;</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улучшение качества продукции;</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обновление техники и технологий; </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создание системы комплексной оценки сельскохозяйственной деятельности, как фактора, определяющего размещение объектов сельского хозяйства.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153E07">
        <w:rPr>
          <w:rFonts w:ascii="Times New Roman" w:eastAsia="Times New Roman" w:hAnsi="Times New Roman" w:cs="Times New Roman"/>
          <w:b/>
          <w:sz w:val="28"/>
          <w:szCs w:val="28"/>
        </w:rPr>
        <w:t>Экологический, оздоровительный и познавательный туризм:</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содействие развитию действующих и создание новых организаций познавательного туризма, преимущественно вблизи археологических памятников и уникальных природных мест;</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разработка туристических продуктов и маршрутов для различных видов туризма;</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развитие этнографического, археологического, культурно-познавательного, активного, спортивного и экстремального видов туризма;</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содействие созданию инфраструктуры туризма.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153E07">
        <w:rPr>
          <w:rFonts w:ascii="Times New Roman" w:eastAsia="Times New Roman" w:hAnsi="Times New Roman" w:cs="Times New Roman"/>
          <w:b/>
          <w:sz w:val="28"/>
          <w:szCs w:val="28"/>
        </w:rPr>
        <w:t>Жилищное строительство:</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инфраструктуры, обеспечивающей развитие строительства одноквартирных жилых домов, включая подсобные хозяйства (мини-фермы) в сельских поселениях;</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реализация среднесрочной и долгосрочной программ жилищного строительства.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153E07">
        <w:rPr>
          <w:rFonts w:ascii="Times New Roman" w:eastAsia="Times New Roman" w:hAnsi="Times New Roman" w:cs="Times New Roman"/>
          <w:b/>
          <w:sz w:val="28"/>
          <w:szCs w:val="28"/>
        </w:rPr>
        <w:t>Малый бизнес:</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привлечение малого бизнеса к участию в реализации вариантов территориального развития (в сфере туризма, жилищного строительства, социального обслуживания, сельского хозяйства, производства).</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развитие инфраструктуры придорожного обслуживания на автодорогах района;</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равных условий для предпринимателей с обеспечением приоритетного развития местных инициатив;</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развитие сферы малого и среднего предпринимательства на основе развития инновационного управления. Развитие консультационных центров, агробизнес-инкубатора с такими функциями как: накопление перспективных проектов и их кредитование; координация деятельности, привлечение денежных средств; консультационная и информационная поддержка.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153E07">
        <w:rPr>
          <w:rFonts w:ascii="Times New Roman" w:eastAsia="Times New Roman" w:hAnsi="Times New Roman" w:cs="Times New Roman"/>
          <w:b/>
          <w:sz w:val="28"/>
          <w:szCs w:val="28"/>
        </w:rPr>
        <w:t>Социально-культурный блок:</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обеспечение потребностей населения в социальных услугах и развитие инфраструктуры социального обслуживания;</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содействие развитию и перепрофилированию профессионального образования;</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развитие молодежной политики и обеспечение досуга молодежи (вовлечение молодежи в творческую, научную, общественную, спортивную, трудовую, предпринимательскую деятельность и т.п.);</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уменьшение оттока наиболее активной части населения;</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повышение эффективности оказания адресной социальной помощи;</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привлечение деловых кругов к участию в значимых социальных программах;</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развитие народных ремесел.</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153E07">
        <w:rPr>
          <w:rFonts w:ascii="Times New Roman" w:eastAsia="Times New Roman" w:hAnsi="Times New Roman" w:cs="Times New Roman"/>
          <w:b/>
          <w:sz w:val="28"/>
          <w:szCs w:val="28"/>
        </w:rPr>
        <w:lastRenderedPageBreak/>
        <w:t>Инвестиционный блок:</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улучшение инвестиционного климата и создание благоприятных условий для инвестирования;</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системы гарантий для инвесторов;</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предпринимательских партнерств и сообществ;</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реестра предпочтительных инвестиционных проектов и инвестиционных площадок;</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продвижение информации о зонах перспективного развития района;</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системы поддержки и продвижения инвестиционных проектов.</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153E07">
        <w:rPr>
          <w:rFonts w:ascii="Times New Roman" w:eastAsia="Times New Roman" w:hAnsi="Times New Roman" w:cs="Times New Roman"/>
          <w:b/>
          <w:sz w:val="28"/>
          <w:szCs w:val="28"/>
        </w:rPr>
        <w:t>Информационный блок:</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системы сбора, обработки и анализа информации для выявления тенденций, и принятия эффективных управленческих решений;</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накопление, систематизация и продвижение информации о районе, об инвестиционных проектах, о туризме, о продукции выпускаемой предприятиями района;</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формирование и продвижение имиджа Бардымского района;</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поддержка и активизация интернет-сайта района.</w:t>
      </w:r>
    </w:p>
    <w:p w:rsidR="00153E07" w:rsidRPr="00153E07" w:rsidRDefault="00153E07" w:rsidP="00D527CE">
      <w:pPr>
        <w:tabs>
          <w:tab w:val="left" w:pos="2177"/>
        </w:tabs>
        <w:spacing w:after="0" w:line="240" w:lineRule="auto"/>
        <w:jc w:val="both"/>
        <w:rPr>
          <w:rFonts w:ascii="Times New Roman" w:eastAsia="Times New Roman" w:hAnsi="Times New Roman" w:cs="Times New Roman"/>
          <w:sz w:val="28"/>
          <w:szCs w:val="28"/>
        </w:rPr>
      </w:pPr>
    </w:p>
    <w:p w:rsidR="00153E07" w:rsidRPr="00153E07" w:rsidRDefault="00153E07" w:rsidP="00D527CE">
      <w:pPr>
        <w:pStyle w:val="1"/>
        <w:numPr>
          <w:ilvl w:val="2"/>
          <w:numId w:val="7"/>
        </w:numPr>
        <w:spacing w:line="240" w:lineRule="auto"/>
      </w:pPr>
      <w:r w:rsidRPr="00153E07">
        <w:t>Система ключевых показателей и индикаторов Стратегии социально-экономического развития Бардымского муниципального района на период 2018-2030 годы</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Система ключевых показателей и индикаторов Стратегии социально-экономического развития Бардымского муниципального района разработана с учетом методов</w:t>
      </w:r>
      <w:r w:rsidR="00530383">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составления сводных индексов социально- экономического развития регионов, предложенных Институтом современного развития совместно с Министерством регионального развития Российской Федерации.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Система ключевых показателей и индикаторов учитывает уровень муниципального образования и позволяет оперативно отслеживать изменения в развитии экономической, социальной и финансовой сферах по следующим показателям: </w:t>
      </w:r>
    </w:p>
    <w:p w:rsidR="00153E07" w:rsidRPr="00153E07" w:rsidRDefault="00153E07" w:rsidP="00D527CE">
      <w:pPr>
        <w:pStyle w:val="af1"/>
        <w:numPr>
          <w:ilvl w:val="0"/>
          <w:numId w:val="12"/>
        </w:numPr>
        <w:spacing w:after="0" w:line="240" w:lineRule="auto"/>
        <w:jc w:val="both"/>
        <w:rPr>
          <w:rFonts w:ascii="Times New Roman" w:hAnsi="Times New Roman" w:cs="Times New Roman"/>
          <w:sz w:val="28"/>
          <w:szCs w:val="28"/>
        </w:rPr>
      </w:pPr>
      <w:r w:rsidRPr="00153E07">
        <w:rPr>
          <w:rFonts w:ascii="Times New Roman" w:hAnsi="Times New Roman" w:cs="Times New Roman"/>
          <w:sz w:val="28"/>
          <w:szCs w:val="28"/>
        </w:rPr>
        <w:t xml:space="preserve">Реальный сектор экономики; </w:t>
      </w:r>
    </w:p>
    <w:p w:rsidR="00153E07" w:rsidRPr="00153E07" w:rsidRDefault="00153E07" w:rsidP="00D527CE">
      <w:pPr>
        <w:pStyle w:val="af1"/>
        <w:numPr>
          <w:ilvl w:val="0"/>
          <w:numId w:val="12"/>
        </w:numPr>
        <w:spacing w:after="0" w:line="240" w:lineRule="auto"/>
        <w:jc w:val="both"/>
        <w:rPr>
          <w:rFonts w:ascii="Times New Roman" w:hAnsi="Times New Roman" w:cs="Times New Roman"/>
          <w:sz w:val="28"/>
          <w:szCs w:val="28"/>
        </w:rPr>
      </w:pPr>
      <w:r w:rsidRPr="00153E07">
        <w:rPr>
          <w:rFonts w:ascii="Times New Roman" w:hAnsi="Times New Roman" w:cs="Times New Roman"/>
          <w:sz w:val="28"/>
          <w:szCs w:val="28"/>
        </w:rPr>
        <w:t xml:space="preserve">Инвестиционная привлекательность; </w:t>
      </w:r>
    </w:p>
    <w:p w:rsidR="00153E07" w:rsidRPr="00153E07" w:rsidRDefault="00153E07" w:rsidP="00D527CE">
      <w:pPr>
        <w:pStyle w:val="af1"/>
        <w:numPr>
          <w:ilvl w:val="0"/>
          <w:numId w:val="12"/>
        </w:numPr>
        <w:spacing w:after="0" w:line="240" w:lineRule="auto"/>
        <w:jc w:val="both"/>
        <w:rPr>
          <w:rFonts w:ascii="Times New Roman" w:hAnsi="Times New Roman" w:cs="Times New Roman"/>
          <w:sz w:val="28"/>
          <w:szCs w:val="28"/>
        </w:rPr>
      </w:pPr>
      <w:r w:rsidRPr="00153E07">
        <w:rPr>
          <w:rFonts w:ascii="Times New Roman" w:hAnsi="Times New Roman" w:cs="Times New Roman"/>
          <w:sz w:val="28"/>
          <w:szCs w:val="28"/>
        </w:rPr>
        <w:t xml:space="preserve">Доходы и занятость населения; </w:t>
      </w:r>
    </w:p>
    <w:p w:rsidR="00153E07" w:rsidRPr="00153E07" w:rsidRDefault="00153E07" w:rsidP="00D527CE">
      <w:pPr>
        <w:pStyle w:val="af1"/>
        <w:numPr>
          <w:ilvl w:val="0"/>
          <w:numId w:val="12"/>
        </w:numPr>
        <w:spacing w:after="0" w:line="240" w:lineRule="auto"/>
        <w:jc w:val="both"/>
        <w:rPr>
          <w:rFonts w:ascii="Times New Roman" w:hAnsi="Times New Roman" w:cs="Times New Roman"/>
          <w:sz w:val="28"/>
          <w:szCs w:val="28"/>
        </w:rPr>
      </w:pPr>
      <w:r w:rsidRPr="00153E07">
        <w:rPr>
          <w:rFonts w:ascii="Times New Roman" w:eastAsia="Times New Roman" w:hAnsi="Times New Roman" w:cs="Times New Roman"/>
          <w:sz w:val="28"/>
          <w:szCs w:val="28"/>
        </w:rPr>
        <w:t xml:space="preserve">Бюджетная система.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Данные показатели включают в себя ряд индексов, на основе которых рассчитываются четыре индикатора. После расчета четырех индексов по показателям рассчитывается сводный индекс социально-экономического развития муниципального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При расчете данных индексов за основу берутся данные, предоставляемые в Министерство регионального развития Российской Федерации в соответствии с распоряжением Правительства РФ №806-р от 15 июня 2009 года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Об организации и проведении мониторинга процессов в реальном секторе экономики, финансово-банковской и социальной сферах субъектов Российской Федерации</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w:t>
      </w:r>
    </w:p>
    <w:p w:rsidR="00153E07" w:rsidRPr="00D53C12"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lastRenderedPageBreak/>
        <w:t>Основные принципы системы ключевых показателей и индикаторов Стратегии социально-экономического развития Бардымского муниципального района:</w:t>
      </w:r>
    </w:p>
    <w:p w:rsidR="00153E07" w:rsidRPr="00153E07" w:rsidRDefault="00153E07" w:rsidP="00D527CE">
      <w:pPr>
        <w:pStyle w:val="af1"/>
        <w:numPr>
          <w:ilvl w:val="0"/>
          <w:numId w:val="14"/>
        </w:numPr>
        <w:tabs>
          <w:tab w:val="left" w:pos="2177"/>
        </w:tabs>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Соответствие заявленным целям – показатель должен быть содержательным именно в контексте данной цели (например, индекс потребительских цен на месячном уровне не может рассматриваться как показатель, характеризующий инвестиционную привлекательность);</w:t>
      </w:r>
    </w:p>
    <w:p w:rsidR="00153E07" w:rsidRPr="00153E07" w:rsidRDefault="00153E07" w:rsidP="00D527CE">
      <w:pPr>
        <w:pStyle w:val="af1"/>
        <w:numPr>
          <w:ilvl w:val="0"/>
          <w:numId w:val="14"/>
        </w:numPr>
        <w:tabs>
          <w:tab w:val="left" w:pos="2177"/>
        </w:tabs>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Значимость показателей – предпочтение отдается общим, а не частным показателям (индекс потребительских цен, а не цены на продовольственные товары, непродовольственные товары и т.д., динамика реальных доходов населения, а не динамика реальных зара</w:t>
      </w:r>
      <w:r w:rsidR="00CB7DA8">
        <w:rPr>
          <w:rFonts w:ascii="Times New Roman" w:eastAsia="Times New Roman" w:hAnsi="Times New Roman" w:cs="Times New Roman"/>
          <w:sz w:val="28"/>
          <w:szCs w:val="28"/>
        </w:rPr>
        <w:t>ботных плат или пенсий, т.д.);</w:t>
      </w:r>
    </w:p>
    <w:p w:rsidR="00153E07" w:rsidRPr="00153E07" w:rsidRDefault="00153E07" w:rsidP="00D527CE">
      <w:pPr>
        <w:pStyle w:val="af1"/>
        <w:numPr>
          <w:ilvl w:val="0"/>
          <w:numId w:val="14"/>
        </w:numPr>
        <w:tabs>
          <w:tab w:val="left" w:pos="2177"/>
        </w:tabs>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Показатели должны наиболее полно отражать выполнение заявленных целей – так, в случае оценки инвестиционной привлекательности развития необходимо в большей степени учитывать объемы инвестиций и строительных работ на душу населения, прибыльность предприятий, чем динамику инвестиций;</w:t>
      </w:r>
    </w:p>
    <w:p w:rsidR="00153E07" w:rsidRPr="00153E07" w:rsidRDefault="00153E07" w:rsidP="00D527CE">
      <w:pPr>
        <w:pStyle w:val="af1"/>
        <w:numPr>
          <w:ilvl w:val="0"/>
          <w:numId w:val="14"/>
        </w:numPr>
        <w:tabs>
          <w:tab w:val="left" w:pos="2177"/>
        </w:tabs>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Ограниченность набора показателей, на основе которого рассчитываются сводные индексы (в случае, если сводный индекс содержит слишком много составляющих, возникает проблема в отслеживании вклада конкретного показателя на агрегированном уровне). </w:t>
      </w:r>
    </w:p>
    <w:p w:rsidR="00153E07" w:rsidRPr="00153E07" w:rsidRDefault="00153E07" w:rsidP="00D527CE">
      <w:pPr>
        <w:pStyle w:val="af1"/>
        <w:numPr>
          <w:ilvl w:val="0"/>
          <w:numId w:val="14"/>
        </w:numPr>
        <w:tabs>
          <w:tab w:val="left" w:pos="2177"/>
        </w:tabs>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Сопоставимость субъектов по показателям. В соответствии с этим принципом все показатели, используемые в расчете сводных индексов по каждой цели, нормируются на среднероссийское значение соответствующего показателя и отражаются в процентах. Если значение по субъекту Российской Федерации превышает/ниже среднероссийского значения показателя более чем в 2 раза или меньше 30%, то значение по данному субъекту Российской Федерации заменяется на 200% или 30% соответственно от значения показателя по Российской Федерации (грубая регуляризация). После получения безразмерных показателей (путем нормирования), они взвешиваются по системе весов, разработанной на основе экспертных оценок.</w:t>
      </w:r>
    </w:p>
    <w:p w:rsidR="00153E07" w:rsidRPr="00153E07" w:rsidRDefault="00153E07" w:rsidP="00D527CE">
      <w:pPr>
        <w:tabs>
          <w:tab w:val="left" w:pos="2177"/>
        </w:tabs>
        <w:spacing w:after="0" w:line="240" w:lineRule="auto"/>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3.</w:t>
      </w:r>
      <w:r w:rsidR="001D3C25">
        <w:rPr>
          <w:rFonts w:ascii="Times New Roman" w:eastAsia="Times New Roman" w:hAnsi="Times New Roman" w:cs="Times New Roman"/>
          <w:sz w:val="28"/>
          <w:szCs w:val="28"/>
        </w:rPr>
        <w:t>6</w:t>
      </w:r>
    </w:p>
    <w:p w:rsidR="00153E07" w:rsidRPr="00D53C12" w:rsidRDefault="00153E07" w:rsidP="00D527CE">
      <w:pPr>
        <w:tabs>
          <w:tab w:val="left" w:pos="2177"/>
        </w:tabs>
        <w:spacing w:after="0" w:line="240" w:lineRule="auto"/>
        <w:jc w:val="center"/>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Система ключевых показателей и индикаторов Стратегии социально-экономического развития Бардымского муниципального района</w:t>
      </w:r>
    </w:p>
    <w:tbl>
      <w:tblPr>
        <w:tblW w:w="5070" w:type="pct"/>
        <w:tblLayout w:type="fixed"/>
        <w:tblLook w:val="04A0"/>
      </w:tblPr>
      <w:tblGrid>
        <w:gridCol w:w="2377"/>
        <w:gridCol w:w="7902"/>
      </w:tblGrid>
      <w:tr w:rsidR="00530383" w:rsidRPr="00530383" w:rsidTr="00D53C12">
        <w:trPr>
          <w:trHeight w:val="375"/>
        </w:trPr>
        <w:tc>
          <w:tcPr>
            <w:tcW w:w="11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0383" w:rsidRPr="00570AAF" w:rsidRDefault="00355F6A" w:rsidP="00D527CE">
            <w:pPr>
              <w:spacing w:after="0" w:line="240" w:lineRule="auto"/>
              <w:jc w:val="center"/>
              <w:rPr>
                <w:rFonts w:ascii="Times New Roman" w:eastAsia="Times New Roman" w:hAnsi="Times New Roman" w:cs="Times New Roman"/>
                <w:b/>
                <w:color w:val="000000"/>
                <w:sz w:val="24"/>
                <w:szCs w:val="28"/>
              </w:rPr>
            </w:pPr>
            <w:r w:rsidRPr="00570AAF">
              <w:rPr>
                <w:rFonts w:ascii="Times New Roman" w:eastAsia="Times New Roman" w:hAnsi="Times New Roman" w:cs="Times New Roman"/>
                <w:b/>
                <w:color w:val="000000"/>
                <w:sz w:val="24"/>
                <w:szCs w:val="28"/>
              </w:rPr>
              <w:t>Показатели</w:t>
            </w:r>
          </w:p>
        </w:tc>
        <w:tc>
          <w:tcPr>
            <w:tcW w:w="3844" w:type="pct"/>
            <w:tcBorders>
              <w:top w:val="single" w:sz="4" w:space="0" w:color="auto"/>
              <w:left w:val="nil"/>
              <w:bottom w:val="single" w:sz="4" w:space="0" w:color="auto"/>
              <w:right w:val="single" w:sz="4" w:space="0" w:color="auto"/>
            </w:tcBorders>
            <w:shd w:val="clear" w:color="auto" w:fill="auto"/>
            <w:vAlign w:val="bottom"/>
            <w:hideMark/>
          </w:tcPr>
          <w:p w:rsidR="00530383" w:rsidRPr="00570AAF" w:rsidRDefault="00355F6A" w:rsidP="00D527CE">
            <w:pPr>
              <w:spacing w:after="0" w:line="240" w:lineRule="auto"/>
              <w:jc w:val="center"/>
              <w:rPr>
                <w:rFonts w:ascii="Times New Roman" w:eastAsia="Times New Roman" w:hAnsi="Times New Roman" w:cs="Times New Roman"/>
                <w:b/>
                <w:color w:val="000000"/>
                <w:sz w:val="24"/>
                <w:szCs w:val="28"/>
              </w:rPr>
            </w:pPr>
            <w:r w:rsidRPr="00570AAF">
              <w:rPr>
                <w:rFonts w:ascii="Times New Roman" w:eastAsia="Times New Roman" w:hAnsi="Times New Roman" w:cs="Times New Roman"/>
                <w:b/>
                <w:color w:val="000000"/>
                <w:sz w:val="24"/>
                <w:szCs w:val="28"/>
              </w:rPr>
              <w:t>Индикаторы</w:t>
            </w:r>
          </w:p>
        </w:tc>
      </w:tr>
      <w:tr w:rsidR="00530383" w:rsidRPr="00530383" w:rsidTr="00D53C12">
        <w:trPr>
          <w:trHeight w:val="375"/>
        </w:trPr>
        <w:tc>
          <w:tcPr>
            <w:tcW w:w="1156" w:type="pct"/>
            <w:tcBorders>
              <w:top w:val="nil"/>
              <w:left w:val="single" w:sz="4" w:space="0" w:color="auto"/>
              <w:bottom w:val="single" w:sz="4" w:space="0" w:color="auto"/>
              <w:right w:val="single" w:sz="4" w:space="0" w:color="auto"/>
            </w:tcBorders>
            <w:shd w:val="clear" w:color="auto" w:fill="auto"/>
            <w:noWrap/>
            <w:vAlign w:val="center"/>
            <w:hideMark/>
          </w:tcPr>
          <w:p w:rsidR="00530383" w:rsidRPr="00570AAF" w:rsidRDefault="00530383" w:rsidP="00D527CE">
            <w:pPr>
              <w:spacing w:after="0" w:line="240" w:lineRule="auto"/>
              <w:jc w:val="center"/>
              <w:rPr>
                <w:rFonts w:ascii="Times New Roman" w:eastAsia="Times New Roman" w:hAnsi="Times New Roman" w:cs="Times New Roman"/>
                <w:b/>
                <w:color w:val="000000"/>
                <w:sz w:val="24"/>
                <w:szCs w:val="28"/>
              </w:rPr>
            </w:pPr>
            <w:r w:rsidRPr="00570AAF">
              <w:rPr>
                <w:rFonts w:ascii="Times New Roman" w:eastAsia="Times New Roman" w:hAnsi="Times New Roman" w:cs="Times New Roman"/>
                <w:b/>
                <w:color w:val="000000"/>
                <w:sz w:val="24"/>
                <w:szCs w:val="28"/>
              </w:rPr>
              <w:t>Демография</w:t>
            </w:r>
          </w:p>
        </w:tc>
        <w:tc>
          <w:tcPr>
            <w:tcW w:w="3844" w:type="pct"/>
            <w:tcBorders>
              <w:top w:val="nil"/>
              <w:left w:val="nil"/>
              <w:bottom w:val="single" w:sz="4" w:space="0" w:color="auto"/>
              <w:right w:val="single" w:sz="4" w:space="0" w:color="auto"/>
            </w:tcBorders>
            <w:shd w:val="clear" w:color="auto" w:fill="auto"/>
            <w:noWrap/>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Численность постоянного населения, чел.</w:t>
            </w:r>
          </w:p>
        </w:tc>
      </w:tr>
      <w:tr w:rsidR="00530383" w:rsidRPr="00530383" w:rsidTr="00D53C12">
        <w:trPr>
          <w:trHeight w:val="598"/>
        </w:trPr>
        <w:tc>
          <w:tcPr>
            <w:tcW w:w="1156" w:type="pct"/>
            <w:tcBorders>
              <w:top w:val="nil"/>
              <w:left w:val="single" w:sz="4" w:space="0" w:color="auto"/>
              <w:bottom w:val="single" w:sz="4" w:space="0" w:color="auto"/>
              <w:right w:val="single" w:sz="4" w:space="0" w:color="auto"/>
            </w:tcBorders>
            <w:shd w:val="clear" w:color="auto" w:fill="auto"/>
            <w:noWrap/>
            <w:vAlign w:val="center"/>
            <w:hideMark/>
          </w:tcPr>
          <w:p w:rsidR="00530383" w:rsidRPr="00570AAF" w:rsidRDefault="00530383" w:rsidP="00D527CE">
            <w:pPr>
              <w:spacing w:after="0" w:line="240" w:lineRule="auto"/>
              <w:jc w:val="center"/>
              <w:rPr>
                <w:rFonts w:ascii="Times New Roman" w:eastAsia="Times New Roman" w:hAnsi="Times New Roman" w:cs="Times New Roman"/>
                <w:b/>
                <w:color w:val="000000"/>
                <w:sz w:val="24"/>
                <w:szCs w:val="28"/>
              </w:rPr>
            </w:pPr>
            <w:r w:rsidRPr="00570AAF">
              <w:rPr>
                <w:rFonts w:ascii="Times New Roman" w:eastAsia="Times New Roman" w:hAnsi="Times New Roman" w:cs="Times New Roman"/>
                <w:b/>
                <w:color w:val="000000"/>
                <w:sz w:val="24"/>
                <w:szCs w:val="28"/>
              </w:rPr>
              <w:t>Инфраструктура</w:t>
            </w: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Ввод жилья на душу населения (за период с начала года, кв.м. на 1000 чел. населения)</w:t>
            </w:r>
          </w:p>
        </w:tc>
      </w:tr>
      <w:tr w:rsidR="00530383" w:rsidRPr="00530383" w:rsidTr="00D53C12">
        <w:trPr>
          <w:trHeight w:val="553"/>
        </w:trPr>
        <w:tc>
          <w:tcPr>
            <w:tcW w:w="115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30383" w:rsidRPr="00570AAF" w:rsidRDefault="00530383" w:rsidP="00D527CE">
            <w:pPr>
              <w:spacing w:after="0" w:line="240" w:lineRule="auto"/>
              <w:jc w:val="center"/>
              <w:rPr>
                <w:rFonts w:ascii="Times New Roman" w:eastAsia="Times New Roman" w:hAnsi="Times New Roman" w:cs="Times New Roman"/>
                <w:b/>
                <w:color w:val="000000"/>
                <w:sz w:val="24"/>
                <w:szCs w:val="28"/>
              </w:rPr>
            </w:pPr>
            <w:r w:rsidRPr="00570AAF">
              <w:rPr>
                <w:rFonts w:ascii="Times New Roman" w:eastAsia="Times New Roman" w:hAnsi="Times New Roman" w:cs="Times New Roman"/>
                <w:b/>
                <w:color w:val="000000"/>
                <w:sz w:val="24"/>
                <w:szCs w:val="28"/>
              </w:rPr>
              <w:t>Экономика</w:t>
            </w: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Индекс промышленного производства (за период с начала года в % к соответствующему периоду прошлого года)</w:t>
            </w:r>
          </w:p>
        </w:tc>
      </w:tr>
      <w:tr w:rsidR="00530383" w:rsidRPr="00530383" w:rsidTr="00570AAF">
        <w:trPr>
          <w:trHeight w:val="520"/>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Темп роста числа субъектов малого предпринимательства (за период с начала года в % к соответствующему периоду прошлого года)</w:t>
            </w:r>
          </w:p>
        </w:tc>
      </w:tr>
      <w:tr w:rsidR="00530383" w:rsidRPr="00530383" w:rsidTr="00D53C12">
        <w:trPr>
          <w:trHeight w:val="837"/>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Индекс производства продукции сельского хозяйства (за период с начала года в % к соответствующему периоду прошлого года, квартальный показатель)</w:t>
            </w:r>
          </w:p>
        </w:tc>
      </w:tr>
      <w:tr w:rsidR="00530383" w:rsidRPr="00530383" w:rsidTr="00D53C12">
        <w:trPr>
          <w:trHeight w:val="568"/>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Объем отгруженных товаров на душу населения (за период с начала года, тыс.руб. на человека)</w:t>
            </w:r>
          </w:p>
        </w:tc>
      </w:tr>
      <w:tr w:rsidR="00530383" w:rsidRPr="00530383" w:rsidTr="00570AAF">
        <w:trPr>
          <w:trHeight w:val="551"/>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Доля задолженности предприятий по платежам в бюджет и внебюджетные фонды в общей сумме кредиторской задолженности (за период с начала года в % к соответствующему периоду прошлого года)</w:t>
            </w:r>
          </w:p>
        </w:tc>
      </w:tr>
      <w:tr w:rsidR="00530383" w:rsidRPr="00530383" w:rsidTr="00570AAF">
        <w:trPr>
          <w:trHeight w:val="860"/>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Темп роста задолженности по кредитам, предоставленным юридическим лицам и индивидуальным предпринимателям (объем на начало отчетного месяца в % к началу соответствующего месяца предыдущего года)</w:t>
            </w:r>
          </w:p>
        </w:tc>
      </w:tr>
      <w:tr w:rsidR="00530383" w:rsidRPr="00530383" w:rsidTr="00570AAF">
        <w:trPr>
          <w:trHeight w:val="547"/>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Темп роста оборота розничной торговли (за период с начала года в % к соответствующему периоду прошлого года, в сопоставимых ценах)</w:t>
            </w:r>
          </w:p>
        </w:tc>
      </w:tr>
      <w:tr w:rsidR="00530383" w:rsidRPr="00530383" w:rsidTr="00570AAF">
        <w:trPr>
          <w:trHeight w:val="555"/>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Темп роста объема платных услуг населению (за период с начала года в % к соответствующему периоду прошлого года, в сопоставимых ценах)</w:t>
            </w:r>
          </w:p>
        </w:tc>
      </w:tr>
      <w:tr w:rsidR="00530383" w:rsidRPr="00530383" w:rsidTr="00570AAF">
        <w:trPr>
          <w:trHeight w:val="562"/>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Объем инвестиций в основной капитал на душу населения (за период с начала года, тыс. руб. на человека, квартальный показатель)</w:t>
            </w:r>
          </w:p>
        </w:tc>
      </w:tr>
      <w:tr w:rsidR="00530383" w:rsidRPr="00530383" w:rsidTr="00570AAF">
        <w:trPr>
          <w:trHeight w:val="556"/>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Индекс физического объема инвестиций в основной капитал (за период с начала года в % к соответствующему периоду прошлого года)</w:t>
            </w:r>
          </w:p>
        </w:tc>
      </w:tr>
      <w:tr w:rsidR="00530383" w:rsidRPr="00530383" w:rsidTr="00570AAF">
        <w:trPr>
          <w:trHeight w:val="409"/>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Объем работ, выполненных по ВЭД «Строительство» на душу населения (за период с начала года, тыс.руб. на человека)</w:t>
            </w:r>
          </w:p>
        </w:tc>
      </w:tr>
      <w:tr w:rsidR="00530383" w:rsidRPr="00530383" w:rsidTr="00570AAF">
        <w:trPr>
          <w:trHeight w:val="700"/>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Индекс физического объема работ, выполненных по ВЭД «Строительство» (за период с начала года в % к соответствующему периоду прошлого года)</w:t>
            </w:r>
          </w:p>
        </w:tc>
      </w:tr>
      <w:tr w:rsidR="00530383" w:rsidRPr="00530383" w:rsidTr="00570AAF">
        <w:trPr>
          <w:trHeight w:val="287"/>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Доля прибыльных предприятий (за период с начала года, %, лаг - 1 месяц)</w:t>
            </w:r>
          </w:p>
        </w:tc>
      </w:tr>
      <w:tr w:rsidR="00530383" w:rsidRPr="00530383" w:rsidTr="00570AAF">
        <w:trPr>
          <w:trHeight w:val="276"/>
        </w:trPr>
        <w:tc>
          <w:tcPr>
            <w:tcW w:w="115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30383" w:rsidRPr="00570AAF" w:rsidRDefault="00530383" w:rsidP="00D527CE">
            <w:pPr>
              <w:spacing w:after="0" w:line="240" w:lineRule="auto"/>
              <w:jc w:val="center"/>
              <w:rPr>
                <w:rFonts w:ascii="Times New Roman" w:eastAsia="Times New Roman" w:hAnsi="Times New Roman" w:cs="Times New Roman"/>
                <w:b/>
                <w:color w:val="000000"/>
                <w:sz w:val="24"/>
                <w:szCs w:val="28"/>
              </w:rPr>
            </w:pPr>
            <w:r w:rsidRPr="00570AAF">
              <w:rPr>
                <w:rFonts w:ascii="Times New Roman" w:eastAsia="Times New Roman" w:hAnsi="Times New Roman" w:cs="Times New Roman"/>
                <w:b/>
                <w:color w:val="000000"/>
                <w:sz w:val="24"/>
                <w:szCs w:val="28"/>
              </w:rPr>
              <w:t>Социальная</w:t>
            </w: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Индекс потребительских цен (в % к декабрю прошлого года)</w:t>
            </w:r>
          </w:p>
        </w:tc>
      </w:tr>
      <w:tr w:rsidR="00530383" w:rsidRPr="00530383" w:rsidTr="00570AAF">
        <w:trPr>
          <w:trHeight w:val="692"/>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b/>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Динамика начисленной заработной платы работников предприятий и организаций (за период с начала года в % к соответствующему периоду прошлого года, лаг - 1 месяц)</w:t>
            </w:r>
          </w:p>
        </w:tc>
      </w:tr>
      <w:tr w:rsidR="00530383" w:rsidRPr="00530383" w:rsidTr="00BF1898">
        <w:trPr>
          <w:trHeight w:val="529"/>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b/>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Отношение среднемесячной зарплаты к стоимости фиксированного набора товаров и услуг (в разах, лаг - 1 месяц)</w:t>
            </w:r>
          </w:p>
        </w:tc>
      </w:tr>
      <w:tr w:rsidR="00530383" w:rsidRPr="00530383" w:rsidTr="00570AAF">
        <w:trPr>
          <w:trHeight w:val="442"/>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b/>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Доля трудоспособного населения в общей численности населения (на отчетный период, в %)</w:t>
            </w:r>
          </w:p>
        </w:tc>
      </w:tr>
      <w:tr w:rsidR="00530383" w:rsidRPr="00530383" w:rsidTr="00570AAF">
        <w:trPr>
          <w:trHeight w:val="294"/>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b/>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Число безработных на 1 вакантное место (на отчетный период, человек)</w:t>
            </w:r>
          </w:p>
        </w:tc>
      </w:tr>
      <w:tr w:rsidR="00530383" w:rsidRPr="00530383" w:rsidTr="00570AAF">
        <w:trPr>
          <w:trHeight w:val="710"/>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b/>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Покупательная способность заработной платы по отношению к прожиточному минимуму (объем на начало отчетного месяца в % к началу соответствующего месяца предыдущего года)</w:t>
            </w:r>
          </w:p>
        </w:tc>
      </w:tr>
      <w:tr w:rsidR="00530383" w:rsidRPr="00530383" w:rsidTr="00570AAF">
        <w:trPr>
          <w:trHeight w:val="297"/>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b/>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Уровень зарегистрированной безработицы (на отчетный период, в %)</w:t>
            </w:r>
          </w:p>
        </w:tc>
      </w:tr>
      <w:tr w:rsidR="00530383" w:rsidRPr="00530383" w:rsidTr="00570AAF">
        <w:trPr>
          <w:trHeight w:val="401"/>
        </w:trPr>
        <w:tc>
          <w:tcPr>
            <w:tcW w:w="115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30383" w:rsidRPr="00570AAF" w:rsidRDefault="00530383" w:rsidP="00D527CE">
            <w:pPr>
              <w:spacing w:after="0" w:line="240" w:lineRule="auto"/>
              <w:jc w:val="center"/>
              <w:rPr>
                <w:rFonts w:ascii="Times New Roman" w:eastAsia="Times New Roman" w:hAnsi="Times New Roman" w:cs="Times New Roman"/>
                <w:b/>
                <w:color w:val="000000"/>
                <w:sz w:val="24"/>
                <w:szCs w:val="28"/>
              </w:rPr>
            </w:pPr>
            <w:r w:rsidRPr="00570AAF">
              <w:rPr>
                <w:rFonts w:ascii="Times New Roman" w:eastAsia="Times New Roman" w:hAnsi="Times New Roman" w:cs="Times New Roman"/>
                <w:b/>
                <w:color w:val="000000"/>
                <w:sz w:val="24"/>
                <w:szCs w:val="28"/>
              </w:rPr>
              <w:t>Муниципальное управление</w:t>
            </w: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Доходы консолидированного бюджета субъекта Российской Федерации на душу населения (за период с начала года, тыс.руб. на человека)</w:t>
            </w:r>
          </w:p>
        </w:tc>
      </w:tr>
      <w:tr w:rsidR="00530383" w:rsidRPr="00530383" w:rsidTr="00570AAF">
        <w:trPr>
          <w:trHeight w:val="1117"/>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Отношение поступлений по налогу на доходы физических лиц, единому налогу на вмененный доход, единому сельскохозяйственному налогу, земельному и транспортному налогам к расходам консолидированного бюджета субъекта РФ (за период с начала года, %)</w:t>
            </w:r>
          </w:p>
        </w:tc>
      </w:tr>
      <w:tr w:rsidR="00530383" w:rsidRPr="00530383" w:rsidTr="00D53C12">
        <w:trPr>
          <w:trHeight w:val="836"/>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Темп роста налоговых и неналоговых доходов консолидированного бюджета субъекта РФ (за период с начала года в % к соответствующему периоду прошлого года)</w:t>
            </w:r>
          </w:p>
        </w:tc>
      </w:tr>
      <w:tr w:rsidR="00530383" w:rsidRPr="00530383" w:rsidTr="00570AAF">
        <w:trPr>
          <w:trHeight w:val="701"/>
        </w:trPr>
        <w:tc>
          <w:tcPr>
            <w:tcW w:w="1156" w:type="pct"/>
            <w:vMerge/>
            <w:tcBorders>
              <w:top w:val="nil"/>
              <w:left w:val="single" w:sz="4" w:space="0" w:color="auto"/>
              <w:bottom w:val="single" w:sz="4" w:space="0" w:color="000000"/>
              <w:right w:val="single" w:sz="4" w:space="0" w:color="auto"/>
            </w:tcBorders>
            <w:vAlign w:val="center"/>
            <w:hideMark/>
          </w:tcPr>
          <w:p w:rsidR="00530383" w:rsidRPr="00570AAF" w:rsidRDefault="00530383" w:rsidP="00D527CE">
            <w:pPr>
              <w:spacing w:after="0" w:line="240" w:lineRule="auto"/>
              <w:rPr>
                <w:rFonts w:ascii="Times New Roman" w:eastAsia="Times New Roman" w:hAnsi="Times New Roman" w:cs="Times New Roman"/>
                <w:color w:val="000000"/>
                <w:sz w:val="24"/>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70AAF" w:rsidRDefault="00530383" w:rsidP="00D527CE">
            <w:pPr>
              <w:spacing w:after="0" w:line="240" w:lineRule="auto"/>
              <w:jc w:val="both"/>
              <w:rPr>
                <w:rFonts w:ascii="Times New Roman" w:eastAsia="Times New Roman" w:hAnsi="Times New Roman" w:cs="Times New Roman"/>
                <w:color w:val="000000"/>
                <w:sz w:val="24"/>
                <w:szCs w:val="28"/>
              </w:rPr>
            </w:pPr>
            <w:r w:rsidRPr="00570AAF">
              <w:rPr>
                <w:rFonts w:ascii="Times New Roman" w:eastAsia="Times New Roman" w:hAnsi="Times New Roman" w:cs="Times New Roman"/>
                <w:color w:val="000000"/>
                <w:sz w:val="24"/>
                <w:szCs w:val="28"/>
              </w:rPr>
              <w:t>Доля расходов на социальное развитие (образование, здравоохранение, культуру, спорт, социальную сферу в общем объеме расходов консолидированного бюджета субъекта РФ (за период с начала года, в %)</w:t>
            </w:r>
          </w:p>
        </w:tc>
      </w:tr>
    </w:tbl>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lastRenderedPageBreak/>
        <w:t>1. Индекс промышленного производства</w:t>
      </w:r>
      <w:r w:rsidRPr="00153E07">
        <w:rPr>
          <w:rFonts w:ascii="Times New Roman" w:eastAsia="Times New Roman" w:hAnsi="Times New Roman" w:cs="Times New Roman"/>
          <w:sz w:val="28"/>
          <w:szCs w:val="28"/>
        </w:rPr>
        <w:t xml:space="preserve"> (за период с начала года в % к соответствующему периоду прошлого года) – важнейший индикатор экономической активности в реальном секторе экономики;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t xml:space="preserve">2. </w:t>
      </w:r>
      <w:r w:rsidRPr="00153E07">
        <w:rPr>
          <w:rFonts w:ascii="Times New Roman" w:eastAsia="Times New Roman" w:hAnsi="Times New Roman" w:cs="Times New Roman"/>
          <w:b/>
          <w:color w:val="000000"/>
          <w:sz w:val="28"/>
          <w:szCs w:val="28"/>
        </w:rPr>
        <w:t>Темп роста числа субъектов малого предпринимательства</w:t>
      </w:r>
      <w:r w:rsidRPr="00153E07">
        <w:rPr>
          <w:rFonts w:ascii="Times New Roman" w:eastAsia="Times New Roman" w:hAnsi="Times New Roman" w:cs="Times New Roman"/>
          <w:sz w:val="28"/>
          <w:szCs w:val="28"/>
        </w:rPr>
        <w:t>(за период с начала года в % к соответствующему периоду прошлого года) – показывает наращивание объемов предпринимательской деятельности;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t>3. Индекс производства продукции сельского хозяйства</w:t>
      </w:r>
      <w:r w:rsidRPr="00153E07">
        <w:rPr>
          <w:rFonts w:ascii="Times New Roman" w:eastAsia="Times New Roman" w:hAnsi="Times New Roman" w:cs="Times New Roman"/>
          <w:sz w:val="28"/>
          <w:szCs w:val="28"/>
        </w:rPr>
        <w:t xml:space="preserve"> (за период с начала года в % к соответствующему периоду прошлого года, квартальный показатель);</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t>4. Объем отгруженных товаров на душу населения</w:t>
      </w:r>
      <w:r w:rsidRPr="00153E07">
        <w:rPr>
          <w:rFonts w:ascii="Times New Roman" w:eastAsia="Times New Roman" w:hAnsi="Times New Roman" w:cs="Times New Roman"/>
          <w:sz w:val="28"/>
          <w:szCs w:val="28"/>
        </w:rPr>
        <w:t xml:space="preserve"> (за период с начала года, тыс. рублей на человека) – дает оценку уровня экономической деятельности организаций;</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t xml:space="preserve">5. </w:t>
      </w:r>
      <w:r w:rsidRPr="00153E07">
        <w:rPr>
          <w:rFonts w:ascii="Times New Roman" w:eastAsia="Times New Roman" w:hAnsi="Times New Roman" w:cs="Times New Roman"/>
          <w:b/>
          <w:color w:val="000000"/>
          <w:sz w:val="28"/>
          <w:szCs w:val="28"/>
        </w:rPr>
        <w:t>Доля задолженности предприятий по платежам в бюджет и внебюджетные фонды в общей сумме кредиторской задолженности</w:t>
      </w:r>
      <w:r w:rsidRPr="00153E07">
        <w:rPr>
          <w:rFonts w:ascii="Times New Roman" w:eastAsia="Times New Roman" w:hAnsi="Times New Roman" w:cs="Times New Roman"/>
          <w:sz w:val="28"/>
          <w:szCs w:val="28"/>
        </w:rPr>
        <w:t xml:space="preserve"> (на начало отчетного месяца, в %) – характеризует ситуацию в финансовом секторе и, косвенно, в реальном секторе региона;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t>6. Темп роста задолженности по кредитам, предоставленным юридическим лицам и индивидуальным предпринимателям</w:t>
      </w:r>
      <w:r w:rsidRPr="00153E07">
        <w:rPr>
          <w:rFonts w:ascii="Times New Roman" w:eastAsia="Times New Roman" w:hAnsi="Times New Roman" w:cs="Times New Roman"/>
          <w:sz w:val="28"/>
          <w:szCs w:val="28"/>
        </w:rPr>
        <w:t xml:space="preserve"> (объем на начало отчетного месяца в % к началу соответствующего месяца предыдущего года) – характеризует ситуацию в финансовом секторе и, косвенно, в реальном секторе региона;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t>7. Темп роста оборота розничной торговли</w:t>
      </w:r>
      <w:r w:rsidRPr="00153E07">
        <w:rPr>
          <w:rFonts w:ascii="Times New Roman" w:eastAsia="Times New Roman" w:hAnsi="Times New Roman" w:cs="Times New Roman"/>
          <w:sz w:val="28"/>
          <w:szCs w:val="28"/>
        </w:rPr>
        <w:t xml:space="preserve"> (за период с начала года в % к соответствующему периоду прошлого года, в сопоставимых ценах) – характеризует динамику потребительского спроса;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t>8. Темп роста объема платных услуг населению</w:t>
      </w:r>
      <w:r w:rsidRPr="00153E07">
        <w:rPr>
          <w:rFonts w:ascii="Times New Roman" w:eastAsia="Times New Roman" w:hAnsi="Times New Roman" w:cs="Times New Roman"/>
          <w:sz w:val="28"/>
          <w:szCs w:val="28"/>
        </w:rPr>
        <w:t xml:space="preserve"> (за период с начала года в % к соответствующему периоду прошлого года, в сопоставимых ценах) – характеризует динамику потребительского спроса; </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9</w:t>
      </w:r>
      <w:r w:rsidR="00153E07" w:rsidRPr="00355F6A">
        <w:rPr>
          <w:rFonts w:ascii="Times New Roman" w:eastAsia="Times New Roman" w:hAnsi="Times New Roman" w:cs="Times New Roman"/>
          <w:b/>
          <w:sz w:val="28"/>
          <w:szCs w:val="28"/>
        </w:rPr>
        <w:t>. Объем</w:t>
      </w:r>
      <w:r w:rsidR="00153E07" w:rsidRPr="00153E07">
        <w:rPr>
          <w:rFonts w:ascii="Times New Roman" w:eastAsia="Times New Roman" w:hAnsi="Times New Roman" w:cs="Times New Roman"/>
          <w:b/>
          <w:sz w:val="28"/>
          <w:szCs w:val="28"/>
        </w:rPr>
        <w:t xml:space="preserve"> инвестиций в основной капитал на душу населения</w:t>
      </w:r>
      <w:r w:rsidR="00153E07" w:rsidRPr="00153E07">
        <w:rPr>
          <w:rFonts w:ascii="Times New Roman" w:eastAsia="Times New Roman" w:hAnsi="Times New Roman" w:cs="Times New Roman"/>
          <w:sz w:val="28"/>
          <w:szCs w:val="28"/>
        </w:rPr>
        <w:t xml:space="preserve"> (за период с начала года, тыс. рублей на человека, квартальный показатель) – важнейший индикатор инвестиционной активности в регионе;</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10</w:t>
      </w:r>
      <w:r w:rsidR="00153E07" w:rsidRPr="00355F6A">
        <w:rPr>
          <w:rFonts w:ascii="Times New Roman" w:eastAsia="Times New Roman" w:hAnsi="Times New Roman" w:cs="Times New Roman"/>
          <w:b/>
          <w:sz w:val="28"/>
          <w:szCs w:val="28"/>
        </w:rPr>
        <w:t>. Индекс</w:t>
      </w:r>
      <w:r w:rsidR="00153E07" w:rsidRPr="00153E07">
        <w:rPr>
          <w:rFonts w:ascii="Times New Roman" w:eastAsia="Times New Roman" w:hAnsi="Times New Roman" w:cs="Times New Roman"/>
          <w:b/>
          <w:sz w:val="28"/>
          <w:szCs w:val="28"/>
        </w:rPr>
        <w:t xml:space="preserve"> физического объема инвестиций в основной капитал</w:t>
      </w:r>
      <w:r w:rsidR="00153E07" w:rsidRPr="00153E07">
        <w:rPr>
          <w:rFonts w:ascii="Times New Roman" w:eastAsia="Times New Roman" w:hAnsi="Times New Roman" w:cs="Times New Roman"/>
          <w:sz w:val="28"/>
          <w:szCs w:val="28"/>
        </w:rPr>
        <w:t xml:space="preserve"> (за период с начала года в % к соответствующему периоду прошлого года) – важнейший индикатор инвестиционной активности в регионе;</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11</w:t>
      </w:r>
      <w:r w:rsidR="00153E07" w:rsidRPr="00355F6A">
        <w:rPr>
          <w:rFonts w:ascii="Times New Roman" w:eastAsia="Times New Roman" w:hAnsi="Times New Roman" w:cs="Times New Roman"/>
          <w:b/>
          <w:sz w:val="28"/>
          <w:szCs w:val="28"/>
        </w:rPr>
        <w:t>. Объем</w:t>
      </w:r>
      <w:r w:rsidR="00153E07" w:rsidRPr="00153E07">
        <w:rPr>
          <w:rFonts w:ascii="Times New Roman" w:eastAsia="Times New Roman" w:hAnsi="Times New Roman" w:cs="Times New Roman"/>
          <w:b/>
          <w:sz w:val="28"/>
          <w:szCs w:val="28"/>
        </w:rPr>
        <w:t xml:space="preserve"> работ, выполненных по ВЭД </w:t>
      </w:r>
      <w:r w:rsidR="00DE2D0E">
        <w:rPr>
          <w:rFonts w:ascii="Times New Roman" w:eastAsia="Times New Roman" w:hAnsi="Times New Roman" w:cs="Times New Roman"/>
          <w:b/>
          <w:sz w:val="28"/>
          <w:szCs w:val="28"/>
        </w:rPr>
        <w:t>«</w:t>
      </w:r>
      <w:r w:rsidR="00153E07" w:rsidRPr="00153E07">
        <w:rPr>
          <w:rFonts w:ascii="Times New Roman" w:eastAsia="Times New Roman" w:hAnsi="Times New Roman" w:cs="Times New Roman"/>
          <w:b/>
          <w:sz w:val="28"/>
          <w:szCs w:val="28"/>
        </w:rPr>
        <w:t>Строительство</w:t>
      </w:r>
      <w:r w:rsidR="00DE2D0E">
        <w:rPr>
          <w:rFonts w:ascii="Times New Roman" w:eastAsia="Times New Roman" w:hAnsi="Times New Roman" w:cs="Times New Roman"/>
          <w:b/>
          <w:sz w:val="28"/>
          <w:szCs w:val="28"/>
        </w:rPr>
        <w:t>»</w:t>
      </w:r>
      <w:r w:rsidR="00153E07" w:rsidRPr="00153E07">
        <w:rPr>
          <w:rFonts w:ascii="Times New Roman" w:eastAsia="Times New Roman" w:hAnsi="Times New Roman" w:cs="Times New Roman"/>
          <w:b/>
          <w:sz w:val="28"/>
          <w:szCs w:val="28"/>
        </w:rPr>
        <w:t xml:space="preserve"> на душу населения</w:t>
      </w:r>
      <w:r w:rsidR="00153E07" w:rsidRPr="00153E07">
        <w:rPr>
          <w:rFonts w:ascii="Times New Roman" w:eastAsia="Times New Roman" w:hAnsi="Times New Roman" w:cs="Times New Roman"/>
          <w:sz w:val="28"/>
          <w:szCs w:val="28"/>
        </w:rPr>
        <w:t xml:space="preserve"> (за период с начала года, тыс. рублей на человека) – показывает ситуацию в строительном секторе; </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12</w:t>
      </w:r>
      <w:r w:rsidR="00153E07" w:rsidRPr="00355F6A">
        <w:rPr>
          <w:rFonts w:ascii="Times New Roman" w:eastAsia="Times New Roman" w:hAnsi="Times New Roman" w:cs="Times New Roman"/>
          <w:b/>
          <w:sz w:val="28"/>
          <w:szCs w:val="28"/>
        </w:rPr>
        <w:t>. Индекс</w:t>
      </w:r>
      <w:r w:rsidR="00153E07" w:rsidRPr="00153E07">
        <w:rPr>
          <w:rFonts w:ascii="Times New Roman" w:eastAsia="Times New Roman" w:hAnsi="Times New Roman" w:cs="Times New Roman"/>
          <w:b/>
          <w:sz w:val="28"/>
          <w:szCs w:val="28"/>
        </w:rPr>
        <w:t xml:space="preserve"> физического объема работ, выполненных по ВЭД </w:t>
      </w:r>
      <w:r w:rsidR="00DE2D0E">
        <w:rPr>
          <w:rFonts w:ascii="Times New Roman" w:eastAsia="Times New Roman" w:hAnsi="Times New Roman" w:cs="Times New Roman"/>
          <w:b/>
          <w:sz w:val="28"/>
          <w:szCs w:val="28"/>
        </w:rPr>
        <w:t>«</w:t>
      </w:r>
      <w:r w:rsidR="00153E07" w:rsidRPr="00153E07">
        <w:rPr>
          <w:rFonts w:ascii="Times New Roman" w:eastAsia="Times New Roman" w:hAnsi="Times New Roman" w:cs="Times New Roman"/>
          <w:b/>
          <w:sz w:val="28"/>
          <w:szCs w:val="28"/>
        </w:rPr>
        <w:t>Строительство</w:t>
      </w:r>
      <w:r w:rsidR="00DE2D0E">
        <w:rPr>
          <w:rFonts w:ascii="Times New Roman" w:eastAsia="Times New Roman" w:hAnsi="Times New Roman" w:cs="Times New Roman"/>
          <w:b/>
          <w:sz w:val="28"/>
          <w:szCs w:val="28"/>
        </w:rPr>
        <w:t>»</w:t>
      </w:r>
      <w:r w:rsidR="00153E07" w:rsidRPr="00153E07">
        <w:rPr>
          <w:rFonts w:ascii="Times New Roman" w:eastAsia="Times New Roman" w:hAnsi="Times New Roman" w:cs="Times New Roman"/>
          <w:sz w:val="28"/>
          <w:szCs w:val="28"/>
        </w:rPr>
        <w:t xml:space="preserve"> (за период с начала года в % к соответствующему периоду прошлого года) – показывает ситуацию в строительном секторе;</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13</w:t>
      </w:r>
      <w:r w:rsidR="00153E07" w:rsidRPr="00355F6A">
        <w:rPr>
          <w:rFonts w:ascii="Times New Roman" w:eastAsia="Times New Roman" w:hAnsi="Times New Roman" w:cs="Times New Roman"/>
          <w:b/>
          <w:sz w:val="28"/>
          <w:szCs w:val="28"/>
        </w:rPr>
        <w:t>.</w:t>
      </w:r>
      <w:r w:rsidR="00153E07" w:rsidRPr="00153E07">
        <w:rPr>
          <w:rFonts w:ascii="Times New Roman" w:eastAsia="Times New Roman" w:hAnsi="Times New Roman" w:cs="Times New Roman"/>
          <w:sz w:val="28"/>
          <w:szCs w:val="28"/>
        </w:rPr>
        <w:t xml:space="preserve"> </w:t>
      </w:r>
      <w:r w:rsidR="00153E07" w:rsidRPr="00153E07">
        <w:rPr>
          <w:rFonts w:ascii="Times New Roman" w:eastAsia="Times New Roman" w:hAnsi="Times New Roman" w:cs="Times New Roman"/>
          <w:b/>
          <w:sz w:val="28"/>
          <w:szCs w:val="28"/>
        </w:rPr>
        <w:t>Ввод жилья на душу населения</w:t>
      </w:r>
      <w:r w:rsidR="00153E07" w:rsidRPr="00153E07">
        <w:rPr>
          <w:rFonts w:ascii="Times New Roman" w:eastAsia="Times New Roman" w:hAnsi="Times New Roman" w:cs="Times New Roman"/>
          <w:sz w:val="28"/>
          <w:szCs w:val="28"/>
        </w:rPr>
        <w:t xml:space="preserve"> (за период с начала года, кв.м. на 1000 населения) – показывает объем нового предложения на рынке жилья, характеризует привлекательность региона;</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14</w:t>
      </w:r>
      <w:r w:rsidR="00153E07" w:rsidRPr="00355F6A">
        <w:rPr>
          <w:rFonts w:ascii="Times New Roman" w:eastAsia="Times New Roman" w:hAnsi="Times New Roman" w:cs="Times New Roman"/>
          <w:b/>
          <w:sz w:val="28"/>
          <w:szCs w:val="28"/>
        </w:rPr>
        <w:t>. Доля</w:t>
      </w:r>
      <w:r w:rsidR="00153E07" w:rsidRPr="00153E07">
        <w:rPr>
          <w:rFonts w:ascii="Times New Roman" w:eastAsia="Times New Roman" w:hAnsi="Times New Roman" w:cs="Times New Roman"/>
          <w:b/>
          <w:sz w:val="28"/>
          <w:szCs w:val="28"/>
        </w:rPr>
        <w:t xml:space="preserve"> прибыльных предприятий</w:t>
      </w:r>
      <w:r w:rsidR="00153E07" w:rsidRPr="00153E07">
        <w:rPr>
          <w:rFonts w:ascii="Times New Roman" w:eastAsia="Times New Roman" w:hAnsi="Times New Roman" w:cs="Times New Roman"/>
          <w:sz w:val="28"/>
          <w:szCs w:val="28"/>
        </w:rPr>
        <w:t xml:space="preserve"> (за период с начала года, %, лаг – 1 месяц) – отражает финансовое состояние предприятий региона;</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lastRenderedPageBreak/>
        <w:t>15</w:t>
      </w:r>
      <w:r w:rsidR="00153E07" w:rsidRPr="00355F6A">
        <w:rPr>
          <w:rFonts w:ascii="Times New Roman" w:eastAsia="Times New Roman" w:hAnsi="Times New Roman" w:cs="Times New Roman"/>
          <w:b/>
          <w:sz w:val="28"/>
          <w:szCs w:val="28"/>
        </w:rPr>
        <w:t>. Индекс</w:t>
      </w:r>
      <w:r w:rsidR="00153E07" w:rsidRPr="00153E07">
        <w:rPr>
          <w:rFonts w:ascii="Times New Roman" w:eastAsia="Times New Roman" w:hAnsi="Times New Roman" w:cs="Times New Roman"/>
          <w:b/>
          <w:sz w:val="28"/>
          <w:szCs w:val="28"/>
        </w:rPr>
        <w:t xml:space="preserve"> потребительских цен</w:t>
      </w:r>
      <w:r w:rsidR="00153E07" w:rsidRPr="00153E07">
        <w:rPr>
          <w:rFonts w:ascii="Times New Roman" w:eastAsia="Times New Roman" w:hAnsi="Times New Roman" w:cs="Times New Roman"/>
          <w:sz w:val="28"/>
          <w:szCs w:val="28"/>
        </w:rPr>
        <w:t xml:space="preserve"> (в % к декабрю прошлого года) – отражает общую ценовую ситуацию, складывающуюся на региональном рынке;</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16</w:t>
      </w:r>
      <w:r w:rsidR="00153E07" w:rsidRPr="00355F6A">
        <w:rPr>
          <w:rFonts w:ascii="Times New Roman" w:eastAsia="Times New Roman" w:hAnsi="Times New Roman" w:cs="Times New Roman"/>
          <w:b/>
          <w:sz w:val="28"/>
          <w:szCs w:val="28"/>
        </w:rPr>
        <w:t>.</w:t>
      </w:r>
      <w:r w:rsidR="00153E07" w:rsidRPr="00153E07">
        <w:rPr>
          <w:rFonts w:ascii="Times New Roman" w:eastAsia="Times New Roman" w:hAnsi="Times New Roman" w:cs="Times New Roman"/>
          <w:sz w:val="28"/>
          <w:szCs w:val="28"/>
        </w:rPr>
        <w:t xml:space="preserve"> </w:t>
      </w:r>
      <w:r w:rsidR="00153E07" w:rsidRPr="00153E07">
        <w:rPr>
          <w:rFonts w:ascii="Times New Roman" w:eastAsia="Times New Roman" w:hAnsi="Times New Roman" w:cs="Times New Roman"/>
          <w:b/>
          <w:sz w:val="28"/>
          <w:szCs w:val="28"/>
        </w:rPr>
        <w:t>Динамика реальных денежных доходов населения</w:t>
      </w:r>
      <w:r w:rsidR="00153E07" w:rsidRPr="00153E07">
        <w:rPr>
          <w:rFonts w:ascii="Times New Roman" w:eastAsia="Times New Roman" w:hAnsi="Times New Roman" w:cs="Times New Roman"/>
          <w:sz w:val="28"/>
          <w:szCs w:val="28"/>
        </w:rPr>
        <w:t xml:space="preserve"> (за период с начала года в % к соответствующему периоду прошлого года, лаг – 1 месяц) – дает оценку изменения доходов населения;</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17</w:t>
      </w:r>
      <w:r w:rsidR="00153E07" w:rsidRPr="00355F6A">
        <w:rPr>
          <w:rFonts w:ascii="Times New Roman" w:eastAsia="Times New Roman" w:hAnsi="Times New Roman" w:cs="Times New Roman"/>
          <w:b/>
          <w:sz w:val="28"/>
          <w:szCs w:val="28"/>
        </w:rPr>
        <w:t>. Отношение</w:t>
      </w:r>
      <w:r w:rsidR="00153E07" w:rsidRPr="00153E07">
        <w:rPr>
          <w:rFonts w:ascii="Times New Roman" w:eastAsia="Times New Roman" w:hAnsi="Times New Roman" w:cs="Times New Roman"/>
          <w:b/>
          <w:sz w:val="28"/>
          <w:szCs w:val="28"/>
        </w:rPr>
        <w:t xml:space="preserve"> среднемесячной зарплаты к стоимости фиксированного набора товаров и услуг</w:t>
      </w:r>
      <w:r w:rsidR="00153E07" w:rsidRPr="00153E07">
        <w:rPr>
          <w:rFonts w:ascii="Times New Roman" w:eastAsia="Times New Roman" w:hAnsi="Times New Roman" w:cs="Times New Roman"/>
          <w:sz w:val="28"/>
          <w:szCs w:val="28"/>
        </w:rPr>
        <w:t xml:space="preserve"> (в разах, лаг – 1 месяц) – показывает среднюю материальную обеспеченность населения;</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18</w:t>
      </w:r>
      <w:r w:rsidR="00153E07" w:rsidRPr="00355F6A">
        <w:rPr>
          <w:rFonts w:ascii="Times New Roman" w:eastAsia="Times New Roman" w:hAnsi="Times New Roman" w:cs="Times New Roman"/>
          <w:b/>
          <w:sz w:val="28"/>
          <w:szCs w:val="28"/>
        </w:rPr>
        <w:t xml:space="preserve">. </w:t>
      </w:r>
      <w:r w:rsidR="00153E07" w:rsidRPr="00355F6A">
        <w:rPr>
          <w:rFonts w:ascii="Times New Roman" w:eastAsia="Times New Roman" w:hAnsi="Times New Roman" w:cs="Times New Roman"/>
          <w:b/>
          <w:color w:val="000000"/>
          <w:sz w:val="28"/>
          <w:szCs w:val="28"/>
        </w:rPr>
        <w:t>Доля</w:t>
      </w:r>
      <w:r w:rsidR="00153E07" w:rsidRPr="00153E07">
        <w:rPr>
          <w:rFonts w:ascii="Times New Roman" w:eastAsia="Times New Roman" w:hAnsi="Times New Roman" w:cs="Times New Roman"/>
          <w:b/>
          <w:color w:val="000000"/>
          <w:sz w:val="28"/>
          <w:szCs w:val="28"/>
        </w:rPr>
        <w:t xml:space="preserve"> трудоспособного населения в общей численности населения</w:t>
      </w:r>
      <w:r w:rsidR="00153E07" w:rsidRPr="00153E07">
        <w:rPr>
          <w:rFonts w:ascii="Times New Roman" w:eastAsia="Times New Roman" w:hAnsi="Times New Roman" w:cs="Times New Roman"/>
          <w:sz w:val="28"/>
          <w:szCs w:val="28"/>
        </w:rPr>
        <w:t>(на конец отчетного месяца, в %) – показывает демографическую ситуацию в регионе;</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19</w:t>
      </w:r>
      <w:r w:rsidR="00153E07" w:rsidRPr="00355F6A">
        <w:rPr>
          <w:rFonts w:ascii="Times New Roman" w:eastAsia="Times New Roman" w:hAnsi="Times New Roman" w:cs="Times New Roman"/>
          <w:b/>
          <w:sz w:val="28"/>
          <w:szCs w:val="28"/>
        </w:rPr>
        <w:t xml:space="preserve">. </w:t>
      </w:r>
      <w:r w:rsidR="00153E07" w:rsidRPr="00355F6A">
        <w:rPr>
          <w:rFonts w:ascii="Times New Roman" w:eastAsia="Times New Roman" w:hAnsi="Times New Roman" w:cs="Times New Roman"/>
          <w:b/>
          <w:color w:val="000000"/>
          <w:sz w:val="28"/>
          <w:szCs w:val="28"/>
        </w:rPr>
        <w:t>Число</w:t>
      </w:r>
      <w:r w:rsidR="00153E07" w:rsidRPr="00153E07">
        <w:rPr>
          <w:rFonts w:ascii="Times New Roman" w:eastAsia="Times New Roman" w:hAnsi="Times New Roman" w:cs="Times New Roman"/>
          <w:b/>
          <w:color w:val="000000"/>
          <w:sz w:val="28"/>
          <w:szCs w:val="28"/>
        </w:rPr>
        <w:t xml:space="preserve"> безработных на 1 вакантное место</w:t>
      </w:r>
      <w:r w:rsidR="00153E07" w:rsidRPr="00153E07">
        <w:rPr>
          <w:rFonts w:ascii="Times New Roman" w:eastAsia="Times New Roman" w:hAnsi="Times New Roman" w:cs="Times New Roman"/>
          <w:color w:val="000000"/>
          <w:sz w:val="28"/>
          <w:szCs w:val="28"/>
        </w:rPr>
        <w:t xml:space="preserve"> (на отчетный период, человек) – показывает ситуацию на рынке труда в муниципальном районе</w:t>
      </w:r>
      <w:r w:rsidR="00153E07" w:rsidRPr="00153E07">
        <w:rPr>
          <w:rFonts w:ascii="Times New Roman" w:eastAsia="Times New Roman" w:hAnsi="Times New Roman" w:cs="Times New Roman"/>
          <w:sz w:val="28"/>
          <w:szCs w:val="28"/>
        </w:rPr>
        <w:t>;</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20</w:t>
      </w:r>
      <w:r w:rsidR="00153E07" w:rsidRPr="00355F6A">
        <w:rPr>
          <w:rFonts w:ascii="Times New Roman" w:eastAsia="Times New Roman" w:hAnsi="Times New Roman" w:cs="Times New Roman"/>
          <w:b/>
          <w:sz w:val="28"/>
          <w:szCs w:val="28"/>
        </w:rPr>
        <w:t>.</w:t>
      </w:r>
      <w:r w:rsidR="00153E07" w:rsidRPr="00153E07">
        <w:rPr>
          <w:rFonts w:ascii="Times New Roman" w:eastAsia="Times New Roman" w:hAnsi="Times New Roman" w:cs="Times New Roman"/>
          <w:sz w:val="28"/>
          <w:szCs w:val="28"/>
        </w:rPr>
        <w:t xml:space="preserve"> </w:t>
      </w:r>
      <w:r w:rsidR="00153E07" w:rsidRPr="00153E07">
        <w:rPr>
          <w:rFonts w:ascii="Times New Roman" w:eastAsia="Times New Roman" w:hAnsi="Times New Roman" w:cs="Times New Roman"/>
          <w:b/>
          <w:color w:val="000000"/>
          <w:sz w:val="28"/>
          <w:szCs w:val="28"/>
        </w:rPr>
        <w:t>Покупательная способность заработной платы по отношению к прожиточному минимуму</w:t>
      </w:r>
      <w:r w:rsidR="00153E07" w:rsidRPr="00153E07">
        <w:rPr>
          <w:rFonts w:ascii="Times New Roman" w:eastAsia="Times New Roman" w:hAnsi="Times New Roman" w:cs="Times New Roman"/>
          <w:color w:val="000000"/>
          <w:sz w:val="28"/>
          <w:szCs w:val="28"/>
        </w:rPr>
        <w:t xml:space="preserve"> (объем на начало отчетного месяца в % к началу соответствующего месяца предыдущего года)</w:t>
      </w:r>
      <w:r w:rsidR="00153E07" w:rsidRPr="00153E07">
        <w:rPr>
          <w:rFonts w:ascii="Times New Roman" w:eastAsia="Times New Roman" w:hAnsi="Times New Roman" w:cs="Times New Roman"/>
          <w:sz w:val="28"/>
          <w:szCs w:val="28"/>
        </w:rPr>
        <w:t xml:space="preserve"> – дает оценку потребительского спроса.</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21</w:t>
      </w:r>
      <w:r w:rsidR="00153E07" w:rsidRPr="00355F6A">
        <w:rPr>
          <w:rFonts w:ascii="Times New Roman" w:eastAsia="Times New Roman" w:hAnsi="Times New Roman" w:cs="Times New Roman"/>
          <w:b/>
          <w:sz w:val="28"/>
          <w:szCs w:val="28"/>
        </w:rPr>
        <w:t>. Уровень</w:t>
      </w:r>
      <w:r w:rsidR="00153E07" w:rsidRPr="00153E07">
        <w:rPr>
          <w:rFonts w:ascii="Times New Roman" w:eastAsia="Times New Roman" w:hAnsi="Times New Roman" w:cs="Times New Roman"/>
          <w:b/>
          <w:sz w:val="28"/>
          <w:szCs w:val="28"/>
        </w:rPr>
        <w:t xml:space="preserve"> зарегистрированной безработицы</w:t>
      </w:r>
      <w:r w:rsidR="00153E07" w:rsidRPr="00153E07">
        <w:rPr>
          <w:rFonts w:ascii="Times New Roman" w:eastAsia="Times New Roman" w:hAnsi="Times New Roman" w:cs="Times New Roman"/>
          <w:sz w:val="28"/>
          <w:szCs w:val="28"/>
        </w:rPr>
        <w:t xml:space="preserve"> (на отчетный период, в %) – характеризует ситуацию, складывающуюся на муниципальном рынке труда.</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22</w:t>
      </w:r>
      <w:r w:rsidR="00153E07" w:rsidRPr="00355F6A">
        <w:rPr>
          <w:rFonts w:ascii="Times New Roman" w:eastAsia="Times New Roman" w:hAnsi="Times New Roman" w:cs="Times New Roman"/>
          <w:b/>
          <w:sz w:val="28"/>
          <w:szCs w:val="28"/>
        </w:rPr>
        <w:t>. Доходы</w:t>
      </w:r>
      <w:r w:rsidR="00153E07" w:rsidRPr="00153E07">
        <w:rPr>
          <w:rFonts w:ascii="Times New Roman" w:eastAsia="Times New Roman" w:hAnsi="Times New Roman" w:cs="Times New Roman"/>
          <w:b/>
          <w:sz w:val="28"/>
          <w:szCs w:val="28"/>
        </w:rPr>
        <w:t xml:space="preserve"> консолидированного бюджета субъекта Российской Федерации на душу населения</w:t>
      </w:r>
      <w:r w:rsidR="00153E07" w:rsidRPr="00153E07">
        <w:rPr>
          <w:rFonts w:ascii="Times New Roman" w:eastAsia="Times New Roman" w:hAnsi="Times New Roman" w:cs="Times New Roman"/>
          <w:sz w:val="28"/>
          <w:szCs w:val="28"/>
        </w:rPr>
        <w:t xml:space="preserve"> (за период с начала года, тыс. рублей на человека) – показатель характеризует устойчивость и стабильность экономики субъекта Российской Федерации, его самостоятельность;</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2</w:t>
      </w:r>
      <w:r w:rsidR="00355F6A" w:rsidRPr="00355F6A">
        <w:rPr>
          <w:rFonts w:ascii="Times New Roman" w:eastAsia="Times New Roman" w:hAnsi="Times New Roman" w:cs="Times New Roman"/>
          <w:b/>
          <w:sz w:val="28"/>
          <w:szCs w:val="28"/>
        </w:rPr>
        <w:t>3</w:t>
      </w:r>
      <w:r w:rsidRPr="00355F6A">
        <w:rPr>
          <w:rFonts w:ascii="Times New Roman" w:eastAsia="Times New Roman" w:hAnsi="Times New Roman" w:cs="Times New Roman"/>
          <w:b/>
          <w:sz w:val="28"/>
          <w:szCs w:val="28"/>
        </w:rPr>
        <w:t>.</w:t>
      </w:r>
      <w:r w:rsidRPr="00153E07">
        <w:rPr>
          <w:rFonts w:ascii="Times New Roman" w:eastAsia="Times New Roman" w:hAnsi="Times New Roman" w:cs="Times New Roman"/>
          <w:sz w:val="28"/>
          <w:szCs w:val="28"/>
        </w:rPr>
        <w:t xml:space="preserve"> </w:t>
      </w:r>
      <w:r w:rsidRPr="00153E07">
        <w:rPr>
          <w:rFonts w:ascii="Times New Roman" w:eastAsia="Times New Roman" w:hAnsi="Times New Roman" w:cs="Times New Roman"/>
          <w:b/>
          <w:color w:val="000000"/>
          <w:sz w:val="28"/>
          <w:szCs w:val="28"/>
        </w:rPr>
        <w:t>Отношение поступлений по налогу на доходы физических лиц, единому налогу на вмененный доход, единому сельскохозяйственному налогу, земельному и транспортному налогам к расходам консолидированного бюджета субъекта РФ (за период с начала года, %)</w:t>
      </w:r>
      <w:r w:rsidRPr="00153E07">
        <w:rPr>
          <w:rFonts w:ascii="Times New Roman" w:eastAsia="Times New Roman" w:hAnsi="Times New Roman" w:cs="Times New Roman"/>
          <w:sz w:val="28"/>
          <w:szCs w:val="28"/>
        </w:rPr>
        <w:t xml:space="preserve"> – показатель характеризует покрытие собственными доходами расходов субъекта Российской Федерации, определяя самостоятельность субъекта Российской Федерации;</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24</w:t>
      </w:r>
      <w:r w:rsidR="00153E07" w:rsidRPr="00355F6A">
        <w:rPr>
          <w:rFonts w:ascii="Times New Roman" w:eastAsia="Times New Roman" w:hAnsi="Times New Roman" w:cs="Times New Roman"/>
          <w:b/>
          <w:sz w:val="28"/>
          <w:szCs w:val="28"/>
        </w:rPr>
        <w:t>. Темп</w:t>
      </w:r>
      <w:r w:rsidR="00153E07" w:rsidRPr="00153E07">
        <w:rPr>
          <w:rFonts w:ascii="Times New Roman" w:eastAsia="Times New Roman" w:hAnsi="Times New Roman" w:cs="Times New Roman"/>
          <w:b/>
          <w:sz w:val="28"/>
          <w:szCs w:val="28"/>
        </w:rPr>
        <w:t xml:space="preserve"> роста налоговых и неналоговых доходов консолидированного бюджета субъекта Российской Федерации</w:t>
      </w:r>
      <w:r w:rsidR="00153E07" w:rsidRPr="00153E07">
        <w:rPr>
          <w:rFonts w:ascii="Times New Roman" w:eastAsia="Times New Roman" w:hAnsi="Times New Roman" w:cs="Times New Roman"/>
          <w:sz w:val="28"/>
          <w:szCs w:val="28"/>
        </w:rPr>
        <w:t xml:space="preserve"> (за период с начала года в % к соответствующему периоду прошлого года) – характеризует текущую ситуацию в экономике субъекта Российской Федерации его направленность на развитие;</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25</w:t>
      </w:r>
      <w:r w:rsidR="00153E07" w:rsidRPr="00355F6A">
        <w:rPr>
          <w:rFonts w:ascii="Times New Roman" w:eastAsia="Times New Roman" w:hAnsi="Times New Roman" w:cs="Times New Roman"/>
          <w:b/>
          <w:sz w:val="28"/>
          <w:szCs w:val="28"/>
        </w:rPr>
        <w:t>. Доля</w:t>
      </w:r>
      <w:r w:rsidR="00153E07" w:rsidRPr="00153E07">
        <w:rPr>
          <w:rFonts w:ascii="Times New Roman" w:eastAsia="Times New Roman" w:hAnsi="Times New Roman" w:cs="Times New Roman"/>
          <w:b/>
          <w:sz w:val="28"/>
          <w:szCs w:val="28"/>
        </w:rPr>
        <w:t xml:space="preserve"> капитальных расходов в общем объеме расходов консолидированного бюджета субъекта Российской Федерации</w:t>
      </w:r>
      <w:r w:rsidR="00153E07" w:rsidRPr="00153E07">
        <w:rPr>
          <w:rFonts w:ascii="Times New Roman" w:eastAsia="Times New Roman" w:hAnsi="Times New Roman" w:cs="Times New Roman"/>
          <w:sz w:val="28"/>
          <w:szCs w:val="28"/>
        </w:rPr>
        <w:t xml:space="preserve"> (за период с начала года, в %) – характеризует ориентированность консолидированных бюджетов субъектов Российской Федерации на долгосрочные капитальные вложения, определяет развитие регионов.</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Целевыми показателями для данной системы индикаторов выступят прогнозируемые показатели социально-экономического развития Бардымского муниципального района.</w:t>
      </w:r>
    </w:p>
    <w:p w:rsidR="00153E07" w:rsidRPr="00153E07" w:rsidRDefault="00153E07" w:rsidP="00D527CE">
      <w:pPr>
        <w:spacing w:line="240" w:lineRule="auto"/>
        <w:jc w:val="both"/>
        <w:rPr>
          <w:rFonts w:ascii="Times New Roman" w:hAnsi="Times New Roman" w:cs="Times New Roman"/>
          <w:sz w:val="28"/>
          <w:szCs w:val="28"/>
        </w:rPr>
      </w:pPr>
    </w:p>
    <w:p w:rsidR="00153E07" w:rsidRPr="00153E07" w:rsidRDefault="00153E07" w:rsidP="00D527CE">
      <w:pPr>
        <w:pStyle w:val="1"/>
        <w:numPr>
          <w:ilvl w:val="1"/>
          <w:numId w:val="7"/>
        </w:numPr>
        <w:spacing w:line="240" w:lineRule="auto"/>
      </w:pPr>
      <w:r w:rsidRPr="00153E07">
        <w:lastRenderedPageBreak/>
        <w:t>Прогноз основных показателей социально-экономического развития Бардымского муниципального района до 2030 года</w:t>
      </w:r>
    </w:p>
    <w:p w:rsid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Прогноз основных показателей социально-экономического развития Бардымского муниципального района составлен в соответствии с ключевых показателями и индикаторами Стратегии социально-экономического развития Бардымского муниципального района. Прогнозируемые показатели представлены в приложени</w:t>
      </w:r>
      <w:r w:rsidR="00227D40">
        <w:rPr>
          <w:rFonts w:ascii="Times New Roman" w:eastAsia="Times New Roman" w:hAnsi="Times New Roman" w:cs="Times New Roman"/>
          <w:sz w:val="28"/>
          <w:szCs w:val="28"/>
        </w:rPr>
        <w:t xml:space="preserve">и </w:t>
      </w:r>
      <w:r w:rsidR="005145F6">
        <w:rPr>
          <w:rFonts w:ascii="Times New Roman" w:eastAsia="Times New Roman" w:hAnsi="Times New Roman" w:cs="Times New Roman"/>
          <w:sz w:val="28"/>
          <w:szCs w:val="28"/>
        </w:rPr>
        <w:t xml:space="preserve">5 </w:t>
      </w:r>
      <w:r w:rsidR="0075760E">
        <w:rPr>
          <w:rFonts w:ascii="Times New Roman" w:eastAsia="Times New Roman" w:hAnsi="Times New Roman" w:cs="Times New Roman"/>
          <w:sz w:val="28"/>
          <w:szCs w:val="28"/>
        </w:rPr>
        <w:t xml:space="preserve">и </w:t>
      </w:r>
      <w:r w:rsidR="005145F6">
        <w:rPr>
          <w:rFonts w:ascii="Times New Roman" w:eastAsia="Times New Roman" w:hAnsi="Times New Roman" w:cs="Times New Roman"/>
          <w:sz w:val="28"/>
          <w:szCs w:val="28"/>
        </w:rPr>
        <w:t>на рисунках 3.2</w:t>
      </w:r>
      <w:r w:rsidRPr="00153E07">
        <w:rPr>
          <w:rFonts w:ascii="Times New Roman" w:eastAsia="Times New Roman" w:hAnsi="Times New Roman" w:cs="Times New Roman"/>
          <w:sz w:val="28"/>
          <w:szCs w:val="28"/>
        </w:rPr>
        <w:t>.</w:t>
      </w:r>
      <w:r w:rsidR="00227D40">
        <w:rPr>
          <w:rFonts w:ascii="Times New Roman" w:eastAsia="Times New Roman" w:hAnsi="Times New Roman" w:cs="Times New Roman"/>
          <w:sz w:val="28"/>
          <w:szCs w:val="28"/>
        </w:rPr>
        <w:t xml:space="preserve"> – 3.5.</w:t>
      </w:r>
    </w:p>
    <w:p w:rsidR="00433854" w:rsidRDefault="005145F6" w:rsidP="005145F6">
      <w:pPr>
        <w:tabs>
          <w:tab w:val="left" w:pos="2177"/>
        </w:tabs>
        <w:spacing w:after="0"/>
        <w:ind w:firstLine="709"/>
        <w:jc w:val="center"/>
        <w:rPr>
          <w:rFonts w:ascii="Times New Roman" w:eastAsia="Times New Roman" w:hAnsi="Times New Roman" w:cs="Times New Roman"/>
          <w:sz w:val="28"/>
          <w:szCs w:val="28"/>
        </w:rPr>
      </w:pPr>
      <w:r w:rsidRPr="005145F6">
        <w:rPr>
          <w:rFonts w:ascii="Times New Roman" w:eastAsia="Times New Roman" w:hAnsi="Times New Roman" w:cs="Times New Roman"/>
          <w:noProof/>
          <w:sz w:val="28"/>
          <w:szCs w:val="28"/>
        </w:rPr>
        <w:drawing>
          <wp:inline distT="0" distB="0" distL="0" distR="0">
            <wp:extent cx="4572000" cy="2743200"/>
            <wp:effectExtent l="19050" t="0" r="0" b="0"/>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5145F6" w:rsidRPr="00D53C12" w:rsidRDefault="005145F6" w:rsidP="00D527CE">
      <w:pPr>
        <w:tabs>
          <w:tab w:val="left" w:pos="2177"/>
        </w:tabs>
        <w:spacing w:after="0" w:line="240" w:lineRule="auto"/>
        <w:ind w:firstLine="709"/>
        <w:jc w:val="center"/>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Рисунок 3.2 - Численность постоянного населения, тыс.чел.</w:t>
      </w:r>
    </w:p>
    <w:p w:rsidR="00433854" w:rsidRDefault="00433854" w:rsidP="00153E07">
      <w:pPr>
        <w:tabs>
          <w:tab w:val="left" w:pos="2177"/>
        </w:tabs>
        <w:spacing w:after="0"/>
        <w:ind w:firstLine="709"/>
        <w:jc w:val="both"/>
        <w:rPr>
          <w:rFonts w:ascii="Times New Roman" w:eastAsia="Times New Roman" w:hAnsi="Times New Roman" w:cs="Times New Roman"/>
          <w:sz w:val="28"/>
          <w:szCs w:val="28"/>
        </w:rPr>
      </w:pPr>
    </w:p>
    <w:p w:rsidR="005145F6" w:rsidRDefault="005145F6" w:rsidP="00153E07">
      <w:pPr>
        <w:tabs>
          <w:tab w:val="left" w:pos="2177"/>
        </w:tabs>
        <w:spacing w:after="0"/>
        <w:ind w:firstLine="709"/>
        <w:jc w:val="both"/>
        <w:rPr>
          <w:rFonts w:ascii="Times New Roman" w:eastAsia="Times New Roman" w:hAnsi="Times New Roman" w:cs="Times New Roman"/>
          <w:sz w:val="28"/>
          <w:szCs w:val="28"/>
        </w:rPr>
      </w:pPr>
    </w:p>
    <w:p w:rsidR="005145F6" w:rsidRDefault="005145F6" w:rsidP="005145F6">
      <w:pPr>
        <w:tabs>
          <w:tab w:val="left" w:pos="2177"/>
        </w:tabs>
        <w:spacing w:after="0"/>
        <w:ind w:firstLine="709"/>
        <w:jc w:val="center"/>
        <w:rPr>
          <w:rFonts w:ascii="Times New Roman" w:eastAsia="Times New Roman" w:hAnsi="Times New Roman" w:cs="Times New Roman"/>
          <w:sz w:val="28"/>
          <w:szCs w:val="28"/>
        </w:rPr>
      </w:pPr>
      <w:r w:rsidRPr="005145F6">
        <w:rPr>
          <w:rFonts w:ascii="Times New Roman" w:eastAsia="Times New Roman" w:hAnsi="Times New Roman" w:cs="Times New Roman"/>
          <w:noProof/>
          <w:sz w:val="28"/>
          <w:szCs w:val="28"/>
        </w:rPr>
        <w:drawing>
          <wp:inline distT="0" distB="0" distL="0" distR="0">
            <wp:extent cx="4572000" cy="2743200"/>
            <wp:effectExtent l="0" t="0" r="0" b="0"/>
            <wp:docPr id="2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5145F6" w:rsidRPr="00D53C12" w:rsidRDefault="005145F6" w:rsidP="00D527CE">
      <w:pPr>
        <w:tabs>
          <w:tab w:val="left" w:pos="2177"/>
        </w:tabs>
        <w:spacing w:after="0" w:line="240" w:lineRule="auto"/>
        <w:ind w:firstLine="709"/>
        <w:jc w:val="center"/>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Рисунок 3.3 – Индекс промышленного производства</w:t>
      </w:r>
    </w:p>
    <w:p w:rsidR="005145F6" w:rsidRDefault="005145F6" w:rsidP="00D527CE">
      <w:pPr>
        <w:tabs>
          <w:tab w:val="left" w:pos="2177"/>
        </w:tabs>
        <w:spacing w:after="0" w:line="240" w:lineRule="auto"/>
        <w:ind w:firstLine="709"/>
        <w:jc w:val="center"/>
        <w:rPr>
          <w:rFonts w:ascii="Times New Roman" w:eastAsia="Times New Roman" w:hAnsi="Times New Roman" w:cs="Times New Roman"/>
          <w:sz w:val="28"/>
          <w:szCs w:val="28"/>
        </w:rPr>
      </w:pPr>
    </w:p>
    <w:p w:rsidR="005145F6" w:rsidRPr="005145F6" w:rsidRDefault="005145F6" w:rsidP="005145F6">
      <w:pPr>
        <w:tabs>
          <w:tab w:val="left" w:pos="2177"/>
        </w:tabs>
        <w:spacing w:after="0"/>
        <w:ind w:firstLine="709"/>
        <w:jc w:val="center"/>
        <w:rPr>
          <w:rFonts w:ascii="Times New Roman" w:eastAsia="Times New Roman" w:hAnsi="Times New Roman" w:cs="Times New Roman"/>
          <w:sz w:val="28"/>
          <w:szCs w:val="28"/>
        </w:rPr>
      </w:pPr>
      <w:r w:rsidRPr="005145F6">
        <w:rPr>
          <w:rFonts w:ascii="Times New Roman" w:eastAsia="Times New Roman" w:hAnsi="Times New Roman" w:cs="Times New Roman"/>
          <w:noProof/>
          <w:sz w:val="28"/>
          <w:szCs w:val="28"/>
        </w:rPr>
        <w:lastRenderedPageBreak/>
        <w:drawing>
          <wp:inline distT="0" distB="0" distL="0" distR="0">
            <wp:extent cx="4572000" cy="2743200"/>
            <wp:effectExtent l="0" t="0" r="0" b="0"/>
            <wp:docPr id="25"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5145F6" w:rsidRPr="00D53C12" w:rsidRDefault="005145F6" w:rsidP="00D527CE">
      <w:pPr>
        <w:tabs>
          <w:tab w:val="left" w:pos="2177"/>
        </w:tabs>
        <w:spacing w:after="0" w:line="240" w:lineRule="auto"/>
        <w:ind w:firstLine="709"/>
        <w:jc w:val="center"/>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Рисунок 3.4 – Динамика начисленной заработной платы работников предприятий и организаций</w:t>
      </w:r>
    </w:p>
    <w:p w:rsidR="005145F6" w:rsidRDefault="005145F6" w:rsidP="005145F6">
      <w:pPr>
        <w:tabs>
          <w:tab w:val="left" w:pos="2177"/>
        </w:tabs>
        <w:spacing w:after="0"/>
        <w:ind w:firstLine="709"/>
        <w:jc w:val="center"/>
        <w:rPr>
          <w:rFonts w:ascii="Times New Roman" w:eastAsia="Times New Roman" w:hAnsi="Times New Roman" w:cs="Times New Roman"/>
          <w:sz w:val="28"/>
          <w:szCs w:val="28"/>
        </w:rPr>
      </w:pPr>
    </w:p>
    <w:p w:rsidR="005145F6" w:rsidRDefault="005145F6" w:rsidP="005145F6">
      <w:pPr>
        <w:tabs>
          <w:tab w:val="left" w:pos="2177"/>
        </w:tabs>
        <w:spacing w:after="0"/>
        <w:ind w:firstLine="709"/>
        <w:jc w:val="center"/>
        <w:rPr>
          <w:rFonts w:ascii="Times New Roman" w:eastAsia="Times New Roman" w:hAnsi="Times New Roman" w:cs="Times New Roman"/>
          <w:sz w:val="28"/>
          <w:szCs w:val="28"/>
        </w:rPr>
      </w:pPr>
      <w:r w:rsidRPr="005145F6">
        <w:rPr>
          <w:rFonts w:ascii="Times New Roman" w:eastAsia="Times New Roman" w:hAnsi="Times New Roman" w:cs="Times New Roman"/>
          <w:noProof/>
          <w:sz w:val="28"/>
          <w:szCs w:val="28"/>
        </w:rPr>
        <w:drawing>
          <wp:inline distT="0" distB="0" distL="0" distR="0">
            <wp:extent cx="4572000" cy="2743200"/>
            <wp:effectExtent l="19050" t="0" r="19050" b="0"/>
            <wp:docPr id="26"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5145F6" w:rsidRPr="00D53C12" w:rsidRDefault="005145F6" w:rsidP="00D527CE">
      <w:pPr>
        <w:tabs>
          <w:tab w:val="left" w:pos="2177"/>
        </w:tabs>
        <w:spacing w:after="0" w:line="240" w:lineRule="auto"/>
        <w:ind w:firstLine="709"/>
        <w:jc w:val="center"/>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Рисунок 3.5 – Темп роста неналоговых доходов консолидированного бюджета Бардымского муниципального района</w:t>
      </w:r>
    </w:p>
    <w:p w:rsidR="005145F6" w:rsidRDefault="005145F6" w:rsidP="00D527CE">
      <w:pPr>
        <w:tabs>
          <w:tab w:val="left" w:pos="2177"/>
        </w:tabs>
        <w:spacing w:after="0" w:line="240" w:lineRule="auto"/>
        <w:ind w:firstLine="709"/>
        <w:jc w:val="center"/>
        <w:rPr>
          <w:rFonts w:ascii="Times New Roman" w:eastAsia="Times New Roman" w:hAnsi="Times New Roman" w:cs="Times New Roman"/>
          <w:sz w:val="28"/>
          <w:szCs w:val="28"/>
        </w:rPr>
      </w:pPr>
    </w:p>
    <w:p w:rsidR="005145F6" w:rsidRPr="00153E07" w:rsidRDefault="005145F6" w:rsidP="00153E07">
      <w:pPr>
        <w:tabs>
          <w:tab w:val="left" w:pos="2177"/>
        </w:tabs>
        <w:spacing w:after="0"/>
        <w:ind w:firstLine="709"/>
        <w:jc w:val="both"/>
        <w:rPr>
          <w:rFonts w:ascii="Times New Roman" w:eastAsia="Times New Roman" w:hAnsi="Times New Roman" w:cs="Times New Roman"/>
          <w:sz w:val="28"/>
          <w:szCs w:val="28"/>
        </w:rPr>
      </w:pPr>
    </w:p>
    <w:p w:rsidR="00153E07" w:rsidRPr="00153E07" w:rsidRDefault="00153E07" w:rsidP="00153E07">
      <w:pPr>
        <w:spacing w:after="160" w:line="259" w:lineRule="auto"/>
        <w:jc w:val="both"/>
        <w:rPr>
          <w:rFonts w:ascii="Times New Roman" w:eastAsiaTheme="majorEastAsia" w:hAnsi="Times New Roman" w:cs="Times New Roman"/>
          <w:b/>
          <w:bCs/>
          <w:sz w:val="28"/>
          <w:szCs w:val="28"/>
        </w:rPr>
      </w:pPr>
      <w:r w:rsidRPr="00153E07">
        <w:rPr>
          <w:rFonts w:ascii="Times New Roman" w:hAnsi="Times New Roman" w:cs="Times New Roman"/>
          <w:sz w:val="28"/>
          <w:szCs w:val="28"/>
        </w:rPr>
        <w:br w:type="page"/>
      </w:r>
    </w:p>
    <w:p w:rsidR="00153E07" w:rsidRPr="00153E07" w:rsidRDefault="00153E07" w:rsidP="00543488">
      <w:pPr>
        <w:pStyle w:val="1"/>
        <w:numPr>
          <w:ilvl w:val="1"/>
          <w:numId w:val="7"/>
        </w:numPr>
        <w:spacing w:line="240" w:lineRule="auto"/>
      </w:pPr>
      <w:r w:rsidRPr="00153E07">
        <w:lastRenderedPageBreak/>
        <w:t>Система оценки и контроля (мониторинга) реализации Стратегии социально-экономического развития Бардымского муниципального района на 2018-2030 годы</w:t>
      </w:r>
    </w:p>
    <w:p w:rsidR="0075760E" w:rsidRPr="0075760E" w:rsidRDefault="00E65761" w:rsidP="00543488">
      <w:pPr>
        <w:spacing w:line="240" w:lineRule="auto"/>
        <w:ind w:firstLine="709"/>
        <w:jc w:val="both"/>
        <w:rPr>
          <w:rFonts w:ascii="Times New Roman" w:hAnsi="Times New Roman" w:cs="Times New Roman"/>
          <w:b/>
          <w:sz w:val="28"/>
          <w:szCs w:val="28"/>
        </w:rPr>
      </w:pPr>
      <w:r w:rsidRPr="0075760E">
        <w:rPr>
          <w:rFonts w:ascii="Times New Roman" w:eastAsia="Times New Roman" w:hAnsi="Times New Roman" w:cs="Times New Roman"/>
          <w:b/>
          <w:sz w:val="28"/>
          <w:szCs w:val="28"/>
        </w:rPr>
        <w:t xml:space="preserve">Стратегической целью стратегии развития является </w:t>
      </w:r>
      <w:r w:rsidR="0075760E" w:rsidRPr="0075760E">
        <w:rPr>
          <w:rFonts w:ascii="Times New Roman" w:hAnsi="Times New Roman" w:cs="Times New Roman"/>
          <w:b/>
          <w:sz w:val="28"/>
          <w:szCs w:val="28"/>
        </w:rPr>
        <w:t>повышение качества жизни и создание благоприятных условий для жизни и деятельности населения района.</w:t>
      </w:r>
    </w:p>
    <w:p w:rsidR="00153E07" w:rsidRPr="00153E07" w:rsidRDefault="00153E07" w:rsidP="00543488">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Контроль за реализацией Стратегии социально-экономического развития Бардымского муниципального района осуществляется Управлением финансов и планово-экономическим отделом </w:t>
      </w:r>
      <w:r w:rsidR="00AE52B1">
        <w:rPr>
          <w:rFonts w:ascii="Times New Roman" w:eastAsia="Times New Roman" w:hAnsi="Times New Roman" w:cs="Times New Roman"/>
          <w:sz w:val="28"/>
          <w:szCs w:val="28"/>
        </w:rPr>
        <w:t xml:space="preserve">Администрации </w:t>
      </w:r>
      <w:r w:rsidRPr="00153E07">
        <w:rPr>
          <w:rFonts w:ascii="Times New Roman" w:eastAsia="Times New Roman" w:hAnsi="Times New Roman" w:cs="Times New Roman"/>
          <w:sz w:val="28"/>
          <w:szCs w:val="28"/>
        </w:rPr>
        <w:t>Бардымского муниципального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Итоги мониторинга Стратегии подводятся ежегодно в сводных аналитических отчетах, подготавливаемых соисполнителями по итогам отчетного финансового года с выводами о степени достижения целей и необходимости корректировки стратегического плана.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Годовой отчет о реализации Стратегии социально-экономического развития содержит:</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 конкретные результаты, достигнутые за отчетный период;</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а.1) сведения о достижении целевых показателей (индикаторов) государственной программы;</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б) перечень контрольных событий, выполненных и не выполненных (с указанием причин) в установленные сроки согласно плану реализации;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перечень мероприятий, выполненных и не выполненных (с указанием причин) в установленные сроки;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г) анализ факторов, повлиявших на ход реализации государственной программы;</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 данные об использовании бюджетных ассигнований и иных средств на выполнение мероприятий;</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е) информацию о внесенных ответственным исполнителем изменениях в государственную программу;</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ж) аналитический отчет о выполнении мероприятий приоритетных национальных проектов;</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з) оценку эффективности государственной программы;</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и)</w:t>
      </w:r>
      <w:r w:rsidR="00D53C12">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предложения об изменении форм и методов управления реализацией государственной программы, о сокращении (увеличении) финансирования и (или) корректировке, досрочном прекращении основных мероприятий или государственной программы в целом;</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к)иную информацию в соответствии с методическими указаниями.</w:t>
      </w:r>
      <w:r w:rsidRPr="00153E07">
        <w:rPr>
          <w:rStyle w:val="aff2"/>
          <w:rFonts w:ascii="Times New Roman" w:eastAsia="Times New Roman" w:hAnsi="Times New Roman" w:cs="Times New Roman"/>
          <w:sz w:val="28"/>
          <w:szCs w:val="28"/>
        </w:rPr>
        <w:footnoteReference w:id="11"/>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Система оценки эффективности реализации муниципальной программы основывается на положениях </w:t>
      </w:r>
      <w:hyperlink r:id="rId104" w:anchor="Par890" w:history="1">
        <w:r w:rsidRPr="00153E07">
          <w:rPr>
            <w:rFonts w:ascii="Times New Roman" w:eastAsia="Times New Roman" w:hAnsi="Times New Roman" w:cs="Times New Roman"/>
            <w:sz w:val="28"/>
            <w:szCs w:val="28"/>
          </w:rPr>
          <w:t>м</w:t>
        </w:r>
      </w:hyperlink>
      <w:r w:rsidRPr="00153E07">
        <w:rPr>
          <w:rFonts w:ascii="Times New Roman" w:hAnsi="Times New Roman" w:cs="Times New Roman"/>
          <w:sz w:val="28"/>
          <w:szCs w:val="28"/>
        </w:rPr>
        <w:t>етодики</w:t>
      </w:r>
      <w:r w:rsidRPr="00153E07">
        <w:rPr>
          <w:rFonts w:ascii="Times New Roman" w:eastAsia="Times New Roman" w:hAnsi="Times New Roman" w:cs="Times New Roman"/>
          <w:sz w:val="28"/>
          <w:szCs w:val="28"/>
        </w:rPr>
        <w:t xml:space="preserve"> оценки эффективности реализации муниципальных программ.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В соответствии с методикой, для оценки степени достижения целей и решения задач Стратегии определяется степень достижения целевых значений каждого показателя (индикатора), предусмотренных Стратегией.</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Степень достижения целевого значения индикатора рассчитывается по следующим формулам: </w:t>
      </w:r>
    </w:p>
    <w:p w:rsidR="00153E07" w:rsidRPr="00153E07" w:rsidRDefault="00153E07" w:rsidP="00D527CE">
      <w:pPr>
        <w:pStyle w:val="af1"/>
        <w:numPr>
          <w:ilvl w:val="0"/>
          <w:numId w:val="13"/>
        </w:numPr>
        <w:tabs>
          <w:tab w:val="left" w:pos="2177"/>
        </w:tabs>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для индикаторов, желаемой тенденцией развития которых является увеличение значений:</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53E07" w:rsidRPr="00153E07" w:rsidTr="00153E07">
        <w:tc>
          <w:tcPr>
            <w:tcW w:w="4785" w:type="dxa"/>
          </w:tcPr>
          <w:p w:rsidR="00153E07" w:rsidRPr="00153E07" w:rsidRDefault="00153E07" w:rsidP="00D527CE">
            <w:pPr>
              <w:tabs>
                <w:tab w:val="left" w:pos="2177"/>
              </w:tabs>
              <w:jc w:val="both"/>
              <w:rPr>
                <w:rFonts w:ascii="Times New Roman" w:eastAsia="Times New Roman" w:hAnsi="Times New Roman" w:cs="Times New Roman"/>
                <w:sz w:val="28"/>
                <w:szCs w:val="28"/>
              </w:rPr>
            </w:pPr>
            <w:r w:rsidRPr="00153E07">
              <w:rPr>
                <w:rFonts w:ascii="Times New Roman" w:eastAsia="Times New Roman" w:hAnsi="Times New Roman" w:cs="Times New Roman"/>
                <w:position w:val="-28"/>
                <w:sz w:val="28"/>
                <w:szCs w:val="28"/>
              </w:rPr>
              <w:object w:dxaOrig="1160" w:dyaOrig="660">
                <v:shape id="_x0000_i1027" type="#_x0000_t75" style="width:57.6pt;height:32.25pt" o:ole="">
                  <v:imagedata r:id="rId105" o:title=""/>
                </v:shape>
                <o:OLEObject Type="Embed" ProgID="Equation.3" ShapeID="_x0000_i1027" DrawAspect="Content" ObjectID="_1589347247" r:id="rId106"/>
              </w:object>
            </w:r>
            <w:r w:rsidRPr="00153E07">
              <w:rPr>
                <w:rFonts w:ascii="Times New Roman" w:eastAsia="Times New Roman" w:hAnsi="Times New Roman" w:cs="Times New Roman"/>
                <w:sz w:val="28"/>
                <w:szCs w:val="28"/>
              </w:rPr>
              <w:t>;</w:t>
            </w:r>
          </w:p>
        </w:tc>
        <w:tc>
          <w:tcPr>
            <w:tcW w:w="4786" w:type="dxa"/>
          </w:tcPr>
          <w:p w:rsidR="00153E07" w:rsidRPr="00153E07" w:rsidRDefault="00153E07" w:rsidP="00D527CE">
            <w:pPr>
              <w:tabs>
                <w:tab w:val="left" w:pos="2177"/>
              </w:tabs>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(3.1)</w:t>
            </w:r>
          </w:p>
          <w:p w:rsidR="00153E07" w:rsidRPr="00153E07" w:rsidRDefault="00153E07" w:rsidP="00D527CE">
            <w:pPr>
              <w:tabs>
                <w:tab w:val="left" w:pos="2177"/>
              </w:tabs>
              <w:jc w:val="both"/>
              <w:rPr>
                <w:rFonts w:ascii="Times New Roman" w:eastAsia="Times New Roman" w:hAnsi="Times New Roman" w:cs="Times New Roman"/>
                <w:sz w:val="28"/>
                <w:szCs w:val="28"/>
              </w:rPr>
            </w:pPr>
          </w:p>
        </w:tc>
      </w:tr>
    </w:tbl>
    <w:p w:rsidR="00153E07" w:rsidRPr="00153E07" w:rsidRDefault="00153E07" w:rsidP="00D527CE">
      <w:pPr>
        <w:pStyle w:val="af1"/>
        <w:numPr>
          <w:ilvl w:val="0"/>
          <w:numId w:val="13"/>
        </w:numPr>
        <w:tabs>
          <w:tab w:val="left" w:pos="2177"/>
        </w:tabs>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для индикаторов, желаемой тенденцией развития которых является снижение значений:</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53E07" w:rsidRPr="00153E07" w:rsidTr="00153E07">
        <w:tc>
          <w:tcPr>
            <w:tcW w:w="4785" w:type="dxa"/>
          </w:tcPr>
          <w:p w:rsidR="00153E07" w:rsidRPr="00153E07" w:rsidRDefault="00153E07" w:rsidP="00D527CE">
            <w:pPr>
              <w:tabs>
                <w:tab w:val="left" w:pos="2177"/>
              </w:tabs>
              <w:jc w:val="both"/>
              <w:rPr>
                <w:rFonts w:ascii="Times New Roman" w:eastAsia="Times New Roman" w:hAnsi="Times New Roman" w:cs="Times New Roman"/>
                <w:sz w:val="28"/>
                <w:szCs w:val="28"/>
              </w:rPr>
            </w:pPr>
            <w:r w:rsidRPr="00153E07">
              <w:rPr>
                <w:rFonts w:ascii="Times New Roman" w:eastAsia="Times New Roman" w:hAnsi="Times New Roman" w:cs="Times New Roman"/>
                <w:position w:val="-28"/>
                <w:sz w:val="28"/>
                <w:szCs w:val="28"/>
              </w:rPr>
              <w:object w:dxaOrig="1160" w:dyaOrig="660">
                <v:shape id="_x0000_i1028" type="#_x0000_t75" style="width:57.6pt;height:32.25pt" o:ole="">
                  <v:imagedata r:id="rId107" o:title=""/>
                </v:shape>
                <o:OLEObject Type="Embed" ProgID="Equation.3" ShapeID="_x0000_i1028" DrawAspect="Content" ObjectID="_1589347248" r:id="rId108"/>
              </w:object>
            </w:r>
            <w:r w:rsidRPr="00153E07">
              <w:rPr>
                <w:rFonts w:ascii="Times New Roman" w:eastAsia="Times New Roman" w:hAnsi="Times New Roman" w:cs="Times New Roman"/>
                <w:sz w:val="28"/>
                <w:szCs w:val="28"/>
              </w:rPr>
              <w:t>;</w:t>
            </w:r>
          </w:p>
        </w:tc>
        <w:tc>
          <w:tcPr>
            <w:tcW w:w="4786" w:type="dxa"/>
          </w:tcPr>
          <w:p w:rsidR="00153E07" w:rsidRPr="00153E07" w:rsidRDefault="00153E07" w:rsidP="00D527CE">
            <w:pPr>
              <w:tabs>
                <w:tab w:val="left" w:pos="2177"/>
              </w:tabs>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(3.2)</w:t>
            </w:r>
          </w:p>
        </w:tc>
      </w:tr>
    </w:tbl>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где: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СД – степень достижения целевого значения индикатора Стратегии,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ЗПф – фактическое (текущее) значение индикатора Стратегии,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ЗПц – целевое (плановое) значение индикатора Стратегии.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Степень реализации ключевого показателя Стратегии рассчитывается по формуле: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53E07" w:rsidRPr="00153E07" w:rsidTr="00153E07">
        <w:tc>
          <w:tcPr>
            <w:tcW w:w="4785" w:type="dxa"/>
          </w:tcPr>
          <w:p w:rsidR="00153E07" w:rsidRPr="00153E07" w:rsidRDefault="00153E07" w:rsidP="00D527CE">
            <w:pPr>
              <w:tabs>
                <w:tab w:val="left" w:pos="2177"/>
              </w:tabs>
              <w:jc w:val="both"/>
              <w:rPr>
                <w:rFonts w:ascii="Times New Roman" w:eastAsia="Times New Roman" w:hAnsi="Times New Roman" w:cs="Times New Roman"/>
                <w:sz w:val="28"/>
                <w:szCs w:val="28"/>
              </w:rPr>
            </w:pPr>
            <w:r w:rsidRPr="00153E07">
              <w:rPr>
                <w:rFonts w:ascii="Times New Roman" w:eastAsia="Times New Roman" w:hAnsi="Times New Roman" w:cs="Times New Roman"/>
                <w:position w:val="-24"/>
                <w:sz w:val="28"/>
                <w:szCs w:val="28"/>
              </w:rPr>
              <w:object w:dxaOrig="1400" w:dyaOrig="960">
                <v:shape id="_x0000_i1029" type="#_x0000_t75" style="width:67.95pt;height:46.65pt" o:ole="">
                  <v:imagedata r:id="rId109" o:title=""/>
                </v:shape>
                <o:OLEObject Type="Embed" ProgID="Equation.3" ShapeID="_x0000_i1029" DrawAspect="Content" ObjectID="_1589347249" r:id="rId110"/>
              </w:object>
            </w:r>
            <w:r w:rsidRPr="00153E07">
              <w:rPr>
                <w:rFonts w:ascii="Times New Roman" w:eastAsia="Times New Roman" w:hAnsi="Times New Roman" w:cs="Times New Roman"/>
                <w:sz w:val="28"/>
                <w:szCs w:val="28"/>
              </w:rPr>
              <w:t>;</w:t>
            </w:r>
          </w:p>
        </w:tc>
        <w:tc>
          <w:tcPr>
            <w:tcW w:w="4786" w:type="dxa"/>
          </w:tcPr>
          <w:p w:rsidR="00153E07" w:rsidRPr="00153E07" w:rsidRDefault="00153E07" w:rsidP="00D527CE">
            <w:pPr>
              <w:tabs>
                <w:tab w:val="left" w:pos="2177"/>
              </w:tabs>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(3.3)</w:t>
            </w:r>
          </w:p>
        </w:tc>
      </w:tr>
    </w:tbl>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Где:</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СРп – степень реализации ключевого показателя Стратегии,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СД - степень достижения целевого значения индикатора Стратегии,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lang w:val="en-US"/>
        </w:rPr>
        <w:t>N</w:t>
      </w:r>
      <w:r w:rsidRPr="00153E07">
        <w:rPr>
          <w:rFonts w:ascii="Times New Roman" w:eastAsia="Times New Roman" w:hAnsi="Times New Roman" w:cs="Times New Roman"/>
          <w:sz w:val="28"/>
          <w:szCs w:val="28"/>
        </w:rPr>
        <w:t xml:space="preserve"> – число индикаторов, включаемых в данный ключевой показатель Стратегии.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 использовании данной формулы в случаях, если значение СД&gt; 1, значение СД принимается равным 1.</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Степень реализации Стратегии социально-экономического развития рассчитывается по формуле: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53E07" w:rsidRPr="00153E07" w:rsidTr="00153E07">
        <w:tc>
          <w:tcPr>
            <w:tcW w:w="4785" w:type="dxa"/>
          </w:tcPr>
          <w:p w:rsidR="00153E07" w:rsidRPr="00153E07" w:rsidRDefault="00153E07" w:rsidP="00D527CE">
            <w:pPr>
              <w:tabs>
                <w:tab w:val="left" w:pos="2177"/>
              </w:tabs>
              <w:jc w:val="both"/>
              <w:rPr>
                <w:rFonts w:ascii="Times New Roman" w:eastAsia="Times New Roman" w:hAnsi="Times New Roman" w:cs="Times New Roman"/>
                <w:sz w:val="28"/>
                <w:szCs w:val="28"/>
              </w:rPr>
            </w:pPr>
            <w:r w:rsidRPr="00153E07">
              <w:rPr>
                <w:rFonts w:ascii="Times New Roman" w:eastAsia="Times New Roman" w:hAnsi="Times New Roman" w:cs="Times New Roman"/>
                <w:position w:val="-24"/>
                <w:sz w:val="28"/>
                <w:szCs w:val="28"/>
              </w:rPr>
              <w:object w:dxaOrig="1800" w:dyaOrig="960">
                <v:shape id="_x0000_i1030" type="#_x0000_t75" style="width:89.85pt;height:46.65pt" o:ole="">
                  <v:imagedata r:id="rId111" o:title=""/>
                </v:shape>
                <o:OLEObject Type="Embed" ProgID="Equation.3" ShapeID="_x0000_i1030" DrawAspect="Content" ObjectID="_1589347250" r:id="rId112"/>
              </w:object>
            </w:r>
            <w:r w:rsidRPr="00153E07">
              <w:rPr>
                <w:rFonts w:ascii="Times New Roman" w:eastAsia="Times New Roman" w:hAnsi="Times New Roman" w:cs="Times New Roman"/>
                <w:sz w:val="28"/>
                <w:szCs w:val="28"/>
              </w:rPr>
              <w:t>;</w:t>
            </w:r>
          </w:p>
        </w:tc>
        <w:tc>
          <w:tcPr>
            <w:tcW w:w="4786" w:type="dxa"/>
          </w:tcPr>
          <w:p w:rsidR="00153E07" w:rsidRPr="00153E07" w:rsidRDefault="00153E07" w:rsidP="00D527CE">
            <w:pPr>
              <w:tabs>
                <w:tab w:val="left" w:pos="2177"/>
              </w:tabs>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(3.3)</w:t>
            </w:r>
          </w:p>
        </w:tc>
      </w:tr>
    </w:tbl>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где:</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СРссэр – степень реализации Стратегии социально-экономического развития,</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СРп - степень реализации ключевого показателя Стратегии,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lang w:val="en-US"/>
        </w:rPr>
        <w:t>M</w:t>
      </w:r>
      <w:r w:rsidRPr="00153E07">
        <w:rPr>
          <w:rFonts w:ascii="Times New Roman" w:eastAsia="Times New Roman" w:hAnsi="Times New Roman" w:cs="Times New Roman"/>
          <w:sz w:val="28"/>
          <w:szCs w:val="28"/>
        </w:rPr>
        <w:t xml:space="preserve"> – количество ключевых показателей Стратегии.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Эффективность реализации ключевых показателей и всей Стратегии в целом признается высокой в случае, если значения СРп и СРссэр составляют не менее 0,9.</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Эффективность реализации ключевых показателей и всей Стратегии в целом признается средней в случае, если значения СРп и СРссэр составляют не менее 0,8.</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Эффективность реализации ключевых показателей и всей Стратегии в целом признается удовлетворительной в случае, если значения СРп и СРссэр составляют не менее 0,7.</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остальных случаях эффективность реализации ключевых показателей и всей Стратегии в целом признается неудовлетворительной.</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Целью оценки и контроля (мониторинга) стратегии социально-экономического развития является выявление вопросов, которые требуют наибольшей проработки и корректировки стратегического плана.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Таким образом, в процессе реализации Стратегии ответственному исполнителю необходимо подготавливать предложения об изменении форм и методов управления реализацией государственной программы, о сокращении (увеличении) финансирования и (или) корректировке, досрочном прекращении основных мероприятий.</w:t>
      </w:r>
    </w:p>
    <w:p w:rsidR="00153E07" w:rsidRPr="00153E07" w:rsidRDefault="00153E07" w:rsidP="00D527CE">
      <w:pPr>
        <w:spacing w:after="160" w:line="240" w:lineRule="auto"/>
        <w:jc w:val="both"/>
        <w:rPr>
          <w:rFonts w:ascii="Times New Roman" w:eastAsiaTheme="majorEastAsia" w:hAnsi="Times New Roman" w:cs="Times New Roman"/>
          <w:b/>
          <w:bCs/>
          <w:sz w:val="28"/>
          <w:szCs w:val="28"/>
        </w:rPr>
      </w:pPr>
    </w:p>
    <w:p w:rsidR="00153E07" w:rsidRPr="00153E07" w:rsidRDefault="00153E07" w:rsidP="00D527CE">
      <w:pPr>
        <w:pStyle w:val="1"/>
        <w:numPr>
          <w:ilvl w:val="1"/>
          <w:numId w:val="7"/>
        </w:numPr>
        <w:spacing w:line="240" w:lineRule="auto"/>
      </w:pPr>
      <w:r w:rsidRPr="00153E07">
        <w:t>Оценка социально-экономических последствий реализации Стратегии социально-экономического развития Бардымского муниципального района на период 2018-2030 годы</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Для успешного социально-экономического развития Бардымского муниципального района необходима современная инженерная и транспортная инфраструктура, которая обеспечит потребности и транспортную доступность новых производств, а также их конкурентоспособность.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Таким образом, </w:t>
      </w:r>
      <w:r w:rsidRPr="00D53C12">
        <w:rPr>
          <w:rFonts w:ascii="Times New Roman" w:eastAsia="Times New Roman" w:hAnsi="Times New Roman" w:cs="Times New Roman"/>
          <w:b/>
          <w:sz w:val="28"/>
          <w:szCs w:val="28"/>
        </w:rPr>
        <w:t>основными проектами в направлении экономического развития Бардымского муниципального района выступают</w:t>
      </w:r>
      <w:r w:rsidRPr="00153E07">
        <w:rPr>
          <w:rFonts w:ascii="Times New Roman" w:eastAsia="Times New Roman" w:hAnsi="Times New Roman" w:cs="Times New Roman"/>
          <w:sz w:val="28"/>
          <w:szCs w:val="28"/>
        </w:rPr>
        <w:t>:</w:t>
      </w:r>
    </w:p>
    <w:p w:rsidR="00153E07" w:rsidRPr="00153E07" w:rsidRDefault="00AE52B1"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153E07" w:rsidRPr="00153E07">
        <w:rPr>
          <w:rFonts w:ascii="Times New Roman" w:eastAsia="Times New Roman" w:hAnsi="Times New Roman" w:cs="Times New Roman"/>
          <w:sz w:val="28"/>
          <w:szCs w:val="28"/>
        </w:rPr>
        <w:t>оздание комплексной особой экономической зоны с привлечением существующих КФХ и ЛПХ, а также новых инвесторов;</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производств</w:t>
      </w:r>
      <w:r w:rsidR="00AE52B1">
        <w:rPr>
          <w:rFonts w:ascii="Times New Roman" w:eastAsia="Times New Roman" w:hAnsi="Times New Roman" w:cs="Times New Roman"/>
          <w:sz w:val="28"/>
          <w:szCs w:val="28"/>
        </w:rPr>
        <w:t xml:space="preserve">о </w:t>
      </w:r>
      <w:r w:rsidRPr="00153E07">
        <w:rPr>
          <w:rFonts w:ascii="Times New Roman" w:eastAsia="Times New Roman" w:hAnsi="Times New Roman" w:cs="Times New Roman"/>
          <w:sz w:val="28"/>
          <w:szCs w:val="28"/>
        </w:rPr>
        <w:t>профилированных железных листов, брикетов из дробленой древесины;</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организация производства комбикормов, строительство тепличных хозяйств, мясо- и молокоперерабатывающих производств;</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организация кооператива по о</w:t>
      </w:r>
      <w:r w:rsidR="00F805FA">
        <w:rPr>
          <w:rFonts w:ascii="Times New Roman" w:eastAsia="Times New Roman" w:hAnsi="Times New Roman" w:cs="Times New Roman"/>
          <w:sz w:val="28"/>
          <w:szCs w:val="28"/>
        </w:rPr>
        <w:t>казанию бытовых услуг населению.</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Реализация вышеуказанных проектов повлечет за собой появление новых рабочих мест. Недостаток рабочей силы в районе возможно компенсировать за счет миграционного прироста населения. Привлечению населения в район будет способствовать развитие социальной инфраструктуры.</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D53C12">
        <w:rPr>
          <w:rFonts w:ascii="Times New Roman" w:eastAsia="Times New Roman" w:hAnsi="Times New Roman" w:cs="Times New Roman"/>
          <w:b/>
          <w:sz w:val="28"/>
          <w:szCs w:val="28"/>
        </w:rPr>
        <w:t>Проектами развития социальной инфраструктуры</w:t>
      </w:r>
      <w:r w:rsidRPr="00153E07">
        <w:rPr>
          <w:rFonts w:ascii="Times New Roman" w:eastAsia="Times New Roman" w:hAnsi="Times New Roman" w:cs="Times New Roman"/>
          <w:sz w:val="28"/>
          <w:szCs w:val="28"/>
        </w:rPr>
        <w:t xml:space="preserve"> в Бардымском муниципальном районе выступают:</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строительство мусороперегрузочной станции;</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газификация сельских поселений;</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строительство новых современных и реконструкция имеющихся объектов культуры;</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строительство новых и реконструкция имеющихся школ и детских садов;</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строительство спортивных объектов;</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строительство общежития для студентов краевого политехнического колледжа;</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строительство оптико-волоконных линий связи;</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строительство антенн сотовой связи;</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строительство линий электропередач, водопроводов;</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зон отдыха, парков культуры;</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ремонт сельских дорог;</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обустройство инфраструктуры туристических объектов показа.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Развитие социальной инфраструктуры, доступность ресурсов информационно-коммуникационных технологий в муниципальном районе способствует притоку и удержанию в районе населения.</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Бардымском филиале ГАПОУ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Краевой политехнический колледж</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ежегодно обучается 250 студентов. 37% обучающихся проживают в удаленных населенных пунктах Бардымского района и преимущественно являются членами малообеспеченных семей.</w:t>
      </w:r>
      <w:r w:rsidR="006D54FD">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xml:space="preserve">В связи с этим становится острой проблема проживания студентов, и контроля за их общественным поведением.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Практически все выпускники 9-х классов таких школ как: Кармановская ООШ, Елпачихинская СОШ,</w:t>
      </w:r>
      <w:r w:rsidR="006D54FD">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Константиновская ООШ,</w:t>
      </w:r>
      <w:r w:rsidR="006D54FD">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Акбашевская ООШ, Бичуринская СОШ, Сарашевская СОШ, Печменская СОШ поступают</w:t>
      </w:r>
      <w:r w:rsidR="006D54FD">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по схожим профессиям и специальностям, в учебные заведения среднего профессионального образования южной зоны в г.Чернушка, г.Оса, г.Чайковский, так как в Бардымском филиале отсутствует общежитие.</w:t>
      </w:r>
      <w:r w:rsidR="006D54FD">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Уезжая из Бардымского района, выпускники школ в своей основной массе не возвращаются обратно. Наличие общежития в Краевом политехническом колледже позволит молодежи получать профессиональное образование в своем родном районе, что будет способствовать удержанию</w:t>
      </w:r>
      <w:r w:rsidR="006D54FD">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молодых специалистов и квалифицированных рабочих в родном районе.</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Кроме того, наличие общежития позволит контролировать условия проживания и времяпровождения студентов, что будет способствовать снижению преступности в Бардымском районе.</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Отсутствие стадиона является препятствием для проведения на качественном уровне с учетом современных требований занятий по физической культуре и спортивно-массовых мероприятий для жителей с.Барда. Состав стадиона: мини-футбольное поле, беговые дорожки, трибуны, ограждения. Данный стадион будет являться спортивным объектом, на котором в дневное время занимаются студенты, а ранним утром, во второй половине дня и вечером пользуются жители района различного возрастного состава от молодежи до пенсионеров.</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Строительство стадиона обеспечит потребность студентов и жителей районного центра в занятиях физической культурой и спортом на открытом воздухе, что будет способствовать созданию условий для укрепления здоровья обучающихся и граждан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Стадион может выступать в качестве центра притяжения и проведения районных и краевых массовых спортивных мероприятий на открытом воздухе.</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Появление новых рабочих мест в Бардымском районе будет способствовать спросу на качественное жилье, что увеличит темпы роста жилищного строительства.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агропромышленного кластера и производственных предприятий в районе будет способствовать развитию банковского сектора и кредитной инфраструктуры в муниципальном районе.</w:t>
      </w:r>
    </w:p>
    <w:p w:rsid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Развитие транспортной инфраструктуры позволит наладить систему товародвижения, сократить затраты на закупку и обеспечить конкурентоспособность производимой продукции.</w:t>
      </w:r>
    </w:p>
    <w:p w:rsidR="00E65761" w:rsidRPr="00153E07" w:rsidRDefault="00E65761" w:rsidP="00D527CE">
      <w:pPr>
        <w:tabs>
          <w:tab w:val="left" w:pos="217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Прогнозные показатели социально-экономических последствий реализации Стратегии представлены в приложениях 5-7.</w:t>
      </w:r>
    </w:p>
    <w:p w:rsidR="00153E07" w:rsidRPr="00153E07" w:rsidRDefault="00153E07" w:rsidP="00D527CE">
      <w:pPr>
        <w:spacing w:after="160" w:line="240" w:lineRule="auto"/>
        <w:jc w:val="both"/>
        <w:rPr>
          <w:rFonts w:ascii="Times New Roman" w:hAnsi="Times New Roman" w:cs="Times New Roman"/>
          <w:sz w:val="28"/>
          <w:szCs w:val="28"/>
        </w:rPr>
      </w:pPr>
    </w:p>
    <w:p w:rsidR="00153E07" w:rsidRPr="00153E07" w:rsidRDefault="00153E07" w:rsidP="00D527CE">
      <w:pPr>
        <w:pStyle w:val="1"/>
        <w:numPr>
          <w:ilvl w:val="1"/>
          <w:numId w:val="7"/>
        </w:numPr>
        <w:spacing w:line="240" w:lineRule="auto"/>
      </w:pPr>
      <w:r w:rsidRPr="00153E07">
        <w:t>Механизмы реализации Стратегии социально-экономического развития Бардымского муниципального района на период 2018-2030 годы</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Механизмами реализации стратегии социально-экономического развития выступает совокупность принципов, функций, методов и инструментов управленческого воздействия на процесс социально-экономического развития территории, применяемых территориальными органами власти для достижения стратегических целей и обеспечения приоритетов развития региона.</w:t>
      </w:r>
      <w:r w:rsidRPr="00153E07">
        <w:rPr>
          <w:rFonts w:ascii="Times New Roman" w:eastAsia="Times New Roman" w:hAnsi="Times New Roman" w:cs="Times New Roman"/>
          <w:sz w:val="28"/>
          <w:szCs w:val="28"/>
          <w:vertAlign w:val="superscript"/>
        </w:rPr>
        <w:footnoteReference w:id="12"/>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Принципами реализации стратегии являются: системность, эффективность, адаптивность, непрерывность, целенаправленность и приоритетность, социальное партнерство, гласность и открытость.</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Наиболее важным принципом в данной стратегии является принцип социального партнерства, который заключается во взаимодействии и согласовании интересов стейкхолдеров в рамках реализации стратегии социально-экономического развития муниципального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Стейкхолдерами выступают заинтересованные лица, участники разработки и реализации стратегии, к которым относятся органы государственной власти, научная общественность, бизнес-сообщество и население муниципального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Ключевым моментом стратегии является переход к другой модели развития, который включает в себя развитие компенсирующих отраслей народного хозяйства.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Механизмы реализации, как правило, основываются на организационно-правовом и ресурсном обеспечении Стратегии.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Организационно-правовое обеспечение реализации стратегии социально-экономического развития Бардымского муниципального района:</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Федеральный закон от 28.06.2014 № 172-ФЗ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О стратегическом планировании в Российской Федерации;</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 xml:space="preserve">Федеральный закон от 06.10.2003 № 131-ФЗ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Об общих принципах организации местного самоуправления в Российской Федерации</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Распоряжение Правительства Российской Федерации от 07.02.2011 № 165-р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Об утверждении </w:t>
      </w:r>
      <w:hyperlink r:id="rId113" w:anchor="Par28" w:history="1">
        <w:r w:rsidRPr="00153E07">
          <w:rPr>
            <w:rFonts w:ascii="Times New Roman" w:eastAsia="Times New Roman" w:hAnsi="Times New Roman" w:cs="Times New Roman"/>
            <w:sz w:val="28"/>
            <w:szCs w:val="28"/>
          </w:rPr>
          <w:t>Стратеги</w:t>
        </w:r>
      </w:hyperlink>
      <w:r w:rsidRPr="00153E07">
        <w:rPr>
          <w:rFonts w:ascii="Times New Roman" w:eastAsia="Times New Roman" w:hAnsi="Times New Roman" w:cs="Times New Roman"/>
          <w:sz w:val="28"/>
          <w:szCs w:val="28"/>
        </w:rPr>
        <w:t>и социально-экономического развития Приволжского федерального округа на период до 2020 года</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Стандарт деятельности органов местного самоуправления Пермского края по обеспечению благоприятного инвестиционного климата, утвержденного Протоколом Совета Пермского краевого регионального отделения Общероссийской общественной организации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Деловая Россия</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от 21.03.2014 № 3/14;</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Постановление Законодательного собрания Пермского края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Об утверждении </w:t>
      </w:r>
      <w:hyperlink r:id="rId114" w:anchor="Par32" w:history="1">
        <w:r w:rsidRPr="00153E07">
          <w:rPr>
            <w:rFonts w:ascii="Times New Roman" w:eastAsia="Times New Roman" w:hAnsi="Times New Roman" w:cs="Times New Roman"/>
            <w:sz w:val="28"/>
            <w:szCs w:val="28"/>
          </w:rPr>
          <w:t>Стратеги</w:t>
        </w:r>
      </w:hyperlink>
      <w:r w:rsidRPr="00153E07">
        <w:rPr>
          <w:rFonts w:ascii="Times New Roman" w:eastAsia="Times New Roman" w:hAnsi="Times New Roman" w:cs="Times New Roman"/>
          <w:sz w:val="28"/>
          <w:szCs w:val="28"/>
        </w:rPr>
        <w:t>и социально-экономического развития Пермского края до 2026 года</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от 01.12.2011 № 3046;</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Устав Бардымского муниципального района Пермского края;</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Схема территориального планирования Бардымского муниципального района;</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Генеральные планы поселений, входящие в состав Бардымского муниципального района;</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Муниципальные целевые программы Бардымского муниципального района;</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Инвестиционные муниципальные проекты (программы) Бардымского муниципального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Стратегическое планирование социально-экономического развития территории сдержит два ключевых этапа:</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этап разработки стратегии социально-экономического развития территории;</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этап реализации стратегии социально-экономического развития территории.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Из данных этапов вытекают функции управления реализацией стратегии: планирование, исполнение, контроль и мониторинг реализации стратегии.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Финансирование Стратегии осуществляется за счет средств бюджета Бардымского муниципального района, средств краевого и федерального бюджетов, средств субъектов малого и среднего предпринимательства, а также организаций, образующих инфраструктуру поддержки предпринимательства и субъектов предпринимательства Бардымского муниципального района</w:t>
      </w:r>
      <w:r w:rsidR="00CB7DA8">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в размерах, предусмотренных целевыми программами муниципального района.</w:t>
      </w:r>
    </w:p>
    <w:p w:rsidR="00570AAF" w:rsidRPr="00570AAF" w:rsidRDefault="00153E07" w:rsidP="00570AAF">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Финансирование мероприятий за счет средств районного бюджета предполагает ежегодное утверждение предусмотренных сумм на эти цели при формировании бюджета на очередной финансовый год. В ходе реализации Стратегии возможно корректировка объемов финансирования отдельных мероприятий в соответствии с полученной экономией всех средств, предусмотренных на эти цели, а также дополнительное финансирование за счет свободного остатка средств бюджета Бардымского муниципального района.</w:t>
      </w:r>
    </w:p>
    <w:p w:rsidR="00570AAF" w:rsidRPr="00333885" w:rsidRDefault="00570AAF" w:rsidP="00570AAF">
      <w:pPr>
        <w:tabs>
          <w:tab w:val="left" w:pos="2177"/>
        </w:tabs>
        <w:spacing w:after="0" w:line="240" w:lineRule="auto"/>
        <w:ind w:firstLine="709"/>
        <w:jc w:val="both"/>
        <w:rPr>
          <w:rFonts w:ascii="Times New Roman" w:eastAsia="Times New Roman" w:hAnsi="Times New Roman" w:cs="Times New Roman"/>
          <w:sz w:val="28"/>
          <w:szCs w:val="28"/>
        </w:rPr>
      </w:pPr>
    </w:p>
    <w:p w:rsidR="00153E07" w:rsidRPr="00570AAF" w:rsidRDefault="0075760E" w:rsidP="00570AAF">
      <w:pPr>
        <w:tabs>
          <w:tab w:val="left" w:pos="2177"/>
        </w:tabs>
        <w:spacing w:after="0" w:line="240" w:lineRule="auto"/>
        <w:jc w:val="both"/>
        <w:rPr>
          <w:rFonts w:ascii="Times New Roman" w:eastAsia="Times New Roman" w:hAnsi="Times New Roman" w:cs="Times New Roman"/>
          <w:sz w:val="28"/>
          <w:szCs w:val="28"/>
        </w:rPr>
      </w:pPr>
      <w:r>
        <w:rPr>
          <w:rFonts w:ascii="Times New Roman" w:hAnsi="Times New Roman" w:cs="Times New Roman"/>
          <w:b/>
          <w:sz w:val="28"/>
          <w:szCs w:val="28"/>
        </w:rPr>
        <w:lastRenderedPageBreak/>
        <w:t xml:space="preserve">3.10. </w:t>
      </w:r>
      <w:r w:rsidR="00153E07" w:rsidRPr="00D53C12">
        <w:rPr>
          <w:rFonts w:ascii="Times New Roman" w:hAnsi="Times New Roman" w:cs="Times New Roman"/>
          <w:b/>
          <w:sz w:val="28"/>
          <w:szCs w:val="28"/>
        </w:rPr>
        <w:t>Контроль и мониторинг реализации Стратегии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Один из аспектов деятельности администрации Бардымского района направлен на осуществление комплексного управления реализацией стратегии, включающая установленные полномочия. А именно определение эффективных методов по организации стратегии работ, также координировании работ исполнителей мероприятий и контроле качества работ, а также сроков реализации исполнения договоров и контрактов. </w:t>
      </w:r>
    </w:p>
    <w:p w:rsid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Организаторами реализации основных направлении развития, которые соответствуют заданным программам выступает администрация Бардымского муниципального района. </w:t>
      </w:r>
    </w:p>
    <w:p w:rsidR="006C167F" w:rsidRPr="006C167F" w:rsidRDefault="006C167F" w:rsidP="00D527CE">
      <w:pPr>
        <w:tabs>
          <w:tab w:val="left" w:pos="2177"/>
        </w:tabs>
        <w:spacing w:after="0" w:line="240" w:lineRule="auto"/>
        <w:ind w:firstLine="709"/>
        <w:jc w:val="both"/>
        <w:rPr>
          <w:rFonts w:ascii="Times New Roman" w:eastAsia="Times New Roman" w:hAnsi="Times New Roman" w:cs="Times New Roman"/>
          <w:sz w:val="28"/>
          <w:szCs w:val="28"/>
        </w:rPr>
      </w:pPr>
      <w:r w:rsidRPr="006C167F">
        <w:rPr>
          <w:rFonts w:ascii="Times New Roman" w:eastAsia="Times New Roman" w:hAnsi="Times New Roman" w:cs="Times New Roman"/>
          <w:sz w:val="28"/>
          <w:szCs w:val="28"/>
        </w:rPr>
        <w:t xml:space="preserve">Проект Стратегии разрабатывается администрацией </w:t>
      </w:r>
      <w:r w:rsidR="00E97C6A">
        <w:rPr>
          <w:rFonts w:ascii="Times New Roman" w:eastAsia="Times New Roman" w:hAnsi="Times New Roman" w:cs="Times New Roman"/>
          <w:sz w:val="28"/>
          <w:szCs w:val="28"/>
        </w:rPr>
        <w:t>Бардымского</w:t>
      </w:r>
      <w:r w:rsidRPr="006C167F">
        <w:rPr>
          <w:rFonts w:ascii="Times New Roman" w:eastAsia="Times New Roman" w:hAnsi="Times New Roman" w:cs="Times New Roman"/>
          <w:sz w:val="28"/>
          <w:szCs w:val="28"/>
        </w:rPr>
        <w:t xml:space="preserve"> муниципального района с привлечением всех профильных структурных подразделений,  общественных, научных и иных организаций с учетом требований законодательства Российской Федерации о государственной, коммерческой, служебной и иной охраняемой законом тайне.</w:t>
      </w:r>
    </w:p>
    <w:p w:rsidR="006C167F" w:rsidRPr="006C167F" w:rsidRDefault="006C167F" w:rsidP="00D527CE">
      <w:pPr>
        <w:tabs>
          <w:tab w:val="left" w:pos="2177"/>
        </w:tabs>
        <w:spacing w:after="0" w:line="240" w:lineRule="auto"/>
        <w:ind w:firstLine="709"/>
        <w:jc w:val="both"/>
        <w:rPr>
          <w:rFonts w:ascii="Times New Roman" w:eastAsia="Times New Roman" w:hAnsi="Times New Roman" w:cs="Times New Roman"/>
          <w:sz w:val="28"/>
          <w:szCs w:val="28"/>
        </w:rPr>
      </w:pPr>
      <w:r w:rsidRPr="006C167F">
        <w:rPr>
          <w:rFonts w:ascii="Times New Roman" w:eastAsia="Times New Roman" w:hAnsi="Times New Roman" w:cs="Times New Roman"/>
          <w:sz w:val="28"/>
          <w:szCs w:val="28"/>
        </w:rPr>
        <w:t xml:space="preserve">Разработанный проект Стратегии вносится в установленном порядке в представительный орган </w:t>
      </w:r>
      <w:r w:rsidR="00E97C6A">
        <w:rPr>
          <w:rFonts w:ascii="Times New Roman" w:eastAsia="Times New Roman" w:hAnsi="Times New Roman" w:cs="Times New Roman"/>
          <w:sz w:val="28"/>
          <w:szCs w:val="28"/>
        </w:rPr>
        <w:t>Бардымского</w:t>
      </w:r>
      <w:r w:rsidRPr="006C167F">
        <w:rPr>
          <w:rFonts w:ascii="Times New Roman" w:eastAsia="Times New Roman" w:hAnsi="Times New Roman" w:cs="Times New Roman"/>
          <w:sz w:val="28"/>
          <w:szCs w:val="28"/>
        </w:rPr>
        <w:t xml:space="preserve"> муниципального района – Земское Собрание </w:t>
      </w:r>
      <w:r w:rsidR="00E97C6A">
        <w:rPr>
          <w:rFonts w:ascii="Times New Roman" w:eastAsia="Times New Roman" w:hAnsi="Times New Roman" w:cs="Times New Roman"/>
          <w:sz w:val="28"/>
          <w:szCs w:val="28"/>
        </w:rPr>
        <w:t>Бардымского</w:t>
      </w:r>
      <w:r w:rsidRPr="006C167F">
        <w:rPr>
          <w:rFonts w:ascii="Times New Roman" w:eastAsia="Times New Roman" w:hAnsi="Times New Roman" w:cs="Times New Roman"/>
          <w:sz w:val="28"/>
          <w:szCs w:val="28"/>
        </w:rPr>
        <w:t xml:space="preserve"> муниципального района (далее – Земское Собрание) и выносится на общественные слушания с учетом требований законодательства Российской Федерации, в том числе законодательства Российской Федерации о государственной, коммерческой, служебной и иной охраняемой законом тайне путем размещения проекта на официальном сайте </w:t>
      </w:r>
      <w:r w:rsidR="00E97C6A">
        <w:rPr>
          <w:rFonts w:ascii="Times New Roman" w:eastAsia="Times New Roman" w:hAnsi="Times New Roman" w:cs="Times New Roman"/>
          <w:sz w:val="28"/>
          <w:szCs w:val="28"/>
        </w:rPr>
        <w:t>Бардымского</w:t>
      </w:r>
      <w:r w:rsidRPr="006C167F">
        <w:rPr>
          <w:rFonts w:ascii="Times New Roman" w:eastAsia="Times New Roman" w:hAnsi="Times New Roman" w:cs="Times New Roman"/>
          <w:sz w:val="28"/>
          <w:szCs w:val="28"/>
        </w:rPr>
        <w:t xml:space="preserve"> муниципального района, а также на общедоступном информационном ресурсе стратегического планирования в информаци</w:t>
      </w:r>
      <w:r w:rsidR="00D53C12">
        <w:rPr>
          <w:rFonts w:ascii="Times New Roman" w:eastAsia="Times New Roman" w:hAnsi="Times New Roman" w:cs="Times New Roman"/>
          <w:sz w:val="28"/>
          <w:szCs w:val="28"/>
        </w:rPr>
        <w:t>онно-телекоммуникационной сети «</w:t>
      </w:r>
      <w:r w:rsidRPr="006C167F">
        <w:rPr>
          <w:rFonts w:ascii="Times New Roman" w:eastAsia="Times New Roman" w:hAnsi="Times New Roman" w:cs="Times New Roman"/>
          <w:sz w:val="28"/>
          <w:szCs w:val="28"/>
        </w:rPr>
        <w:t>Интернет».</w:t>
      </w:r>
    </w:p>
    <w:p w:rsidR="006C167F" w:rsidRPr="006C167F" w:rsidRDefault="006C167F" w:rsidP="00D527CE">
      <w:pPr>
        <w:tabs>
          <w:tab w:val="left" w:pos="2177"/>
        </w:tabs>
        <w:spacing w:after="0" w:line="240" w:lineRule="auto"/>
        <w:ind w:firstLine="709"/>
        <w:jc w:val="both"/>
        <w:rPr>
          <w:rFonts w:ascii="Times New Roman" w:eastAsia="Times New Roman" w:hAnsi="Times New Roman" w:cs="Times New Roman"/>
          <w:sz w:val="28"/>
          <w:szCs w:val="28"/>
        </w:rPr>
      </w:pPr>
      <w:r w:rsidRPr="006C167F">
        <w:rPr>
          <w:rFonts w:ascii="Times New Roman" w:eastAsia="Times New Roman" w:hAnsi="Times New Roman" w:cs="Times New Roman"/>
          <w:sz w:val="28"/>
          <w:szCs w:val="28"/>
        </w:rPr>
        <w:t xml:space="preserve">Форма, порядок и сроки проведения общественных слушаний проекта Стратегии определяются органом местного самоуправления и публикуются на официальном сайте </w:t>
      </w:r>
      <w:r w:rsidR="00E97C6A">
        <w:rPr>
          <w:rFonts w:ascii="Times New Roman" w:eastAsia="Times New Roman" w:hAnsi="Times New Roman" w:cs="Times New Roman"/>
          <w:sz w:val="28"/>
          <w:szCs w:val="28"/>
        </w:rPr>
        <w:t>Бардымского</w:t>
      </w:r>
      <w:r w:rsidRPr="006C167F">
        <w:rPr>
          <w:rFonts w:ascii="Times New Roman" w:eastAsia="Times New Roman" w:hAnsi="Times New Roman" w:cs="Times New Roman"/>
          <w:sz w:val="28"/>
          <w:szCs w:val="28"/>
        </w:rPr>
        <w:t xml:space="preserve"> муниципального района.</w:t>
      </w:r>
    </w:p>
    <w:p w:rsidR="006C167F" w:rsidRPr="006C167F" w:rsidRDefault="006C167F" w:rsidP="00D527CE">
      <w:pPr>
        <w:tabs>
          <w:tab w:val="left" w:pos="2177"/>
        </w:tabs>
        <w:spacing w:after="0" w:line="240" w:lineRule="auto"/>
        <w:ind w:firstLine="709"/>
        <w:jc w:val="both"/>
        <w:rPr>
          <w:rFonts w:ascii="Times New Roman" w:eastAsia="Times New Roman" w:hAnsi="Times New Roman" w:cs="Times New Roman"/>
          <w:sz w:val="28"/>
          <w:szCs w:val="28"/>
        </w:rPr>
      </w:pPr>
      <w:r w:rsidRPr="006C167F">
        <w:rPr>
          <w:rFonts w:ascii="Times New Roman" w:eastAsia="Times New Roman" w:hAnsi="Times New Roman" w:cs="Times New Roman"/>
          <w:sz w:val="28"/>
          <w:szCs w:val="28"/>
        </w:rPr>
        <w:t xml:space="preserve">Замечания и предложения, поступившие в ходе общественных слушаний проекта Стратегии, рассматриваются администрацией </w:t>
      </w:r>
      <w:r w:rsidR="00E97C6A">
        <w:rPr>
          <w:rFonts w:ascii="Times New Roman" w:eastAsia="Times New Roman" w:hAnsi="Times New Roman" w:cs="Times New Roman"/>
          <w:sz w:val="28"/>
          <w:szCs w:val="28"/>
        </w:rPr>
        <w:t>Бардымского</w:t>
      </w:r>
      <w:r w:rsidRPr="006C167F">
        <w:rPr>
          <w:rFonts w:ascii="Times New Roman" w:eastAsia="Times New Roman" w:hAnsi="Times New Roman" w:cs="Times New Roman"/>
          <w:sz w:val="28"/>
          <w:szCs w:val="28"/>
        </w:rPr>
        <w:t xml:space="preserve"> муниципального района и с учетом мнений профильных структурных подразделений, принимаются или отклоняются. Перечень полученных замечаний и предложений может быть приложен к проекту Стратегии для рассмотрения Земским Собранием.</w:t>
      </w:r>
    </w:p>
    <w:p w:rsidR="006C167F" w:rsidRPr="006C167F" w:rsidRDefault="006C167F" w:rsidP="00D527CE">
      <w:pPr>
        <w:tabs>
          <w:tab w:val="left" w:pos="2177"/>
        </w:tabs>
        <w:spacing w:after="0" w:line="240" w:lineRule="auto"/>
        <w:ind w:firstLine="709"/>
        <w:jc w:val="both"/>
        <w:rPr>
          <w:rFonts w:ascii="Times New Roman" w:eastAsia="Times New Roman" w:hAnsi="Times New Roman" w:cs="Times New Roman"/>
          <w:sz w:val="28"/>
          <w:szCs w:val="28"/>
        </w:rPr>
      </w:pPr>
      <w:r w:rsidRPr="006C167F">
        <w:rPr>
          <w:rFonts w:ascii="Times New Roman" w:eastAsia="Times New Roman" w:hAnsi="Times New Roman" w:cs="Times New Roman"/>
          <w:sz w:val="28"/>
          <w:szCs w:val="28"/>
        </w:rPr>
        <w:t>Стратегия утверждается Земским Собранием.</w:t>
      </w:r>
    </w:p>
    <w:p w:rsidR="006C167F" w:rsidRPr="006C167F" w:rsidRDefault="006C167F" w:rsidP="00D527CE">
      <w:pPr>
        <w:tabs>
          <w:tab w:val="left" w:pos="2177"/>
        </w:tabs>
        <w:spacing w:after="0" w:line="240" w:lineRule="auto"/>
        <w:ind w:firstLine="709"/>
        <w:jc w:val="both"/>
        <w:rPr>
          <w:rFonts w:ascii="Times New Roman" w:eastAsia="Times New Roman" w:hAnsi="Times New Roman" w:cs="Times New Roman"/>
          <w:sz w:val="28"/>
          <w:szCs w:val="28"/>
        </w:rPr>
      </w:pPr>
      <w:r w:rsidRPr="006C167F">
        <w:rPr>
          <w:rFonts w:ascii="Times New Roman" w:eastAsia="Times New Roman" w:hAnsi="Times New Roman" w:cs="Times New Roman"/>
          <w:sz w:val="28"/>
          <w:szCs w:val="28"/>
        </w:rPr>
        <w:t xml:space="preserve">Утверждённая Земским Собранием Стратегия социально-экономического развития </w:t>
      </w:r>
      <w:r w:rsidR="00E97C6A">
        <w:rPr>
          <w:rFonts w:ascii="Times New Roman" w:eastAsia="Times New Roman" w:hAnsi="Times New Roman" w:cs="Times New Roman"/>
          <w:sz w:val="28"/>
          <w:szCs w:val="28"/>
        </w:rPr>
        <w:t>Бардымс</w:t>
      </w:r>
      <w:r w:rsidRPr="006C167F">
        <w:rPr>
          <w:rFonts w:ascii="Times New Roman" w:eastAsia="Times New Roman" w:hAnsi="Times New Roman" w:cs="Times New Roman"/>
          <w:sz w:val="28"/>
          <w:szCs w:val="28"/>
        </w:rPr>
        <w:t>кого муниципального района на 201</w:t>
      </w:r>
      <w:r w:rsidR="00D53C12">
        <w:rPr>
          <w:rFonts w:ascii="Times New Roman" w:eastAsia="Times New Roman" w:hAnsi="Times New Roman" w:cs="Times New Roman"/>
          <w:sz w:val="28"/>
          <w:szCs w:val="28"/>
        </w:rPr>
        <w:t>8</w:t>
      </w:r>
      <w:r w:rsidRPr="006C167F">
        <w:rPr>
          <w:rFonts w:ascii="Times New Roman" w:eastAsia="Times New Roman" w:hAnsi="Times New Roman" w:cs="Times New Roman"/>
          <w:sz w:val="28"/>
          <w:szCs w:val="28"/>
        </w:rPr>
        <w:t xml:space="preserve">-2030 годы размещается на официальном сайте Земского собрания в разделе «Решения Земского собрания», на сайте администрации </w:t>
      </w:r>
      <w:r w:rsidR="00E97C6A">
        <w:rPr>
          <w:rFonts w:ascii="Times New Roman" w:eastAsia="Times New Roman" w:hAnsi="Times New Roman" w:cs="Times New Roman"/>
          <w:sz w:val="28"/>
          <w:szCs w:val="28"/>
        </w:rPr>
        <w:t>Бардымского</w:t>
      </w:r>
      <w:r w:rsidRPr="006C167F">
        <w:rPr>
          <w:rFonts w:ascii="Times New Roman" w:eastAsia="Times New Roman" w:hAnsi="Times New Roman" w:cs="Times New Roman"/>
          <w:sz w:val="28"/>
          <w:szCs w:val="28"/>
        </w:rPr>
        <w:t xml:space="preserve"> муниципального района в разделе «Перспективы развития», а также на общедоступном информационном ресурсе стратегического планирования в информационно-телекоммуникационной сети </w:t>
      </w:r>
      <w:r w:rsidR="00D53C12">
        <w:rPr>
          <w:rFonts w:ascii="Times New Roman" w:eastAsia="Times New Roman" w:hAnsi="Times New Roman" w:cs="Times New Roman"/>
          <w:sz w:val="28"/>
          <w:szCs w:val="28"/>
        </w:rPr>
        <w:t>«</w:t>
      </w:r>
      <w:r w:rsidRPr="006C167F">
        <w:rPr>
          <w:rFonts w:ascii="Times New Roman" w:eastAsia="Times New Roman" w:hAnsi="Times New Roman" w:cs="Times New Roman"/>
          <w:sz w:val="28"/>
          <w:szCs w:val="28"/>
        </w:rPr>
        <w:t>Интернет</w:t>
      </w:r>
      <w:r w:rsidR="00D53C12">
        <w:rPr>
          <w:rFonts w:ascii="Times New Roman" w:eastAsia="Times New Roman" w:hAnsi="Times New Roman" w:cs="Times New Roman"/>
          <w:sz w:val="28"/>
          <w:szCs w:val="28"/>
        </w:rPr>
        <w:t>»</w:t>
      </w:r>
      <w:r w:rsidRPr="006C167F">
        <w:rPr>
          <w:rFonts w:ascii="Times New Roman" w:eastAsia="Times New Roman" w:hAnsi="Times New Roman" w:cs="Times New Roman"/>
          <w:sz w:val="28"/>
          <w:szCs w:val="28"/>
        </w:rPr>
        <w:t xml:space="preserve"> (далее - сеть </w:t>
      </w:r>
      <w:r w:rsidR="00D53C12">
        <w:rPr>
          <w:rFonts w:ascii="Times New Roman" w:eastAsia="Times New Roman" w:hAnsi="Times New Roman" w:cs="Times New Roman"/>
          <w:sz w:val="28"/>
          <w:szCs w:val="28"/>
        </w:rPr>
        <w:t>«</w:t>
      </w:r>
      <w:r w:rsidRPr="006C167F">
        <w:rPr>
          <w:rFonts w:ascii="Times New Roman" w:eastAsia="Times New Roman" w:hAnsi="Times New Roman" w:cs="Times New Roman"/>
          <w:sz w:val="28"/>
          <w:szCs w:val="28"/>
        </w:rPr>
        <w:t>Интернет</w:t>
      </w:r>
      <w:r w:rsidR="00D53C12">
        <w:rPr>
          <w:rFonts w:ascii="Times New Roman" w:eastAsia="Times New Roman" w:hAnsi="Times New Roman" w:cs="Times New Roman"/>
          <w:sz w:val="28"/>
          <w:szCs w:val="28"/>
        </w:rPr>
        <w:t>»</w:t>
      </w:r>
      <w:r w:rsidRPr="006C167F">
        <w:rPr>
          <w:rFonts w:ascii="Times New Roman" w:eastAsia="Times New Roman" w:hAnsi="Times New Roman" w:cs="Times New Roman"/>
          <w:sz w:val="28"/>
          <w:szCs w:val="28"/>
        </w:rPr>
        <w:t>).</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Мониторинг и контроль реализации стратегии осуществляют соответствующие направлениям развития подразделения Администрации Бардымского муниципального района Пермского края, а также Земское Собрание </w:t>
      </w:r>
      <w:r w:rsidRPr="00153E07">
        <w:rPr>
          <w:rFonts w:ascii="Times New Roman" w:eastAsia="Times New Roman" w:hAnsi="Times New Roman" w:cs="Times New Roman"/>
          <w:sz w:val="28"/>
          <w:szCs w:val="28"/>
        </w:rPr>
        <w:lastRenderedPageBreak/>
        <w:t>Бардымского муниципального района, Контрольно-счетная палата Бардымского муниципального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Администрация Бардымского муниципального района осуществляет управление Стратегией</w:t>
      </w:r>
      <w:r w:rsidR="006C167F">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и ежегодно через систему количественных и качественных индикативных показателей представляет отчет о ходе ее реализации Земскому Собранию</w:t>
      </w:r>
      <w:r w:rsidR="00F805FA">
        <w:rPr>
          <w:rFonts w:ascii="Times New Roman" w:eastAsia="Times New Roman" w:hAnsi="Times New Roman" w:cs="Times New Roman"/>
          <w:sz w:val="28"/>
          <w:szCs w:val="28"/>
        </w:rPr>
        <w:t xml:space="preserve"> Бардымского района </w:t>
      </w:r>
      <w:r w:rsidRPr="00153E07">
        <w:rPr>
          <w:rFonts w:ascii="Times New Roman" w:eastAsia="Times New Roman" w:hAnsi="Times New Roman" w:cs="Times New Roman"/>
          <w:sz w:val="28"/>
          <w:szCs w:val="28"/>
        </w:rPr>
        <w:t>Пермского края.</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Стратегии социально-экономического развития Бардымского муниципального района используется преимущественно программно-целевой метод управления стратегией. Инструментами реализации Стратегии являются муниципальные целевые программы Бардымского муниципального района. Перечень муниципальных целевых программ Бардымского муниципального района представлен в таблице 3.</w:t>
      </w:r>
      <w:r w:rsidR="00D53C12">
        <w:rPr>
          <w:rFonts w:ascii="Times New Roman" w:eastAsia="Times New Roman" w:hAnsi="Times New Roman" w:cs="Times New Roman"/>
          <w:sz w:val="28"/>
          <w:szCs w:val="28"/>
        </w:rPr>
        <w:t>7</w:t>
      </w:r>
      <w:r w:rsidRPr="00153E07">
        <w:rPr>
          <w:rFonts w:ascii="Times New Roman" w:eastAsia="Times New Roman" w:hAnsi="Times New Roman" w:cs="Times New Roman"/>
          <w:sz w:val="28"/>
          <w:szCs w:val="28"/>
        </w:rPr>
        <w:t>.</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p>
    <w:p w:rsidR="00153E07" w:rsidRPr="00153E07" w:rsidRDefault="00153E07" w:rsidP="00153E07">
      <w:pPr>
        <w:tabs>
          <w:tab w:val="left" w:pos="2177"/>
        </w:tabs>
        <w:spacing w:after="0"/>
        <w:ind w:firstLine="709"/>
        <w:jc w:val="both"/>
        <w:rPr>
          <w:rFonts w:ascii="Times New Roman" w:eastAsia="Times New Roman" w:hAnsi="Times New Roman" w:cs="Times New Roman"/>
          <w:sz w:val="28"/>
          <w:szCs w:val="28"/>
        </w:rPr>
        <w:sectPr w:rsidR="00153E07" w:rsidRPr="00153E07" w:rsidSect="001D3C25">
          <w:pgSz w:w="11906" w:h="16838"/>
          <w:pgMar w:top="851" w:right="567" w:bottom="851" w:left="1418" w:header="709" w:footer="709" w:gutter="0"/>
          <w:cols w:space="708"/>
          <w:docGrid w:linePitch="360"/>
        </w:sectPr>
      </w:pPr>
    </w:p>
    <w:p w:rsidR="00153E07" w:rsidRPr="00153E07" w:rsidRDefault="00153E07" w:rsidP="00F805FA">
      <w:pPr>
        <w:tabs>
          <w:tab w:val="left" w:pos="2177"/>
        </w:tabs>
        <w:spacing w:after="0"/>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Таблица 3.</w:t>
      </w:r>
      <w:r w:rsidR="00CB7DA8">
        <w:rPr>
          <w:rFonts w:ascii="Times New Roman" w:eastAsia="Times New Roman" w:hAnsi="Times New Roman" w:cs="Times New Roman"/>
          <w:sz w:val="28"/>
          <w:szCs w:val="28"/>
        </w:rPr>
        <w:t>7</w:t>
      </w:r>
    </w:p>
    <w:p w:rsidR="00153E07" w:rsidRPr="00F805FA" w:rsidRDefault="00153E07" w:rsidP="00F805FA">
      <w:pPr>
        <w:tabs>
          <w:tab w:val="left" w:pos="2177"/>
        </w:tabs>
        <w:spacing w:after="0"/>
        <w:jc w:val="center"/>
        <w:rPr>
          <w:rFonts w:ascii="Times New Roman" w:eastAsia="Times New Roman" w:hAnsi="Times New Roman" w:cs="Times New Roman"/>
          <w:b/>
          <w:sz w:val="28"/>
          <w:szCs w:val="28"/>
        </w:rPr>
      </w:pPr>
      <w:r w:rsidRPr="00F805FA">
        <w:rPr>
          <w:rFonts w:ascii="Times New Roman" w:eastAsia="Times New Roman" w:hAnsi="Times New Roman" w:cs="Times New Roman"/>
          <w:b/>
          <w:sz w:val="28"/>
          <w:szCs w:val="28"/>
        </w:rPr>
        <w:t>Перечень муниципальных целевых программ Бардымского муниципального района</w:t>
      </w:r>
    </w:p>
    <w:tbl>
      <w:tblPr>
        <w:tblW w:w="4948" w:type="pct"/>
        <w:tblLayout w:type="fixed"/>
        <w:tblLook w:val="04A0"/>
      </w:tblPr>
      <w:tblGrid>
        <w:gridCol w:w="413"/>
        <w:gridCol w:w="1206"/>
        <w:gridCol w:w="1326"/>
        <w:gridCol w:w="2833"/>
        <w:gridCol w:w="1278"/>
        <w:gridCol w:w="1559"/>
        <w:gridCol w:w="1417"/>
      </w:tblGrid>
      <w:tr w:rsidR="000771BA" w:rsidRPr="000771BA" w:rsidTr="000771BA">
        <w:trPr>
          <w:cantSplit/>
          <w:trHeight w:val="1007"/>
        </w:trPr>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771BA" w:rsidRPr="000771BA" w:rsidRDefault="000771BA" w:rsidP="00153E07">
            <w:pPr>
              <w:spacing w:after="0" w:line="240" w:lineRule="auto"/>
              <w:ind w:left="113" w:right="113"/>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Цели</w:t>
            </w:r>
          </w:p>
        </w:tc>
        <w:tc>
          <w:tcPr>
            <w:tcW w:w="601" w:type="pct"/>
            <w:tcBorders>
              <w:top w:val="single" w:sz="4" w:space="0" w:color="auto"/>
              <w:left w:val="nil"/>
              <w:bottom w:val="single" w:sz="4" w:space="0" w:color="auto"/>
              <w:right w:val="single" w:sz="4" w:space="0" w:color="auto"/>
            </w:tcBorders>
            <w:shd w:val="clear" w:color="auto" w:fill="auto"/>
            <w:textDirection w:val="btLr"/>
            <w:vAlign w:val="center"/>
            <w:hideMark/>
          </w:tcPr>
          <w:p w:rsidR="000771BA" w:rsidRPr="000771BA" w:rsidRDefault="000771BA" w:rsidP="00153E07">
            <w:pPr>
              <w:spacing w:after="0" w:line="240" w:lineRule="auto"/>
              <w:ind w:left="113" w:right="113"/>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Задачи</w:t>
            </w:r>
          </w:p>
        </w:tc>
        <w:tc>
          <w:tcPr>
            <w:tcW w:w="661" w:type="pct"/>
            <w:tcBorders>
              <w:top w:val="single" w:sz="4" w:space="0" w:color="auto"/>
              <w:left w:val="nil"/>
              <w:bottom w:val="single" w:sz="4" w:space="0" w:color="auto"/>
              <w:right w:val="single" w:sz="4" w:space="0" w:color="auto"/>
            </w:tcBorders>
            <w:shd w:val="clear" w:color="auto" w:fill="auto"/>
            <w:vAlign w:val="center"/>
            <w:hideMark/>
          </w:tcPr>
          <w:p w:rsidR="000771BA" w:rsidRPr="000771BA" w:rsidRDefault="000771BA" w:rsidP="00153E07">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Программа / Подпрограмма</w:t>
            </w:r>
          </w:p>
        </w:tc>
        <w:tc>
          <w:tcPr>
            <w:tcW w:w="1412" w:type="pct"/>
            <w:tcBorders>
              <w:top w:val="single" w:sz="4" w:space="0" w:color="auto"/>
              <w:left w:val="nil"/>
              <w:bottom w:val="single" w:sz="4" w:space="0" w:color="auto"/>
              <w:right w:val="single" w:sz="4" w:space="0" w:color="auto"/>
            </w:tcBorders>
            <w:shd w:val="clear" w:color="auto" w:fill="auto"/>
            <w:vAlign w:val="center"/>
            <w:hideMark/>
          </w:tcPr>
          <w:p w:rsidR="000771BA" w:rsidRPr="000771BA" w:rsidRDefault="000771BA" w:rsidP="00153E07">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Ожидаемый результат</w:t>
            </w:r>
          </w:p>
        </w:tc>
        <w:tc>
          <w:tcPr>
            <w:tcW w:w="637" w:type="pct"/>
            <w:tcBorders>
              <w:top w:val="single" w:sz="4" w:space="0" w:color="auto"/>
              <w:left w:val="nil"/>
              <w:bottom w:val="single" w:sz="4" w:space="0" w:color="auto"/>
              <w:right w:val="single" w:sz="4" w:space="0" w:color="auto"/>
            </w:tcBorders>
            <w:shd w:val="clear" w:color="auto" w:fill="auto"/>
            <w:vAlign w:val="center"/>
            <w:hideMark/>
          </w:tcPr>
          <w:p w:rsidR="000771BA" w:rsidRPr="000771BA" w:rsidRDefault="000771BA" w:rsidP="00153E07">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Куратор</w:t>
            </w:r>
          </w:p>
        </w:tc>
        <w:tc>
          <w:tcPr>
            <w:tcW w:w="777" w:type="pct"/>
            <w:tcBorders>
              <w:top w:val="single" w:sz="4" w:space="0" w:color="auto"/>
              <w:left w:val="nil"/>
              <w:bottom w:val="single" w:sz="4" w:space="0" w:color="auto"/>
              <w:right w:val="single" w:sz="4" w:space="0" w:color="auto"/>
            </w:tcBorders>
            <w:shd w:val="clear" w:color="auto" w:fill="auto"/>
            <w:vAlign w:val="center"/>
            <w:hideMark/>
          </w:tcPr>
          <w:p w:rsidR="000771BA" w:rsidRPr="000771BA" w:rsidRDefault="000771BA" w:rsidP="00153E07">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Ответственный исполнитель</w:t>
            </w:r>
          </w:p>
        </w:tc>
        <w:tc>
          <w:tcPr>
            <w:tcW w:w="706" w:type="pct"/>
            <w:tcBorders>
              <w:top w:val="single" w:sz="4" w:space="0" w:color="auto"/>
              <w:left w:val="nil"/>
              <w:bottom w:val="single" w:sz="4" w:space="0" w:color="auto"/>
              <w:right w:val="single" w:sz="4" w:space="0" w:color="auto"/>
            </w:tcBorders>
            <w:shd w:val="clear" w:color="auto" w:fill="auto"/>
            <w:vAlign w:val="center"/>
            <w:hideMark/>
          </w:tcPr>
          <w:p w:rsidR="000771BA" w:rsidRPr="000771BA" w:rsidRDefault="000771BA" w:rsidP="00A725FF">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Соисполнитель</w:t>
            </w:r>
          </w:p>
        </w:tc>
      </w:tr>
      <w:tr w:rsidR="000771BA" w:rsidRPr="000771BA" w:rsidTr="000771BA">
        <w:trPr>
          <w:trHeight w:val="2986"/>
        </w:trPr>
        <w:tc>
          <w:tcPr>
            <w:tcW w:w="206"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0771BA" w:rsidRPr="000771BA" w:rsidRDefault="000771BA" w:rsidP="000771BA">
            <w:pPr>
              <w:spacing w:after="0" w:line="240" w:lineRule="auto"/>
              <w:ind w:left="113" w:right="113"/>
              <w:jc w:val="center"/>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Цель: Развитие человеческого потенциала</w:t>
            </w:r>
          </w:p>
        </w:tc>
        <w:tc>
          <w:tcPr>
            <w:tcW w:w="601" w:type="pct"/>
            <w:tcBorders>
              <w:top w:val="nil"/>
              <w:left w:val="nil"/>
              <w:bottom w:val="single" w:sz="4" w:space="0" w:color="auto"/>
              <w:right w:val="single" w:sz="4" w:space="0" w:color="auto"/>
            </w:tcBorders>
            <w:shd w:val="clear" w:color="auto" w:fill="auto"/>
            <w:textDirection w:val="btLr"/>
            <w:vAlign w:val="center"/>
            <w:hideMark/>
          </w:tcPr>
          <w:p w:rsidR="000771BA" w:rsidRPr="000771BA" w:rsidRDefault="000771BA" w:rsidP="000771BA">
            <w:pPr>
              <w:spacing w:after="0" w:line="240" w:lineRule="auto"/>
              <w:ind w:left="113" w:right="113"/>
              <w:jc w:val="center"/>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Развитие образования</w:t>
            </w:r>
          </w:p>
        </w:tc>
        <w:tc>
          <w:tcPr>
            <w:tcW w:w="661"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694978">
            <w:pPr>
              <w:spacing w:after="0" w:line="240" w:lineRule="auto"/>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«Развитие образования Бардымского муниципального района</w:t>
            </w:r>
            <w:r>
              <w:rPr>
                <w:rFonts w:ascii="Times New Roman" w:eastAsia="Times New Roman" w:hAnsi="Times New Roman" w:cs="Times New Roman"/>
                <w:b/>
                <w:color w:val="000000"/>
                <w:vertAlign w:val="superscript"/>
              </w:rPr>
              <w:t xml:space="preserve"> на 2018-2020 годы</w:t>
            </w:r>
            <w:r w:rsidRPr="000771BA">
              <w:rPr>
                <w:rFonts w:ascii="Times New Roman" w:eastAsia="Times New Roman" w:hAnsi="Times New Roman" w:cs="Times New Roman"/>
                <w:b/>
                <w:color w:val="000000"/>
                <w:vertAlign w:val="superscript"/>
              </w:rPr>
              <w:t>»</w:t>
            </w: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hAnsi="Times New Roman" w:cs="Times New Roman"/>
                <w:bCs/>
                <w:vertAlign w:val="superscript"/>
              </w:rPr>
              <w:t>Конечным результатом реализации муниципальной программы является предоставление общедоступного и бесплатного дошкольного, общего образования, дополнительного образования и воспитания детей. Сфера образования является инвестициями в будущее, поскольку молодое поколение, способное к самореализации, к успешной профессиональной деятельности, обеспечит социально-экономическое развитие района, края, страны.</w:t>
            </w:r>
          </w:p>
        </w:tc>
        <w:tc>
          <w:tcPr>
            <w:tcW w:w="637"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Cs/>
                <w:vertAlign w:val="superscript"/>
              </w:rPr>
              <w:t xml:space="preserve">Первый заместитель главы Администрации Бардымского </w:t>
            </w:r>
            <w:r>
              <w:rPr>
                <w:rFonts w:ascii="Times New Roman" w:eastAsia="Times New Roman" w:hAnsi="Times New Roman" w:cs="Times New Roman"/>
                <w:color w:val="000000"/>
                <w:vertAlign w:val="superscript"/>
              </w:rPr>
              <w:t>муниципального района</w:t>
            </w:r>
          </w:p>
        </w:tc>
        <w:tc>
          <w:tcPr>
            <w:tcW w:w="777"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Управление образования Администрации Бардымского муниципального района</w:t>
            </w:r>
          </w:p>
        </w:tc>
        <w:tc>
          <w:tcPr>
            <w:tcW w:w="706"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Cs/>
                <w:vertAlign w:val="superscript"/>
              </w:rPr>
              <w:t xml:space="preserve">Управление культуры Администрации Бардымского </w:t>
            </w:r>
            <w:r>
              <w:rPr>
                <w:rFonts w:ascii="Times New Roman" w:eastAsia="Times New Roman" w:hAnsi="Times New Roman" w:cs="Times New Roman"/>
                <w:color w:val="000000"/>
                <w:vertAlign w:val="superscript"/>
              </w:rPr>
              <w:t>муниципального района</w:t>
            </w:r>
          </w:p>
        </w:tc>
      </w:tr>
      <w:tr w:rsidR="000771BA" w:rsidRPr="000771BA" w:rsidTr="000771BA">
        <w:trPr>
          <w:trHeight w:val="1257"/>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771BA" w:rsidRPr="000771BA" w:rsidRDefault="000771BA" w:rsidP="000771BA">
            <w:pPr>
              <w:spacing w:after="0" w:line="240" w:lineRule="auto"/>
              <w:ind w:left="113" w:right="113"/>
              <w:jc w:val="center"/>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Развитие физической культуры и спорта</w:t>
            </w:r>
          </w:p>
        </w:tc>
        <w:tc>
          <w:tcPr>
            <w:tcW w:w="661"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0771BA" w:rsidP="00694978">
            <w:pPr>
              <w:spacing w:after="0" w:line="240" w:lineRule="auto"/>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«Развитие физической культуры и спорта, пропаганда здорового образа жизни в Бардымском муниципальном районе</w:t>
            </w:r>
            <w:r w:rsidR="00694978">
              <w:rPr>
                <w:rFonts w:ascii="Times New Roman" w:eastAsia="Times New Roman" w:hAnsi="Times New Roman" w:cs="Times New Roman"/>
                <w:b/>
                <w:color w:val="000000"/>
                <w:vertAlign w:val="superscript"/>
              </w:rPr>
              <w:t xml:space="preserve"> на 2018-2020 годы</w:t>
            </w:r>
            <w:r w:rsidRPr="000771BA">
              <w:rPr>
                <w:rFonts w:ascii="Times New Roman" w:eastAsia="Times New Roman" w:hAnsi="Times New Roman" w:cs="Times New Roman"/>
                <w:b/>
                <w:color w:val="000000"/>
                <w:vertAlign w:val="superscript"/>
              </w:rPr>
              <w:t>»</w:t>
            </w: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1. Увеличение численности населения, систематически занимающихся физической культурой и спортом, в том числе детей, подростков и молодежи с 24,5 в 2018 году до 30% в 2020 году.</w:t>
            </w:r>
          </w:p>
        </w:tc>
        <w:tc>
          <w:tcPr>
            <w:tcW w:w="637"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Cs/>
                <w:vertAlign w:val="superscript"/>
              </w:rPr>
              <w:t xml:space="preserve">Первый заместитель главы Администрации Бардымского </w:t>
            </w:r>
            <w:r>
              <w:rPr>
                <w:rFonts w:ascii="Times New Roman" w:eastAsia="Times New Roman" w:hAnsi="Times New Roman" w:cs="Times New Roman"/>
                <w:color w:val="000000"/>
                <w:vertAlign w:val="superscript"/>
              </w:rPr>
              <w:t>муниципального района</w:t>
            </w:r>
          </w:p>
        </w:tc>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694978" w:rsidP="000771BA">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Cs/>
                <w:vertAlign w:val="superscript"/>
              </w:rPr>
              <w:t xml:space="preserve">Управление культуры Администрации Бардымского </w:t>
            </w:r>
            <w:r>
              <w:rPr>
                <w:rFonts w:ascii="Times New Roman" w:eastAsia="Times New Roman" w:hAnsi="Times New Roman" w:cs="Times New Roman"/>
                <w:color w:val="000000"/>
                <w:vertAlign w:val="superscript"/>
              </w:rPr>
              <w:t>муниципального района</w:t>
            </w:r>
          </w:p>
        </w:tc>
        <w:tc>
          <w:tcPr>
            <w:tcW w:w="706"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694978" w:rsidP="000771BA">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Управление образования Администрации Бардымского муниципального района</w:t>
            </w:r>
          </w:p>
        </w:tc>
      </w:tr>
      <w:tr w:rsidR="000771BA" w:rsidRPr="000771BA" w:rsidTr="000771BA">
        <w:trPr>
          <w:trHeight w:val="1064"/>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2. Увеличение числа спортсменов Бардымского муниципального района, завоевавших призовые места на краевых и Всероссийских соревнованиях .</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837"/>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3. Увеличение численности населения, вовлечённых в систему массовых физкультурно-спортивных мероприятий.</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566"/>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4. Увеличение количества вновь построенных и реконструированных спортивных объектов:</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223"/>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4.1. реконструкция стадиона в с.Барда;</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383"/>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4.2. реконструкция хоккейной коробки  в с. Барда;</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694978">
        <w:trPr>
          <w:trHeight w:val="858"/>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4.3. строительство спортивных залов  в с. Новый Ашап, с. Федорки, с. Брюзли, плоскостные сооружения в с, с.Краснояр-I</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1237"/>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5. Увеличение публикаций в средствах массовой информации физкультурно-оздоровительных и спортивных мероприятий, публикаций по пропаганде здорового образа жизни.</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660"/>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6.Увеличение доли учащихся и студентов систематически занимающихся ФКС с 56,9  в 2015 году до 59,1 в 2019 году.</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742"/>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7. Увеличение доли лиц с ограниченными возможностями здоровья занимающихся  ФКС с 1,9  в 2015 году до 13,2 в 2018 году.</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575"/>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0771BA" w:rsidRPr="000771BA" w:rsidRDefault="000771BA" w:rsidP="00694978">
            <w:pPr>
              <w:spacing w:after="0" w:line="240" w:lineRule="auto"/>
              <w:ind w:left="113" w:right="113"/>
              <w:jc w:val="center"/>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Развитие культуры и искусства Бардымского муниципального района</w:t>
            </w:r>
          </w:p>
        </w:tc>
        <w:tc>
          <w:tcPr>
            <w:tcW w:w="661" w:type="pct"/>
            <w:vMerge w:val="restart"/>
            <w:tcBorders>
              <w:top w:val="nil"/>
              <w:left w:val="single" w:sz="4" w:space="0" w:color="auto"/>
              <w:bottom w:val="single" w:sz="4" w:space="0" w:color="000000"/>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«Развитие культуры и искусства Бардымского муниципального района</w:t>
            </w:r>
            <w:r w:rsidR="00694978">
              <w:rPr>
                <w:rFonts w:ascii="Times New Roman" w:eastAsia="Times New Roman" w:hAnsi="Times New Roman" w:cs="Times New Roman"/>
                <w:b/>
                <w:color w:val="000000"/>
                <w:vertAlign w:val="superscript"/>
              </w:rPr>
              <w:t xml:space="preserve"> на 2018-2020 годы</w:t>
            </w:r>
            <w:r w:rsidRPr="000771BA">
              <w:rPr>
                <w:rFonts w:ascii="Times New Roman" w:eastAsia="Times New Roman" w:hAnsi="Times New Roman" w:cs="Times New Roman"/>
                <w:b/>
                <w:color w:val="000000"/>
                <w:vertAlign w:val="superscript"/>
              </w:rPr>
              <w:t>»</w:t>
            </w: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повышение удовлетворенности жителей Бардымского муниципального района качеством предоставления государственных и муниципальных услуг в сфере культуры до 88% к 2020 году;</w:t>
            </w:r>
          </w:p>
        </w:tc>
        <w:tc>
          <w:tcPr>
            <w:tcW w:w="637" w:type="pct"/>
            <w:vMerge w:val="restart"/>
            <w:tcBorders>
              <w:top w:val="nil"/>
              <w:left w:val="single" w:sz="4" w:space="0" w:color="auto"/>
              <w:bottom w:val="single" w:sz="4" w:space="0" w:color="000000"/>
              <w:right w:val="single" w:sz="4" w:space="0" w:color="auto"/>
            </w:tcBorders>
            <w:shd w:val="clear" w:color="auto" w:fill="auto"/>
            <w:vAlign w:val="center"/>
            <w:hideMark/>
          </w:tcPr>
          <w:p w:rsidR="000771BA" w:rsidRPr="000771BA" w:rsidRDefault="00694978" w:rsidP="000771BA">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Cs/>
                <w:vertAlign w:val="superscript"/>
              </w:rPr>
              <w:t xml:space="preserve">Первый заместитель главы Администрации Бардымского </w:t>
            </w:r>
            <w:r>
              <w:rPr>
                <w:rFonts w:ascii="Times New Roman" w:eastAsia="Times New Roman" w:hAnsi="Times New Roman" w:cs="Times New Roman"/>
                <w:color w:val="000000"/>
                <w:vertAlign w:val="superscript"/>
              </w:rPr>
              <w:t>муниципального района</w:t>
            </w:r>
          </w:p>
        </w:tc>
        <w:tc>
          <w:tcPr>
            <w:tcW w:w="777" w:type="pct"/>
            <w:vMerge w:val="restart"/>
            <w:tcBorders>
              <w:top w:val="nil"/>
              <w:left w:val="single" w:sz="4" w:space="0" w:color="auto"/>
              <w:bottom w:val="single" w:sz="4" w:space="0" w:color="000000"/>
              <w:right w:val="single" w:sz="4" w:space="0" w:color="auto"/>
            </w:tcBorders>
            <w:shd w:val="clear" w:color="auto" w:fill="auto"/>
            <w:vAlign w:val="center"/>
            <w:hideMark/>
          </w:tcPr>
          <w:p w:rsidR="000771BA" w:rsidRPr="000771BA" w:rsidRDefault="00694978" w:rsidP="000771BA">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Cs/>
                <w:vertAlign w:val="superscript"/>
              </w:rPr>
              <w:t xml:space="preserve">Управление культуры Администрации Бардымского </w:t>
            </w:r>
            <w:r>
              <w:rPr>
                <w:rFonts w:ascii="Times New Roman" w:eastAsia="Times New Roman" w:hAnsi="Times New Roman" w:cs="Times New Roman"/>
                <w:color w:val="000000"/>
                <w:vertAlign w:val="superscript"/>
              </w:rPr>
              <w:t>муниципального района</w:t>
            </w:r>
          </w:p>
        </w:tc>
        <w:tc>
          <w:tcPr>
            <w:tcW w:w="706" w:type="pct"/>
            <w:vMerge w:val="restart"/>
            <w:tcBorders>
              <w:top w:val="nil"/>
              <w:left w:val="single" w:sz="4" w:space="0" w:color="auto"/>
              <w:bottom w:val="single" w:sz="4" w:space="0" w:color="000000"/>
              <w:right w:val="single" w:sz="4" w:space="0" w:color="auto"/>
            </w:tcBorders>
            <w:shd w:val="clear" w:color="auto" w:fill="auto"/>
            <w:vAlign w:val="center"/>
            <w:hideMark/>
          </w:tcPr>
          <w:p w:rsidR="000771BA" w:rsidRPr="000771BA" w:rsidRDefault="00694978" w:rsidP="000771BA">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Администрация Бардымского муниципального района</w:t>
            </w:r>
          </w:p>
        </w:tc>
      </w:tr>
      <w:tr w:rsidR="000771BA" w:rsidRPr="000771BA" w:rsidTr="00694978">
        <w:trPr>
          <w:trHeight w:val="861"/>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xml:space="preserve">- увеличение количества участников культурно-досуговых мероприятий к 2020 году на 7,2 </w:t>
            </w:r>
            <w:r w:rsidRPr="000771BA">
              <w:rPr>
                <w:rFonts w:ascii="Times New Roman" w:eastAsia="Times New Roman" w:hAnsi="Times New Roman" w:cs="Times New Roman"/>
                <w:i/>
                <w:iCs/>
                <w:color w:val="000000"/>
                <w:vertAlign w:val="superscript"/>
              </w:rPr>
              <w:t>%</w:t>
            </w:r>
            <w:r w:rsidRPr="000771BA">
              <w:rPr>
                <w:rFonts w:ascii="Times New Roman" w:eastAsia="Times New Roman" w:hAnsi="Times New Roman" w:cs="Times New Roman"/>
                <w:color w:val="000000"/>
                <w:vertAlign w:val="superscript"/>
              </w:rPr>
              <w:t xml:space="preserve"> (по сравнению с предыдущим периодом);</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1185"/>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количества библиографических записей в сводном электронном каталоге библиотек России (по сравнению с предыдущим годом) до 2,2 % к 2017 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286"/>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доли публичных библиотек, подключенных к сети «Интернет», (в общем количестве библиотек Бардымского муниципального района) до 100 % к 2020 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1091"/>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доли представленных (во всех формах) зрителю музейных предметов (в общем количестве музейных предметов основного фонда) до 34 % к 2020 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654"/>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доли музеев, имеющих сайт в сети «Интернет», в общем количестве музеев до 100 % к 2020 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553"/>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количества выставочных проектов до 100% к 2020 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691"/>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посещаемости учреждений культуры на 35% к 2020 году (по отношению к 2012 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559"/>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количества виртуальных экспозиции до 2 % к 2020 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570"/>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посещаемости музейных учреждений до 0,45% к 2020 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693"/>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доли посещение музеев Пермского края в вечернее и ночное время до 2% к 2020 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564"/>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количество обменных межмузейных выставок до 2% к 2020 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286"/>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bCs/>
                <w:color w:val="000000"/>
                <w:vertAlign w:val="superscript"/>
              </w:rPr>
              <w:t>- отношение средней заработной платы работников учреждений культуры к средней заработной плате в Бардымском районе – 100,0% к 2020году;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716"/>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bCs/>
                <w:color w:val="000000"/>
                <w:vertAlign w:val="superscript"/>
              </w:rPr>
              <w:t>- увеличение доли детей, привлекаемых к участию в творческих мероприятиях (в общем числе детей) до 4,1 % к 2020 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840"/>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ежегодное количество молодежи, охваченной патриотическими общественными практиками не менее 400 человек;</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910"/>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доли молодежи охваченными общественными добровольческими практиками до 10 % к 2020 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1851"/>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доли объектов культурного наследия, информация о которых внесена в электронную базу данных единого государственного реестра объектов культурного наследия (памятников истории и культуры) народов Российской Федерации, (в общем количестве объектов культурного наследия) до 10 % к 2020 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1908"/>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доли объектов культурного наследия, находящихся в удовлетворительном состоянии (не требуется проведение капитального ремонта), от общего количества объектов культурного наследия, расположенных на территории Бардымского района до 50 % к 2020 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274"/>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количество начатых строек (переносов, реконструкций) объектов инфраструктуры сферы культуры – 2 объекта к 2020 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286"/>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доли инфраструктурных объектов сферы культуры, по которым проведены работы по приведению в нормативное состоянии е до 40 % к 2020году;</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1441"/>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доля граждан, положительно оценивающих состояние межнациональных отношений, в общем количестве граждан Российской Федерации, проживающих в Пермском крае муниципального района – 89,3%;</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696"/>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уровень толерантного отношения к представителям другой национальности – 90,3%;</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990"/>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численность участников мероприятий, направленных на этнокультурное развитие народов России и поддержку языкового многообразия – 103%;</w:t>
            </w:r>
          </w:p>
        </w:tc>
        <w:tc>
          <w:tcPr>
            <w:tcW w:w="63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D804FD">
        <w:trPr>
          <w:cantSplit/>
          <w:trHeight w:val="3517"/>
        </w:trPr>
        <w:tc>
          <w:tcPr>
            <w:tcW w:w="206"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tcBorders>
              <w:top w:val="nil"/>
              <w:left w:val="nil"/>
              <w:bottom w:val="single" w:sz="4" w:space="0" w:color="auto"/>
              <w:right w:val="single" w:sz="4" w:space="0" w:color="auto"/>
            </w:tcBorders>
            <w:shd w:val="clear" w:color="auto" w:fill="auto"/>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Повышение эффективности муниципального управления в Бардымском муниципальном районе</w:t>
            </w:r>
          </w:p>
        </w:tc>
        <w:tc>
          <w:tcPr>
            <w:tcW w:w="661"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«Профессиональная переподготовка и повышения квалификации кадров Бардымского муниципального района</w:t>
            </w:r>
            <w:r w:rsidR="00CB02E5">
              <w:rPr>
                <w:rFonts w:ascii="Times New Roman" w:eastAsia="Times New Roman" w:hAnsi="Times New Roman" w:cs="Times New Roman"/>
                <w:b/>
                <w:color w:val="000000"/>
                <w:vertAlign w:val="superscript"/>
              </w:rPr>
              <w:t xml:space="preserve"> на 2018-2020 годы</w:t>
            </w:r>
            <w:r w:rsidRPr="000771BA">
              <w:rPr>
                <w:rFonts w:ascii="Times New Roman" w:eastAsia="Times New Roman" w:hAnsi="Times New Roman" w:cs="Times New Roman"/>
                <w:b/>
                <w:color w:val="000000"/>
                <w:vertAlign w:val="superscript"/>
              </w:rPr>
              <w:t>»</w:t>
            </w:r>
          </w:p>
        </w:tc>
        <w:tc>
          <w:tcPr>
            <w:tcW w:w="1412" w:type="pct"/>
            <w:tcBorders>
              <w:top w:val="nil"/>
              <w:left w:val="nil"/>
              <w:bottom w:val="single" w:sz="4" w:space="0" w:color="auto"/>
              <w:right w:val="single" w:sz="4" w:space="0" w:color="auto"/>
            </w:tcBorders>
            <w:shd w:val="clear" w:color="auto" w:fill="auto"/>
            <w:vAlign w:val="center"/>
            <w:hideMark/>
          </w:tcPr>
          <w:p w:rsid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Формирование системы профессионального и личностного роста муниципальных служащих и работников Администрации Бардымского муниципального района Пермского края, ее структурных подразделений и администраций сельских поселений Бардымского муниципального района Пермского края</w:t>
            </w:r>
          </w:p>
          <w:p w:rsidR="00694978" w:rsidRDefault="00694978" w:rsidP="000771BA">
            <w:pPr>
              <w:spacing w:after="0" w:line="240" w:lineRule="auto"/>
              <w:jc w:val="both"/>
              <w:rPr>
                <w:rFonts w:ascii="Times New Roman" w:eastAsia="Times New Roman" w:hAnsi="Times New Roman" w:cs="Times New Roman"/>
                <w:color w:val="000000"/>
                <w:vertAlign w:val="superscript"/>
              </w:rPr>
            </w:pPr>
          </w:p>
          <w:p w:rsidR="00694978" w:rsidRDefault="00694978" w:rsidP="000771BA">
            <w:pPr>
              <w:spacing w:after="0" w:line="240" w:lineRule="auto"/>
              <w:jc w:val="both"/>
              <w:rPr>
                <w:rFonts w:ascii="Times New Roman" w:eastAsia="Times New Roman" w:hAnsi="Times New Roman" w:cs="Times New Roman"/>
                <w:color w:val="000000"/>
                <w:vertAlign w:val="superscript"/>
              </w:rPr>
            </w:pPr>
          </w:p>
          <w:p w:rsidR="00694978" w:rsidRDefault="00694978" w:rsidP="000771BA">
            <w:pPr>
              <w:spacing w:after="0" w:line="240" w:lineRule="auto"/>
              <w:jc w:val="both"/>
              <w:rPr>
                <w:rFonts w:ascii="Times New Roman" w:eastAsia="Times New Roman" w:hAnsi="Times New Roman" w:cs="Times New Roman"/>
                <w:color w:val="000000"/>
                <w:vertAlign w:val="superscript"/>
              </w:rPr>
            </w:pPr>
          </w:p>
          <w:p w:rsidR="00694978" w:rsidRPr="000771BA" w:rsidRDefault="00694978" w:rsidP="000771BA">
            <w:pPr>
              <w:spacing w:after="0" w:line="240" w:lineRule="auto"/>
              <w:jc w:val="both"/>
              <w:rPr>
                <w:rFonts w:ascii="Times New Roman" w:eastAsia="Times New Roman" w:hAnsi="Times New Roman" w:cs="Times New Roman"/>
                <w:color w:val="000000"/>
                <w:vertAlign w:val="superscript"/>
              </w:rPr>
            </w:pPr>
          </w:p>
        </w:tc>
        <w:tc>
          <w:tcPr>
            <w:tcW w:w="637" w:type="pct"/>
            <w:tcBorders>
              <w:top w:val="nil"/>
              <w:left w:val="nil"/>
              <w:bottom w:val="single" w:sz="4" w:space="0" w:color="auto"/>
              <w:right w:val="single" w:sz="4" w:space="0" w:color="auto"/>
            </w:tcBorders>
            <w:shd w:val="clear" w:color="auto" w:fill="auto"/>
            <w:vAlign w:val="center"/>
            <w:hideMark/>
          </w:tcPr>
          <w:p w:rsidR="000771BA" w:rsidRPr="000771BA" w:rsidRDefault="00694978" w:rsidP="00CB02E5">
            <w:pPr>
              <w:spacing w:after="0" w:line="240" w:lineRule="auto"/>
              <w:rPr>
                <w:rFonts w:ascii="Times New Roman" w:eastAsia="Times New Roman" w:hAnsi="Times New Roman" w:cs="Times New Roman"/>
                <w:color w:val="000000"/>
                <w:vertAlign w:val="superscript"/>
              </w:rPr>
            </w:pPr>
            <w:r>
              <w:rPr>
                <w:rFonts w:ascii="Times New Roman" w:hAnsi="Times New Roman" w:cs="Times New Roman"/>
                <w:bCs/>
                <w:vertAlign w:val="superscript"/>
              </w:rPr>
              <w:t xml:space="preserve">Управляющий делами  Администрации Бардымского </w:t>
            </w:r>
            <w:r>
              <w:rPr>
                <w:rFonts w:ascii="Times New Roman" w:eastAsia="Times New Roman" w:hAnsi="Times New Roman" w:cs="Times New Roman"/>
                <w:color w:val="000000"/>
                <w:vertAlign w:val="superscript"/>
              </w:rPr>
              <w:t>муниципального района</w:t>
            </w:r>
          </w:p>
        </w:tc>
        <w:tc>
          <w:tcPr>
            <w:tcW w:w="777" w:type="pct"/>
            <w:tcBorders>
              <w:top w:val="nil"/>
              <w:left w:val="nil"/>
              <w:bottom w:val="single" w:sz="4" w:space="0" w:color="auto"/>
              <w:right w:val="single" w:sz="4" w:space="0" w:color="auto"/>
            </w:tcBorders>
            <w:shd w:val="clear" w:color="auto" w:fill="auto"/>
            <w:vAlign w:val="center"/>
            <w:hideMark/>
          </w:tcPr>
          <w:p w:rsidR="000771BA" w:rsidRPr="000771BA" w:rsidRDefault="00694978" w:rsidP="00CB02E5">
            <w:pPr>
              <w:spacing w:after="0" w:line="240" w:lineRule="auto"/>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Юридический отдел Администрации Бардымского муниципального района</w:t>
            </w:r>
          </w:p>
        </w:tc>
        <w:tc>
          <w:tcPr>
            <w:tcW w:w="706"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FC19C0">
        <w:trPr>
          <w:trHeight w:val="717"/>
        </w:trPr>
        <w:tc>
          <w:tcPr>
            <w:tcW w:w="206"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771BA" w:rsidRPr="000771BA" w:rsidRDefault="000771BA" w:rsidP="00694978">
            <w:pPr>
              <w:spacing w:after="0" w:line="240" w:lineRule="auto"/>
              <w:ind w:left="113" w:right="113"/>
              <w:jc w:val="center"/>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lastRenderedPageBreak/>
              <w:t>Экономическое развитие</w:t>
            </w:r>
          </w:p>
        </w:tc>
        <w:tc>
          <w:tcPr>
            <w:tcW w:w="60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771BA" w:rsidRPr="000771BA" w:rsidRDefault="000771BA" w:rsidP="00694978">
            <w:pPr>
              <w:spacing w:after="0" w:line="240" w:lineRule="auto"/>
              <w:ind w:left="113" w:right="113"/>
              <w:jc w:val="center"/>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Повышение занятости, доходов и качества жизни сельского населения, рост доходности и эффективности сельскохозяйственных товаропроизводителей</w:t>
            </w:r>
          </w:p>
        </w:tc>
        <w:tc>
          <w:tcPr>
            <w:tcW w:w="661"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D804FD" w:rsidP="00CB02E5">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w:t>
            </w:r>
            <w:r>
              <w:rPr>
                <w:rFonts w:ascii="Times New Roman" w:eastAsia="Times New Roman" w:hAnsi="Times New Roman" w:cs="Times New Roman"/>
                <w:b/>
                <w:color w:val="000000"/>
                <w:vertAlign w:val="superscript"/>
              </w:rPr>
              <w:t>Создание условий для устойчивого экономического развития</w:t>
            </w:r>
            <w:r w:rsidR="00CB02E5">
              <w:rPr>
                <w:rFonts w:ascii="Times New Roman" w:eastAsia="Times New Roman" w:hAnsi="Times New Roman" w:cs="Times New Roman"/>
                <w:b/>
                <w:color w:val="000000"/>
                <w:vertAlign w:val="superscript"/>
              </w:rPr>
              <w:t>»</w:t>
            </w:r>
            <w:r>
              <w:rPr>
                <w:rFonts w:ascii="Times New Roman" w:eastAsia="Times New Roman" w:hAnsi="Times New Roman" w:cs="Times New Roman"/>
                <w:b/>
                <w:color w:val="000000"/>
                <w:vertAlign w:val="superscript"/>
              </w:rPr>
              <w:t xml:space="preserve"> на 2018-2020 годы / </w:t>
            </w:r>
            <w:r w:rsidRPr="00CB02E5">
              <w:rPr>
                <w:rFonts w:ascii="Times New Roman" w:eastAsia="Times New Roman" w:hAnsi="Times New Roman" w:cs="Times New Roman"/>
                <w:color w:val="000000"/>
                <w:vertAlign w:val="superscript"/>
              </w:rPr>
              <w:t>Подпрограмма «Развитие сельского хозяйства Бардымского муниципального района»</w:t>
            </w: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освоение интенсивных технологий в растениеводстве;</w:t>
            </w:r>
          </w:p>
        </w:tc>
        <w:tc>
          <w:tcPr>
            <w:tcW w:w="637"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C313FA" w:rsidP="00CB02E5">
            <w:pPr>
              <w:spacing w:after="0" w:line="240" w:lineRule="auto"/>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Заместитель главы Администрации Бардымского муниципального района по экономическому развитию</w:t>
            </w:r>
          </w:p>
        </w:tc>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C313FA" w:rsidP="00CB02E5">
            <w:pPr>
              <w:spacing w:after="0" w:line="240" w:lineRule="auto"/>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Управление сельского хозяйства и потребительского рынка Администрации Бардымского муниципального района</w:t>
            </w:r>
          </w:p>
        </w:tc>
        <w:tc>
          <w:tcPr>
            <w:tcW w:w="706"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694978">
        <w:trPr>
          <w:trHeight w:val="749"/>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xml:space="preserve">- </w:t>
            </w:r>
            <w:r w:rsidRPr="00FC19C0">
              <w:rPr>
                <w:rFonts w:ascii="Times New Roman" w:eastAsia="Times New Roman" w:hAnsi="Times New Roman" w:cs="Times New Roman"/>
                <w:color w:val="000000"/>
                <w:vertAlign w:val="superscript"/>
              </w:rPr>
              <w:t>увеличение</w:t>
            </w:r>
            <w:r w:rsidRPr="000771BA">
              <w:rPr>
                <w:rFonts w:ascii="Times New Roman" w:eastAsia="Times New Roman" w:hAnsi="Times New Roman" w:cs="Times New Roman"/>
                <w:color w:val="000000"/>
                <w:vertAlign w:val="superscript"/>
              </w:rPr>
              <w:t xml:space="preserve"> внесения минеральных удобрений и выполнение работ по защите растений от вредителей и болезней;</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694978">
        <w:trPr>
          <w:trHeight w:val="816"/>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переход на посев перспективных высокоурожайных сортов, повышение качества производимой продукции;</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FC19C0">
        <w:trPr>
          <w:trHeight w:val="874"/>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посевных площадей сельскохозяйственных культур, а также озимых и зернобобовых культур;</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FC19C0">
        <w:trPr>
          <w:trHeight w:val="716"/>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решение задач ускоренного наращивания производства мяса и молока;</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694978">
        <w:trPr>
          <w:trHeight w:val="974"/>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сохранение уровня занятости в сельском хозяйстве, повышение имиджа и профессиональной привлекательности сельскохозяйственной отрасли;</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FC19C0">
        <w:trPr>
          <w:trHeight w:val="1008"/>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D804FD">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повышение доходов и качества жизни сельского населения Бардымского муниципального района;</w:t>
            </w:r>
            <w:r w:rsidR="00D804FD">
              <w:rPr>
                <w:rFonts w:ascii="Times New Roman" w:eastAsia="Times New Roman" w:hAnsi="Times New Roman" w:cs="Times New Roman"/>
                <w:color w:val="000000"/>
                <w:vertAlign w:val="superscript"/>
              </w:rPr>
              <w:t xml:space="preserve"> </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FC19C0">
        <w:trPr>
          <w:trHeight w:val="751"/>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числа субъектов малых форм хозяйствования в сельской местности;</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FC19C0">
        <w:trPr>
          <w:trHeight w:val="914"/>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содействие росту доходности и эффективности деятельности субъектов малых форм хозяйствования;</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FC19C0">
        <w:trPr>
          <w:trHeight w:val="1125"/>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привлечение инвестиций из внебюджетных источников (собственных, заемных);</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FC19C0">
        <w:trPr>
          <w:trHeight w:val="1124"/>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проведение сельскохозяйственных ярмарок с целью привлечения на них участников из числа МФХ;</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FC19C0">
        <w:trPr>
          <w:trHeight w:val="1124"/>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выполнение задач и достижение предусмотренных подпрограммами показателей, эффективность реализации подпрограмм;</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FC19C0">
        <w:trPr>
          <w:trHeight w:val="86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объем привлечения федеральных и краевых бюджетных средств;</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FC19C0">
        <w:trPr>
          <w:trHeight w:val="1269"/>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nil"/>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повышение качества оказания государственных услуг, выполнения работ и исполнения государственных функций в сфере развития сельского хозяйства</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CB02E5" w:rsidRPr="000771BA" w:rsidTr="00C313FA">
        <w:trPr>
          <w:trHeight w:val="1000"/>
        </w:trPr>
        <w:tc>
          <w:tcPr>
            <w:tcW w:w="206" w:type="pct"/>
            <w:vMerge/>
            <w:tcBorders>
              <w:top w:val="nil"/>
              <w:left w:val="single" w:sz="4" w:space="0" w:color="auto"/>
              <w:bottom w:val="single" w:sz="4" w:space="0" w:color="auto"/>
              <w:right w:val="single" w:sz="4" w:space="0" w:color="auto"/>
            </w:tcBorders>
            <w:textDirection w:val="btLr"/>
            <w:vAlign w:val="center"/>
            <w:hideMark/>
          </w:tcPr>
          <w:p w:rsidR="00CB02E5" w:rsidRPr="000771BA" w:rsidRDefault="00CB02E5"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B02E5" w:rsidRPr="000771BA" w:rsidRDefault="00CB02E5" w:rsidP="00FC19C0">
            <w:pPr>
              <w:spacing w:after="0" w:line="240" w:lineRule="auto"/>
              <w:ind w:left="113" w:right="113"/>
              <w:jc w:val="center"/>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Создание благоприятных условий способствующих развитию СМСП, увеличению количества зарегистрированных СМСП и объемов, производимых ими товаров (работ, услуг), росту налогооблагаемой базы.</w:t>
            </w:r>
          </w:p>
        </w:tc>
        <w:tc>
          <w:tcPr>
            <w:tcW w:w="661" w:type="pct"/>
            <w:vMerge w:val="restart"/>
            <w:tcBorders>
              <w:top w:val="nil"/>
              <w:left w:val="single" w:sz="4" w:space="0" w:color="auto"/>
              <w:bottom w:val="single" w:sz="4" w:space="0" w:color="auto"/>
              <w:right w:val="nil"/>
            </w:tcBorders>
            <w:shd w:val="clear" w:color="auto" w:fill="auto"/>
            <w:vAlign w:val="center"/>
            <w:hideMark/>
          </w:tcPr>
          <w:p w:rsidR="00CB02E5" w:rsidRPr="000771BA" w:rsidRDefault="00CB02E5" w:rsidP="00CB02E5">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w:t>
            </w:r>
            <w:r>
              <w:rPr>
                <w:rFonts w:ascii="Times New Roman" w:eastAsia="Times New Roman" w:hAnsi="Times New Roman" w:cs="Times New Roman"/>
                <w:b/>
                <w:color w:val="000000"/>
                <w:vertAlign w:val="superscript"/>
              </w:rPr>
              <w:t xml:space="preserve">униципальная программа </w:t>
            </w:r>
            <w:r w:rsidRPr="000771BA">
              <w:rPr>
                <w:rFonts w:ascii="Times New Roman" w:eastAsia="Times New Roman" w:hAnsi="Times New Roman" w:cs="Times New Roman"/>
                <w:b/>
                <w:color w:val="000000"/>
                <w:vertAlign w:val="superscript"/>
              </w:rPr>
              <w:t>«</w:t>
            </w:r>
            <w:r w:rsidRPr="00C313FA">
              <w:rPr>
                <w:rFonts w:ascii="Times New Roman" w:eastAsia="Times New Roman" w:hAnsi="Times New Roman" w:cs="Times New Roman"/>
                <w:b/>
                <w:color w:val="000000"/>
                <w:vertAlign w:val="superscript"/>
              </w:rPr>
              <w:t>Создание</w:t>
            </w:r>
            <w:r>
              <w:rPr>
                <w:rFonts w:ascii="Times New Roman" w:eastAsia="Times New Roman" w:hAnsi="Times New Roman" w:cs="Times New Roman"/>
                <w:b/>
                <w:color w:val="000000"/>
                <w:vertAlign w:val="superscript"/>
              </w:rPr>
              <w:t xml:space="preserve"> условий для устойчивого экономического развития» на 2018-2020 годы / </w:t>
            </w:r>
            <w:r w:rsidRPr="00CB02E5">
              <w:rPr>
                <w:rFonts w:ascii="Times New Roman" w:eastAsia="Times New Roman" w:hAnsi="Times New Roman" w:cs="Times New Roman"/>
                <w:color w:val="000000"/>
                <w:vertAlign w:val="superscript"/>
              </w:rPr>
              <w:t>Подпрограмма «Развитие малого и среднего предпринимательства Бардымского муниципального района»</w:t>
            </w:r>
          </w:p>
        </w:tc>
        <w:tc>
          <w:tcPr>
            <w:tcW w:w="1412" w:type="pct"/>
            <w:tcBorders>
              <w:top w:val="single" w:sz="4" w:space="0" w:color="auto"/>
              <w:left w:val="single" w:sz="4" w:space="0" w:color="auto"/>
              <w:bottom w:val="single" w:sz="4" w:space="0" w:color="auto"/>
              <w:right w:val="single" w:sz="4" w:space="0" w:color="auto"/>
            </w:tcBorders>
            <w:shd w:val="clear" w:color="auto" w:fill="auto"/>
            <w:hideMark/>
          </w:tcPr>
          <w:p w:rsidR="00CB02E5" w:rsidRPr="000771BA" w:rsidRDefault="00CB02E5"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количество субъектов малого и среднего предпринимательства, получивших финансовую поддержку (2 в год)</w:t>
            </w:r>
          </w:p>
        </w:tc>
        <w:tc>
          <w:tcPr>
            <w:tcW w:w="637" w:type="pct"/>
            <w:vMerge w:val="restart"/>
            <w:tcBorders>
              <w:top w:val="nil"/>
              <w:left w:val="nil"/>
              <w:bottom w:val="single" w:sz="4" w:space="0" w:color="auto"/>
              <w:right w:val="single" w:sz="4" w:space="0" w:color="auto"/>
            </w:tcBorders>
            <w:shd w:val="clear" w:color="auto" w:fill="auto"/>
            <w:vAlign w:val="center"/>
            <w:hideMark/>
          </w:tcPr>
          <w:p w:rsidR="00CB02E5" w:rsidRPr="000771BA" w:rsidRDefault="00CB02E5" w:rsidP="00CB02E5">
            <w:pPr>
              <w:spacing w:after="0" w:line="240" w:lineRule="auto"/>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Заместитель главы Администрации Бардымского муниципального района по экономическому развитию</w:t>
            </w:r>
          </w:p>
        </w:tc>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rsidR="00CB02E5" w:rsidRPr="000771BA" w:rsidRDefault="00CB02E5" w:rsidP="00CB02E5">
            <w:pPr>
              <w:spacing w:after="0" w:line="240" w:lineRule="auto"/>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Управление сельского хозяйства и потребительского рынка Администрации Бардымского муниципального района</w:t>
            </w:r>
          </w:p>
        </w:tc>
        <w:tc>
          <w:tcPr>
            <w:tcW w:w="706" w:type="pct"/>
            <w:vMerge w:val="restart"/>
            <w:tcBorders>
              <w:top w:val="nil"/>
              <w:left w:val="single" w:sz="4" w:space="0" w:color="auto"/>
              <w:bottom w:val="single" w:sz="4" w:space="0" w:color="auto"/>
              <w:right w:val="single" w:sz="4" w:space="0" w:color="auto"/>
            </w:tcBorders>
            <w:shd w:val="clear" w:color="auto" w:fill="auto"/>
            <w:vAlign w:val="center"/>
            <w:hideMark/>
          </w:tcPr>
          <w:p w:rsidR="00CB02E5" w:rsidRPr="000771BA" w:rsidRDefault="00CB02E5"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462"/>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nil"/>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single" w:sz="4" w:space="0" w:color="auto"/>
              <w:bottom w:val="single" w:sz="4" w:space="0" w:color="auto"/>
              <w:right w:val="single" w:sz="4" w:space="0" w:color="auto"/>
            </w:tcBorders>
            <w:shd w:val="clear" w:color="auto" w:fill="auto"/>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количество проведенных мероприятий (3 в год)</w:t>
            </w:r>
          </w:p>
        </w:tc>
        <w:tc>
          <w:tcPr>
            <w:tcW w:w="637" w:type="pct"/>
            <w:vMerge/>
            <w:tcBorders>
              <w:top w:val="nil"/>
              <w:left w:val="nil"/>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71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nil"/>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single" w:sz="4" w:space="0" w:color="auto"/>
              <w:bottom w:val="single" w:sz="4" w:space="0" w:color="auto"/>
              <w:right w:val="single" w:sz="4" w:space="0" w:color="auto"/>
            </w:tcBorders>
            <w:shd w:val="clear" w:color="auto" w:fill="auto"/>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количества субъектов, получивших консультационную поддержку до 230 к 2020г.</w:t>
            </w:r>
          </w:p>
        </w:tc>
        <w:tc>
          <w:tcPr>
            <w:tcW w:w="637" w:type="pct"/>
            <w:vMerge/>
            <w:tcBorders>
              <w:top w:val="nil"/>
              <w:left w:val="nil"/>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CB02E5">
        <w:trPr>
          <w:trHeight w:val="1259"/>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nil"/>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single" w:sz="4" w:space="0" w:color="auto"/>
              <w:bottom w:val="single" w:sz="4" w:space="0" w:color="auto"/>
              <w:right w:val="single" w:sz="4" w:space="0" w:color="auto"/>
            </w:tcBorders>
            <w:shd w:val="clear" w:color="auto" w:fill="auto"/>
            <w:hideMark/>
          </w:tcPr>
          <w:p w:rsidR="000771BA" w:rsidRPr="000771BA" w:rsidRDefault="000771BA" w:rsidP="00C313FA">
            <w:pPr>
              <w:spacing w:after="0" w:line="240" w:lineRule="auto"/>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количество организаций, образующих инфраструктуру поддержки субъектов малого и среднего предпринимательства, получивших поддержку (1 в год)</w:t>
            </w:r>
          </w:p>
        </w:tc>
        <w:tc>
          <w:tcPr>
            <w:tcW w:w="637" w:type="pct"/>
            <w:vMerge/>
            <w:tcBorders>
              <w:top w:val="nil"/>
              <w:left w:val="nil"/>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497"/>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nil"/>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single" w:sz="4" w:space="0" w:color="auto"/>
              <w:bottom w:val="single" w:sz="4" w:space="0" w:color="auto"/>
              <w:right w:val="single" w:sz="4" w:space="0" w:color="auto"/>
            </w:tcBorders>
            <w:shd w:val="clear" w:color="auto" w:fill="auto"/>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количество субъектов, получивших имущественную поддержку (1 в год)</w:t>
            </w:r>
          </w:p>
        </w:tc>
        <w:tc>
          <w:tcPr>
            <w:tcW w:w="637" w:type="pct"/>
            <w:vMerge/>
            <w:tcBorders>
              <w:top w:val="nil"/>
              <w:left w:val="nil"/>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83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nil"/>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single" w:sz="4" w:space="0" w:color="auto"/>
              <w:bottom w:val="single" w:sz="4" w:space="0" w:color="auto"/>
              <w:right w:val="single" w:sz="4" w:space="0" w:color="auto"/>
            </w:tcBorders>
            <w:shd w:val="clear" w:color="auto" w:fill="auto"/>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количества зарегистрированных субъектов малого и среднего предпринимательства до 680 к 2020 г.</w:t>
            </w:r>
          </w:p>
        </w:tc>
        <w:tc>
          <w:tcPr>
            <w:tcW w:w="637" w:type="pct"/>
            <w:vMerge/>
            <w:tcBorders>
              <w:top w:val="nil"/>
              <w:left w:val="nil"/>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CB02E5" w:rsidRPr="000771BA" w:rsidTr="000771BA">
        <w:trPr>
          <w:trHeight w:val="1325"/>
        </w:trPr>
        <w:tc>
          <w:tcPr>
            <w:tcW w:w="206" w:type="pct"/>
            <w:vMerge/>
            <w:tcBorders>
              <w:top w:val="nil"/>
              <w:left w:val="single" w:sz="4" w:space="0" w:color="auto"/>
              <w:bottom w:val="single" w:sz="4" w:space="0" w:color="auto"/>
              <w:right w:val="single" w:sz="4" w:space="0" w:color="auto"/>
            </w:tcBorders>
            <w:textDirection w:val="btLr"/>
            <w:vAlign w:val="center"/>
            <w:hideMark/>
          </w:tcPr>
          <w:p w:rsidR="00CB02E5" w:rsidRPr="000771BA" w:rsidRDefault="00CB02E5"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CB02E5" w:rsidRPr="000771BA" w:rsidRDefault="00CB02E5" w:rsidP="000771BA">
            <w:pPr>
              <w:spacing w:after="0" w:line="240" w:lineRule="auto"/>
              <w:ind w:left="113" w:right="113"/>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Улучшение условий жизнедеятельности, инвестиционного климата в сфере АПК за счет реализации инфраструктурных мероприятий в рамках программы, содействие созданию высокотехнологичных рабочих мест, активизация участия граждан в решении вопросов местного значения, формирование в Пермском крае позитивного отношения к развитию сельских территорий Бардымского района</w:t>
            </w:r>
          </w:p>
        </w:tc>
        <w:tc>
          <w:tcPr>
            <w:tcW w:w="661" w:type="pct"/>
            <w:vMerge w:val="restart"/>
            <w:tcBorders>
              <w:top w:val="nil"/>
              <w:left w:val="single" w:sz="4" w:space="0" w:color="auto"/>
              <w:bottom w:val="single" w:sz="4" w:space="0" w:color="auto"/>
              <w:right w:val="single" w:sz="4" w:space="0" w:color="auto"/>
            </w:tcBorders>
            <w:shd w:val="clear" w:color="auto" w:fill="auto"/>
            <w:vAlign w:val="center"/>
            <w:hideMark/>
          </w:tcPr>
          <w:p w:rsidR="00CB02E5" w:rsidRPr="000771BA" w:rsidRDefault="00CB02E5" w:rsidP="000771BA">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«Создание условий для устойчивого экономического развития»</w:t>
            </w:r>
            <w:r>
              <w:rPr>
                <w:rFonts w:ascii="Times New Roman" w:eastAsia="Times New Roman" w:hAnsi="Times New Roman" w:cs="Times New Roman"/>
                <w:b/>
                <w:color w:val="000000"/>
                <w:vertAlign w:val="superscript"/>
              </w:rPr>
              <w:t xml:space="preserve"> на 2018-2020 годы</w:t>
            </w:r>
            <w:r w:rsidRPr="000771BA">
              <w:rPr>
                <w:rFonts w:ascii="Times New Roman" w:eastAsia="Times New Roman" w:hAnsi="Times New Roman" w:cs="Times New Roman"/>
                <w:b/>
                <w:color w:val="000000"/>
                <w:vertAlign w:val="superscript"/>
              </w:rPr>
              <w:t xml:space="preserve"> / </w:t>
            </w:r>
            <w:r w:rsidRPr="00CB02E5">
              <w:rPr>
                <w:rFonts w:ascii="Times New Roman" w:eastAsia="Times New Roman" w:hAnsi="Times New Roman" w:cs="Times New Roman"/>
                <w:color w:val="000000"/>
                <w:vertAlign w:val="superscript"/>
              </w:rPr>
              <w:t>Подпрограмма «Устойчивое развитие сельских территорий Бардымского муниципального района»</w:t>
            </w:r>
          </w:p>
        </w:tc>
        <w:tc>
          <w:tcPr>
            <w:tcW w:w="1412" w:type="pct"/>
            <w:tcBorders>
              <w:top w:val="nil"/>
              <w:left w:val="nil"/>
              <w:bottom w:val="single" w:sz="4" w:space="0" w:color="auto"/>
              <w:right w:val="single" w:sz="4" w:space="0" w:color="auto"/>
            </w:tcBorders>
            <w:shd w:val="clear" w:color="auto" w:fill="auto"/>
            <w:vAlign w:val="center"/>
            <w:hideMark/>
          </w:tcPr>
          <w:p w:rsidR="00CB02E5" w:rsidRPr="000771BA" w:rsidRDefault="00CB02E5"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улучшение жилищных условий участников подпрограммы с использованием средств социальной выплаты 13сельских семей, в том числе 9 молодых семей и молодых специалистов;</w:t>
            </w:r>
          </w:p>
        </w:tc>
        <w:tc>
          <w:tcPr>
            <w:tcW w:w="637" w:type="pct"/>
            <w:vMerge w:val="restart"/>
            <w:tcBorders>
              <w:top w:val="nil"/>
              <w:left w:val="single" w:sz="4" w:space="0" w:color="auto"/>
              <w:bottom w:val="single" w:sz="4" w:space="0" w:color="auto"/>
              <w:right w:val="single" w:sz="4" w:space="0" w:color="auto"/>
            </w:tcBorders>
            <w:shd w:val="clear" w:color="auto" w:fill="auto"/>
            <w:vAlign w:val="center"/>
            <w:hideMark/>
          </w:tcPr>
          <w:p w:rsidR="00CB02E5" w:rsidRPr="000771BA" w:rsidRDefault="00CB02E5" w:rsidP="00EE5A09">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Заместитель главы Администрации Бардымского муниципального района по экономическому развитию</w:t>
            </w:r>
          </w:p>
        </w:tc>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rsidR="00CB02E5" w:rsidRPr="000771BA" w:rsidRDefault="00CB02E5" w:rsidP="00EE5A09">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Управление сельского хозяйства и потребительского рынка Администрации Бардымского муниципального района</w:t>
            </w:r>
          </w:p>
        </w:tc>
        <w:tc>
          <w:tcPr>
            <w:tcW w:w="706" w:type="pct"/>
            <w:vMerge w:val="restart"/>
            <w:tcBorders>
              <w:top w:val="nil"/>
              <w:left w:val="single" w:sz="4" w:space="0" w:color="auto"/>
              <w:bottom w:val="single" w:sz="4" w:space="0" w:color="auto"/>
              <w:right w:val="single" w:sz="4" w:space="0" w:color="auto"/>
            </w:tcBorders>
            <w:shd w:val="clear" w:color="auto" w:fill="auto"/>
            <w:vAlign w:val="center"/>
            <w:hideMark/>
          </w:tcPr>
          <w:p w:rsidR="00CB02E5" w:rsidRPr="000771BA" w:rsidRDefault="00CB02E5"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1118"/>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удовлетворение потребностей организаций АПК Бардымского района в молодых специалистах на 100 % и социальной сферы - на 100 %;</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992"/>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коэффициента рождаемости сельского населения Бардымского района на 20 % и ожидаемой продолжительности жизни – на 20 %;</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3105"/>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достижение совокупного экономического эффекта в объеме 2416,4 млн.руб., в т.ч. за счет прироста продукции сельского хозяйства на основе улучшения условий жизни специалистов АПК 142,8 млн.руб., реализации мероприятий по развитию газификации и водоснабжения - 896 млн.руб., привлечения внебюджетных средств 254,02 млн.руб.</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CB02E5" w:rsidRPr="000771BA" w:rsidTr="000771BA">
        <w:trPr>
          <w:cantSplit/>
          <w:trHeight w:val="1260"/>
        </w:trPr>
        <w:tc>
          <w:tcPr>
            <w:tcW w:w="206" w:type="pct"/>
            <w:vMerge/>
            <w:tcBorders>
              <w:top w:val="nil"/>
              <w:left w:val="single" w:sz="4" w:space="0" w:color="auto"/>
              <w:bottom w:val="single" w:sz="4" w:space="0" w:color="auto"/>
              <w:right w:val="single" w:sz="4" w:space="0" w:color="auto"/>
            </w:tcBorders>
            <w:textDirection w:val="btLr"/>
            <w:vAlign w:val="center"/>
            <w:hideMark/>
          </w:tcPr>
          <w:p w:rsidR="00CB02E5" w:rsidRPr="000771BA" w:rsidRDefault="00CB02E5"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tcBorders>
              <w:top w:val="nil"/>
              <w:left w:val="nil"/>
              <w:bottom w:val="single" w:sz="4" w:space="0" w:color="auto"/>
              <w:right w:val="single" w:sz="4" w:space="0" w:color="auto"/>
            </w:tcBorders>
            <w:shd w:val="clear" w:color="auto" w:fill="auto"/>
            <w:textDirection w:val="btLr"/>
            <w:vAlign w:val="center"/>
            <w:hideMark/>
          </w:tcPr>
          <w:p w:rsidR="00CB02E5" w:rsidRPr="000771BA" w:rsidRDefault="00CB02E5" w:rsidP="007817DA">
            <w:pPr>
              <w:spacing w:after="0" w:line="240" w:lineRule="auto"/>
              <w:ind w:left="113" w:right="113"/>
              <w:jc w:val="center"/>
              <w:rPr>
                <w:rFonts w:ascii="Times New Roman" w:eastAsia="Times New Roman" w:hAnsi="Times New Roman" w:cs="Times New Roman"/>
                <w:color w:val="000000"/>
                <w:vertAlign w:val="superscript"/>
              </w:rPr>
            </w:pPr>
            <w:r w:rsidRPr="00CB02E5">
              <w:rPr>
                <w:rFonts w:ascii="Times New Roman" w:eastAsia="Times New Roman" w:hAnsi="Times New Roman" w:cs="Times New Roman"/>
                <w:color w:val="000000"/>
                <w:vertAlign w:val="superscript"/>
              </w:rPr>
              <w:t>Реализация полномочий в сфере сельского хозяйства</w:t>
            </w:r>
          </w:p>
        </w:tc>
        <w:tc>
          <w:tcPr>
            <w:tcW w:w="661" w:type="pct"/>
            <w:tcBorders>
              <w:top w:val="nil"/>
              <w:left w:val="nil"/>
              <w:bottom w:val="single" w:sz="4" w:space="0" w:color="auto"/>
              <w:right w:val="single" w:sz="4" w:space="0" w:color="auto"/>
            </w:tcBorders>
            <w:shd w:val="clear" w:color="auto" w:fill="auto"/>
            <w:vAlign w:val="center"/>
            <w:hideMark/>
          </w:tcPr>
          <w:p w:rsidR="00CB02E5" w:rsidRPr="000771BA" w:rsidRDefault="00CB02E5" w:rsidP="000771BA">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«Создание условий для устойчивого экономического развития»</w:t>
            </w:r>
            <w:r>
              <w:rPr>
                <w:rFonts w:ascii="Times New Roman" w:eastAsia="Times New Roman" w:hAnsi="Times New Roman" w:cs="Times New Roman"/>
                <w:b/>
                <w:color w:val="000000"/>
                <w:vertAlign w:val="superscript"/>
              </w:rPr>
              <w:t xml:space="preserve"> на 2018-2020 годы</w:t>
            </w:r>
            <w:r w:rsidRPr="000771BA">
              <w:rPr>
                <w:rFonts w:ascii="Times New Roman" w:eastAsia="Times New Roman" w:hAnsi="Times New Roman" w:cs="Times New Roman"/>
                <w:b/>
                <w:color w:val="000000"/>
                <w:vertAlign w:val="superscript"/>
              </w:rPr>
              <w:t xml:space="preserve"> / </w:t>
            </w:r>
            <w:r w:rsidRPr="00CB02E5">
              <w:rPr>
                <w:rFonts w:ascii="Times New Roman" w:eastAsia="Times New Roman" w:hAnsi="Times New Roman" w:cs="Times New Roman"/>
                <w:color w:val="000000"/>
                <w:vertAlign w:val="superscript"/>
              </w:rPr>
              <w:t>Подпрограмма «Обеспечение реализации программы»</w:t>
            </w:r>
          </w:p>
        </w:tc>
        <w:tc>
          <w:tcPr>
            <w:tcW w:w="1412" w:type="pct"/>
            <w:tcBorders>
              <w:top w:val="nil"/>
              <w:left w:val="nil"/>
              <w:bottom w:val="single" w:sz="4" w:space="0" w:color="auto"/>
              <w:right w:val="single" w:sz="4" w:space="0" w:color="auto"/>
            </w:tcBorders>
            <w:shd w:val="clear" w:color="auto" w:fill="auto"/>
            <w:vAlign w:val="center"/>
            <w:hideMark/>
          </w:tcPr>
          <w:p w:rsidR="00CB02E5" w:rsidRPr="000771BA" w:rsidRDefault="00CB02E5"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Реализация муниципальной программы позволит к 2020 году:- освоение бюджета программы на 90%</w:t>
            </w:r>
          </w:p>
        </w:tc>
        <w:tc>
          <w:tcPr>
            <w:tcW w:w="637" w:type="pct"/>
            <w:tcBorders>
              <w:top w:val="nil"/>
              <w:left w:val="nil"/>
              <w:bottom w:val="single" w:sz="4" w:space="0" w:color="auto"/>
              <w:right w:val="single" w:sz="4" w:space="0" w:color="auto"/>
            </w:tcBorders>
            <w:shd w:val="clear" w:color="auto" w:fill="auto"/>
            <w:vAlign w:val="center"/>
            <w:hideMark/>
          </w:tcPr>
          <w:p w:rsidR="00CB02E5" w:rsidRPr="000771BA" w:rsidRDefault="00CB02E5" w:rsidP="00EE5A09">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Заместитель главы Администрации Бардымского муниципального района по экономическому развитию</w:t>
            </w:r>
          </w:p>
        </w:tc>
        <w:tc>
          <w:tcPr>
            <w:tcW w:w="777" w:type="pct"/>
            <w:tcBorders>
              <w:top w:val="nil"/>
              <w:left w:val="nil"/>
              <w:bottom w:val="single" w:sz="4" w:space="0" w:color="auto"/>
              <w:right w:val="single" w:sz="4" w:space="0" w:color="auto"/>
            </w:tcBorders>
            <w:shd w:val="clear" w:color="auto" w:fill="auto"/>
            <w:vAlign w:val="center"/>
            <w:hideMark/>
          </w:tcPr>
          <w:p w:rsidR="00CB02E5" w:rsidRPr="000771BA" w:rsidRDefault="00CB02E5" w:rsidP="00EE5A09">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Управление сельского хозяйства и потребительского рынка Администрации Бардымского муниципального района</w:t>
            </w:r>
          </w:p>
        </w:tc>
        <w:tc>
          <w:tcPr>
            <w:tcW w:w="706" w:type="pct"/>
            <w:tcBorders>
              <w:top w:val="nil"/>
              <w:left w:val="nil"/>
              <w:bottom w:val="single" w:sz="4" w:space="0" w:color="auto"/>
              <w:right w:val="single" w:sz="4" w:space="0" w:color="auto"/>
            </w:tcBorders>
            <w:shd w:val="clear" w:color="auto" w:fill="auto"/>
            <w:vAlign w:val="center"/>
            <w:hideMark/>
          </w:tcPr>
          <w:p w:rsidR="00CB02E5" w:rsidRPr="000771BA" w:rsidRDefault="00CB02E5" w:rsidP="00EE5A09">
            <w:pPr>
              <w:spacing w:after="0" w:line="240" w:lineRule="auto"/>
              <w:jc w:val="both"/>
              <w:rPr>
                <w:rFonts w:ascii="Times New Roman" w:eastAsia="Times New Roman" w:hAnsi="Times New Roman" w:cs="Times New Roman"/>
                <w:color w:val="000000"/>
                <w:vertAlign w:val="superscript"/>
              </w:rPr>
            </w:pPr>
          </w:p>
        </w:tc>
      </w:tr>
      <w:tr w:rsidR="007817DA" w:rsidRPr="000771BA" w:rsidTr="000771BA">
        <w:trPr>
          <w:trHeight w:val="300"/>
        </w:trPr>
        <w:tc>
          <w:tcPr>
            <w:tcW w:w="206" w:type="pct"/>
            <w:vMerge/>
            <w:tcBorders>
              <w:top w:val="nil"/>
              <w:left w:val="single" w:sz="4" w:space="0" w:color="auto"/>
              <w:bottom w:val="single" w:sz="4" w:space="0" w:color="auto"/>
              <w:right w:val="single" w:sz="4" w:space="0" w:color="auto"/>
            </w:tcBorders>
            <w:textDirection w:val="btLr"/>
            <w:vAlign w:val="center"/>
            <w:hideMark/>
          </w:tcPr>
          <w:p w:rsidR="007817DA" w:rsidRPr="000771BA" w:rsidRDefault="007817D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17DA" w:rsidRPr="000771BA" w:rsidRDefault="007817DA" w:rsidP="007817DA">
            <w:pPr>
              <w:spacing w:after="0" w:line="240" w:lineRule="auto"/>
              <w:ind w:left="113" w:right="113"/>
              <w:jc w:val="center"/>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Создание в Бардымском районе современного высокоэффективного и конкурентоспособного туристского комплекса, обеспечивающего, с одной стороны, широкие возможности для удовлетворения потребностей населения в туристских услугах, а с другой стороны, вклад в развитие экономики района, в том числе за счет налоговых поступлений в бюджет, сохранения и увеличения количества рабочих мест, сохранения и рационального использования природно-рекреационного и культурно-исторического потенциала района</w:t>
            </w:r>
          </w:p>
        </w:tc>
        <w:tc>
          <w:tcPr>
            <w:tcW w:w="661" w:type="pct"/>
            <w:vMerge w:val="restart"/>
            <w:tcBorders>
              <w:top w:val="nil"/>
              <w:left w:val="single" w:sz="4" w:space="0" w:color="auto"/>
              <w:bottom w:val="single" w:sz="4" w:space="0" w:color="auto"/>
              <w:right w:val="single" w:sz="4" w:space="0" w:color="auto"/>
            </w:tcBorders>
            <w:shd w:val="clear" w:color="auto" w:fill="auto"/>
            <w:vAlign w:val="center"/>
            <w:hideMark/>
          </w:tcPr>
          <w:p w:rsidR="007817DA" w:rsidRPr="000771BA" w:rsidRDefault="007817DA" w:rsidP="007817DA">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«Развитие туризма в Бардымском муниципальном районе</w:t>
            </w:r>
            <w:r>
              <w:rPr>
                <w:rFonts w:ascii="Times New Roman" w:eastAsia="Times New Roman" w:hAnsi="Times New Roman" w:cs="Times New Roman"/>
                <w:b/>
                <w:color w:val="000000"/>
                <w:vertAlign w:val="superscript"/>
              </w:rPr>
              <w:t xml:space="preserve"> на 2018-2020 годы</w:t>
            </w:r>
            <w:r w:rsidRPr="000771BA">
              <w:rPr>
                <w:rFonts w:ascii="Times New Roman" w:eastAsia="Times New Roman" w:hAnsi="Times New Roman" w:cs="Times New Roman"/>
                <w:b/>
                <w:color w:val="000000"/>
                <w:vertAlign w:val="superscript"/>
              </w:rPr>
              <w:t>»</w:t>
            </w:r>
          </w:p>
        </w:tc>
        <w:tc>
          <w:tcPr>
            <w:tcW w:w="1412" w:type="pct"/>
            <w:tcBorders>
              <w:top w:val="nil"/>
              <w:left w:val="nil"/>
              <w:bottom w:val="single" w:sz="4" w:space="0" w:color="auto"/>
              <w:right w:val="single" w:sz="4" w:space="0" w:color="auto"/>
            </w:tcBorders>
            <w:shd w:val="clear" w:color="auto" w:fill="auto"/>
            <w:vAlign w:val="center"/>
            <w:hideMark/>
          </w:tcPr>
          <w:p w:rsidR="007817DA" w:rsidRPr="000771BA" w:rsidRDefault="007817D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Количественные показатели:</w:t>
            </w:r>
          </w:p>
        </w:tc>
        <w:tc>
          <w:tcPr>
            <w:tcW w:w="637" w:type="pct"/>
            <w:vMerge w:val="restart"/>
            <w:tcBorders>
              <w:top w:val="nil"/>
              <w:left w:val="single" w:sz="4" w:space="0" w:color="auto"/>
              <w:bottom w:val="single" w:sz="4" w:space="0" w:color="auto"/>
              <w:right w:val="single" w:sz="4" w:space="0" w:color="auto"/>
            </w:tcBorders>
            <w:shd w:val="clear" w:color="auto" w:fill="auto"/>
            <w:vAlign w:val="center"/>
            <w:hideMark/>
          </w:tcPr>
          <w:p w:rsidR="007817DA" w:rsidRPr="000771BA" w:rsidRDefault="007817DA" w:rsidP="00EE5A09">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Cs/>
                <w:vertAlign w:val="superscript"/>
              </w:rPr>
              <w:t xml:space="preserve">Первый заместитель главы Администрации Бардымского </w:t>
            </w:r>
            <w:r>
              <w:rPr>
                <w:rFonts w:ascii="Times New Roman" w:eastAsia="Times New Roman" w:hAnsi="Times New Roman" w:cs="Times New Roman"/>
                <w:color w:val="000000"/>
                <w:vertAlign w:val="superscript"/>
              </w:rPr>
              <w:t>муниципального района</w:t>
            </w:r>
          </w:p>
        </w:tc>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rsidR="007817DA" w:rsidRPr="000771BA" w:rsidRDefault="007817DA" w:rsidP="00EE5A09">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Cs/>
                <w:vertAlign w:val="superscript"/>
              </w:rPr>
              <w:t xml:space="preserve">Управление культуры Администрации Бардымского </w:t>
            </w:r>
            <w:r>
              <w:rPr>
                <w:rFonts w:ascii="Times New Roman" w:eastAsia="Times New Roman" w:hAnsi="Times New Roman" w:cs="Times New Roman"/>
                <w:color w:val="000000"/>
                <w:vertAlign w:val="superscript"/>
              </w:rPr>
              <w:t>муниципального района</w:t>
            </w:r>
          </w:p>
        </w:tc>
        <w:tc>
          <w:tcPr>
            <w:tcW w:w="706" w:type="pct"/>
            <w:vMerge w:val="restart"/>
            <w:tcBorders>
              <w:top w:val="nil"/>
              <w:left w:val="single" w:sz="4" w:space="0" w:color="auto"/>
              <w:bottom w:val="single" w:sz="4" w:space="0" w:color="auto"/>
              <w:right w:val="single" w:sz="4" w:space="0" w:color="auto"/>
            </w:tcBorders>
            <w:shd w:val="clear" w:color="auto" w:fill="auto"/>
            <w:vAlign w:val="center"/>
            <w:hideMark/>
          </w:tcPr>
          <w:p w:rsidR="007817DA" w:rsidRPr="000771BA" w:rsidRDefault="007817D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68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рост туристского потока в Бардымском муниципальном районе к 2020 году;</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7817DA">
        <w:trPr>
          <w:trHeight w:val="646"/>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привлечение инвестиций на развитие индустрии туризма в сумме не менее 5,0 млн. руб.;</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57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создание не менее 30 новых рабочих мест во вновь образуемых и действующих предприятиях туриндустрии, в том числе в связанных с туризмом отраслях и в сегменте частного предпринимательства;</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7817DA">
        <w:trPr>
          <w:trHeight w:val="435"/>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сохранение объектов историко-культурного наследия.</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30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Качественные показатели:</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7817DA">
        <w:trPr>
          <w:trHeight w:val="46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удовлетворение потребности населения в туристско-рекреационных услугах;</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7817DA">
        <w:trPr>
          <w:trHeight w:val="666"/>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создание условий для активного отдыха и укрепление здоровья населения Бардымского муниципального района;</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7817DA">
        <w:trPr>
          <w:trHeight w:val="965"/>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приобщение населения к культурным ценностям; повышение благосостояния местного населения формирование положительного имиджа района;</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7817DA">
        <w:trPr>
          <w:trHeight w:val="564"/>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расширение географии и ежегодное увеличение потока туристов на 10%;</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7817DA">
        <w:trPr>
          <w:trHeight w:val="416"/>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появление межрайонных туристических маршрутов;</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792"/>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улучшение качества обслуживания туристов и населения района и предоставляемых им услуг;</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7817DA">
        <w:trPr>
          <w:trHeight w:val="97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приведение внешнего вида объектов инфраструктуры и туристских маршрутов соответствующему уровню для приема туристов;</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7817DA">
        <w:trPr>
          <w:trHeight w:val="507"/>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привлечение инвесторов для развития инфраструктуры туризма;</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60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получение дополнительных доходов в бюджет района;</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80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возрождение, сохранение и рациональное использование историко - культурного и природного наследия.</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E5A09">
        <w:trPr>
          <w:cantSplit/>
          <w:trHeight w:val="5395"/>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tcBorders>
              <w:top w:val="nil"/>
              <w:left w:val="nil"/>
              <w:bottom w:val="single" w:sz="4" w:space="0" w:color="auto"/>
              <w:right w:val="single" w:sz="4" w:space="0" w:color="auto"/>
            </w:tcBorders>
            <w:shd w:val="clear" w:color="auto" w:fill="auto"/>
            <w:textDirection w:val="btLr"/>
            <w:vAlign w:val="center"/>
            <w:hideMark/>
          </w:tcPr>
          <w:p w:rsidR="000771BA" w:rsidRPr="000771BA" w:rsidRDefault="000771BA" w:rsidP="007817DA">
            <w:pPr>
              <w:spacing w:after="0" w:line="240" w:lineRule="auto"/>
              <w:ind w:left="113" w:right="113"/>
              <w:jc w:val="center"/>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Обеспечение сбалансированности и устойчивости бюджета Бардымского муниципального района, повышение эффективности и качества управления муниципальными финансами Бардымского муниципального района</w:t>
            </w:r>
          </w:p>
        </w:tc>
        <w:tc>
          <w:tcPr>
            <w:tcW w:w="661"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«Управление муниципальными финансами Бардымского муниципального района</w:t>
            </w:r>
            <w:r w:rsidR="007817DA">
              <w:rPr>
                <w:rFonts w:ascii="Times New Roman" w:eastAsia="Times New Roman" w:hAnsi="Times New Roman" w:cs="Times New Roman"/>
                <w:b/>
                <w:color w:val="000000"/>
                <w:vertAlign w:val="superscript"/>
              </w:rPr>
              <w:t xml:space="preserve"> на 2018-2020 годы</w:t>
            </w:r>
            <w:r w:rsidRPr="000771BA">
              <w:rPr>
                <w:rFonts w:ascii="Times New Roman" w:eastAsia="Times New Roman" w:hAnsi="Times New Roman" w:cs="Times New Roman"/>
                <w:b/>
                <w:color w:val="000000"/>
                <w:vertAlign w:val="superscript"/>
              </w:rPr>
              <w:t>»</w:t>
            </w: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Бюджет Бардымского муниципального района сформирован по программно-целевым принципам</w:t>
            </w:r>
          </w:p>
        </w:tc>
        <w:tc>
          <w:tcPr>
            <w:tcW w:w="637" w:type="pct"/>
            <w:tcBorders>
              <w:top w:val="nil"/>
              <w:left w:val="nil"/>
              <w:bottom w:val="single" w:sz="4" w:space="0" w:color="auto"/>
              <w:right w:val="single" w:sz="4" w:space="0" w:color="auto"/>
            </w:tcBorders>
            <w:shd w:val="clear" w:color="auto" w:fill="auto"/>
            <w:vAlign w:val="center"/>
            <w:hideMark/>
          </w:tcPr>
          <w:p w:rsidR="000771BA" w:rsidRPr="000771BA" w:rsidRDefault="007817DA" w:rsidP="000771BA">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Заместитель главы Администрации Бардымского муниципального района по экономическому развитию</w:t>
            </w:r>
          </w:p>
        </w:tc>
        <w:tc>
          <w:tcPr>
            <w:tcW w:w="777" w:type="pct"/>
            <w:tcBorders>
              <w:top w:val="nil"/>
              <w:left w:val="nil"/>
              <w:bottom w:val="single" w:sz="4" w:space="0" w:color="auto"/>
              <w:right w:val="single" w:sz="4" w:space="0" w:color="auto"/>
            </w:tcBorders>
            <w:shd w:val="clear" w:color="auto" w:fill="auto"/>
            <w:vAlign w:val="center"/>
            <w:hideMark/>
          </w:tcPr>
          <w:p w:rsidR="000771BA" w:rsidRPr="000771BA" w:rsidRDefault="007817DA" w:rsidP="000771BA">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Управление финансов Администрации Бардымского муниципального района</w:t>
            </w:r>
          </w:p>
        </w:tc>
        <w:tc>
          <w:tcPr>
            <w:tcW w:w="706" w:type="pct"/>
            <w:tcBorders>
              <w:top w:val="nil"/>
              <w:left w:val="nil"/>
              <w:bottom w:val="single" w:sz="4" w:space="0" w:color="auto"/>
              <w:right w:val="single" w:sz="4" w:space="0" w:color="auto"/>
            </w:tcBorders>
            <w:shd w:val="clear" w:color="auto" w:fill="auto"/>
            <w:vAlign w:val="center"/>
            <w:hideMark/>
          </w:tcPr>
          <w:p w:rsidR="000771BA" w:rsidRPr="000771BA" w:rsidRDefault="007817DA" w:rsidP="000771BA">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Администрация Бардымского муниципального района</w:t>
            </w:r>
          </w:p>
        </w:tc>
      </w:tr>
      <w:tr w:rsidR="000771BA" w:rsidRPr="000771BA" w:rsidTr="000771BA">
        <w:trPr>
          <w:trHeight w:val="575"/>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Создание условий для эффективного использования и вовлечения в хозяйственный оборот объектов недвижимости, свободных земельных участков, бесхозного имущества</w:t>
            </w:r>
          </w:p>
        </w:tc>
        <w:tc>
          <w:tcPr>
            <w:tcW w:w="661"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«Управление муниципальным имуществом и земельными ресурсами Бардымского муниципального района</w:t>
            </w:r>
            <w:r w:rsidR="00EE5A09">
              <w:rPr>
                <w:rFonts w:ascii="Times New Roman" w:eastAsia="Times New Roman" w:hAnsi="Times New Roman" w:cs="Times New Roman"/>
                <w:b/>
                <w:color w:val="000000"/>
                <w:vertAlign w:val="superscript"/>
              </w:rPr>
              <w:t xml:space="preserve"> на 2018-2020 годы»</w:t>
            </w: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lang w:eastAsia="en-US"/>
              </w:rPr>
              <w:t>- увеличение площади вовлеченных в оборот земельных участков.</w:t>
            </w:r>
          </w:p>
        </w:tc>
        <w:tc>
          <w:tcPr>
            <w:tcW w:w="637"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EE5A09" w:rsidP="000771BA">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Заместитель главы Администрации Бардымского муниципального района по экономическому развитию</w:t>
            </w:r>
          </w:p>
        </w:tc>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EE5A09" w:rsidP="000771BA">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Управление ЗИВ Администрации Бардымского муниципального района</w:t>
            </w:r>
          </w:p>
        </w:tc>
        <w:tc>
          <w:tcPr>
            <w:tcW w:w="706" w:type="pct"/>
            <w:vMerge w:val="restart"/>
            <w:tcBorders>
              <w:top w:val="nil"/>
              <w:left w:val="single" w:sz="4" w:space="0" w:color="auto"/>
              <w:bottom w:val="single" w:sz="4" w:space="0" w:color="000000"/>
              <w:right w:val="single" w:sz="4" w:space="0" w:color="auto"/>
            </w:tcBorders>
            <w:shd w:val="clear" w:color="auto" w:fill="auto"/>
            <w:vAlign w:val="center"/>
            <w:hideMark/>
          </w:tcPr>
          <w:p w:rsidR="000771BA" w:rsidRPr="000771BA" w:rsidRDefault="00EE5A09" w:rsidP="000771BA">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Администрация Бардымского муниципального района</w:t>
            </w:r>
          </w:p>
        </w:tc>
      </w:tr>
      <w:tr w:rsidR="000771BA" w:rsidRPr="000771BA" w:rsidTr="000771BA">
        <w:trPr>
          <w:trHeight w:val="210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lang w:eastAsia="en-US"/>
              </w:rPr>
              <w:t>- увеличение поступлений по земельному налогу, арендной плате за землю и доходам от продажи земельных участков в консолидированный бюджет Бардымского муниципального района.</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60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lang w:eastAsia="en-US"/>
              </w:rPr>
              <w:t>- создание единой базы данных учета муниципального имущества.</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90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lang w:eastAsia="en-US"/>
              </w:rPr>
              <w:t>- доход от использования и реализации муниципального имущества.</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150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lang w:eastAsia="en-US"/>
              </w:rPr>
              <w:t>- регистрация права собственности на все объекты, включенные в реестр муниципальной собственности Бардымского муниципального имущества</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60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lang w:eastAsia="en-US"/>
              </w:rPr>
              <w:t>- обеспечение земельными участками многодетных семей</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E5A09">
        <w:trPr>
          <w:trHeight w:val="2025"/>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обеспечение проведения работ по внесению в государственный кадастр недвижимости  сведений о границах населенных пунктов в виде координатного описания</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E5A09">
        <w:trPr>
          <w:trHeight w:val="509"/>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Повышение качества работы Администрации Бардымского муниципального района за счет использования информационных и телекоммуникационных технологий</w:t>
            </w:r>
          </w:p>
        </w:tc>
        <w:tc>
          <w:tcPr>
            <w:tcW w:w="661"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0771BA" w:rsidP="00EE5A09">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Совершенствование использования информационно-коммуникационных технологий в деятельности Администрации Бардымского муниципального района и ее структурных подразделений</w:t>
            </w:r>
            <w:r w:rsidR="00EE5A09">
              <w:rPr>
                <w:rFonts w:ascii="Times New Roman" w:eastAsia="Times New Roman" w:hAnsi="Times New Roman" w:cs="Times New Roman"/>
                <w:b/>
                <w:color w:val="000000"/>
                <w:vertAlign w:val="superscript"/>
              </w:rPr>
              <w:t xml:space="preserve"> на 2018-2020 годы</w:t>
            </w:r>
            <w:r w:rsidRPr="000771BA">
              <w:rPr>
                <w:rFonts w:ascii="Times New Roman" w:eastAsia="Times New Roman" w:hAnsi="Times New Roman" w:cs="Times New Roman"/>
                <w:b/>
                <w:color w:val="000000"/>
                <w:vertAlign w:val="superscript"/>
              </w:rPr>
              <w:t>»</w:t>
            </w: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установка и ввод в эксплуатацию сервера;</w:t>
            </w:r>
          </w:p>
        </w:tc>
        <w:tc>
          <w:tcPr>
            <w:tcW w:w="637"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EE5A09" w:rsidP="000771BA">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Управляющий делами Администрации Бардымского муниципального района</w:t>
            </w:r>
          </w:p>
        </w:tc>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EE5A09" w:rsidP="000771BA">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Сектор информатизации и программно-технического обеспечения Администрации Бардымского муниципального района</w:t>
            </w:r>
          </w:p>
        </w:tc>
        <w:tc>
          <w:tcPr>
            <w:tcW w:w="706"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E5A09">
        <w:trPr>
          <w:trHeight w:val="767"/>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совершенствование технического оснащения;</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E5A09">
        <w:trPr>
          <w:trHeight w:val="2974"/>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оснащение аппаратной платформы лицензионным программным обеспечением</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EE5A09" w:rsidRPr="000771BA" w:rsidTr="00EE5A09">
        <w:trPr>
          <w:cantSplit/>
          <w:trHeight w:val="2946"/>
        </w:trPr>
        <w:tc>
          <w:tcPr>
            <w:tcW w:w="206" w:type="pct"/>
            <w:vMerge/>
            <w:tcBorders>
              <w:top w:val="nil"/>
              <w:left w:val="single" w:sz="4" w:space="0" w:color="auto"/>
              <w:bottom w:val="single" w:sz="4" w:space="0" w:color="auto"/>
              <w:right w:val="single" w:sz="4" w:space="0" w:color="auto"/>
            </w:tcBorders>
            <w:textDirection w:val="btLr"/>
            <w:vAlign w:val="center"/>
            <w:hideMark/>
          </w:tcPr>
          <w:p w:rsidR="00EE5A09" w:rsidRPr="000771BA" w:rsidRDefault="00EE5A09"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tcBorders>
              <w:top w:val="nil"/>
              <w:left w:val="nil"/>
              <w:bottom w:val="single" w:sz="4" w:space="0" w:color="auto"/>
              <w:right w:val="single" w:sz="4" w:space="0" w:color="auto"/>
            </w:tcBorders>
            <w:shd w:val="clear" w:color="auto" w:fill="auto"/>
            <w:textDirection w:val="btLr"/>
            <w:vAlign w:val="center"/>
            <w:hideMark/>
          </w:tcPr>
          <w:p w:rsidR="00EE5A09" w:rsidRPr="000771BA" w:rsidRDefault="00EE5A09" w:rsidP="000771BA">
            <w:pPr>
              <w:spacing w:after="0" w:line="240" w:lineRule="auto"/>
              <w:ind w:left="113" w:right="113"/>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Развитие и поддержка некоммерческих общественных организаций в Бардымском муниципальном районе</w:t>
            </w:r>
          </w:p>
        </w:tc>
        <w:tc>
          <w:tcPr>
            <w:tcW w:w="661" w:type="pct"/>
            <w:tcBorders>
              <w:top w:val="nil"/>
              <w:left w:val="nil"/>
              <w:bottom w:val="single" w:sz="4" w:space="0" w:color="auto"/>
              <w:right w:val="single" w:sz="4" w:space="0" w:color="auto"/>
            </w:tcBorders>
            <w:shd w:val="clear" w:color="auto" w:fill="auto"/>
            <w:vAlign w:val="center"/>
            <w:hideMark/>
          </w:tcPr>
          <w:p w:rsidR="00EE5A09" w:rsidRPr="000771BA" w:rsidRDefault="00EE5A09" w:rsidP="000771BA">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«Развитие и поддержка некоммерческих общественных организаций в Бардымском муниципальном районе</w:t>
            </w:r>
            <w:r>
              <w:rPr>
                <w:rFonts w:ascii="Times New Roman" w:eastAsia="Times New Roman" w:hAnsi="Times New Roman" w:cs="Times New Roman"/>
                <w:b/>
                <w:color w:val="000000"/>
                <w:vertAlign w:val="superscript"/>
              </w:rPr>
              <w:t xml:space="preserve"> на 2018-2020 годы</w:t>
            </w:r>
            <w:r w:rsidRPr="000771BA">
              <w:rPr>
                <w:rFonts w:ascii="Times New Roman" w:eastAsia="Times New Roman" w:hAnsi="Times New Roman" w:cs="Times New Roman"/>
                <w:b/>
                <w:color w:val="000000"/>
                <w:vertAlign w:val="superscript"/>
              </w:rPr>
              <w:t>»</w:t>
            </w:r>
          </w:p>
        </w:tc>
        <w:tc>
          <w:tcPr>
            <w:tcW w:w="1412" w:type="pct"/>
            <w:tcBorders>
              <w:top w:val="nil"/>
              <w:left w:val="nil"/>
              <w:bottom w:val="single" w:sz="4" w:space="0" w:color="auto"/>
              <w:right w:val="single" w:sz="4" w:space="0" w:color="auto"/>
            </w:tcBorders>
            <w:shd w:val="clear" w:color="auto" w:fill="auto"/>
            <w:vAlign w:val="center"/>
            <w:hideMark/>
          </w:tcPr>
          <w:p w:rsidR="00EE5A09" w:rsidRPr="000771BA" w:rsidRDefault="00EE5A09"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увеличение доли жителей Бардымского муниципального района, принимающих участие в деятельности общественных организаций и объединений</w:t>
            </w:r>
          </w:p>
        </w:tc>
        <w:tc>
          <w:tcPr>
            <w:tcW w:w="637" w:type="pct"/>
            <w:tcBorders>
              <w:top w:val="nil"/>
              <w:left w:val="nil"/>
              <w:bottom w:val="single" w:sz="4" w:space="0" w:color="auto"/>
              <w:right w:val="single" w:sz="4" w:space="0" w:color="auto"/>
            </w:tcBorders>
            <w:shd w:val="clear" w:color="auto" w:fill="auto"/>
            <w:vAlign w:val="center"/>
            <w:hideMark/>
          </w:tcPr>
          <w:p w:rsidR="00EE5A09" w:rsidRPr="000771BA" w:rsidRDefault="00EE5A09" w:rsidP="00EE5A09">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Cs/>
                <w:vertAlign w:val="superscript"/>
              </w:rPr>
              <w:t xml:space="preserve">Первый заместитель главы Администрации Бардымского </w:t>
            </w:r>
            <w:r>
              <w:rPr>
                <w:rFonts w:ascii="Times New Roman" w:eastAsia="Times New Roman" w:hAnsi="Times New Roman" w:cs="Times New Roman"/>
                <w:color w:val="000000"/>
                <w:vertAlign w:val="superscript"/>
              </w:rPr>
              <w:t>муниципального района</w:t>
            </w:r>
          </w:p>
        </w:tc>
        <w:tc>
          <w:tcPr>
            <w:tcW w:w="777" w:type="pct"/>
            <w:tcBorders>
              <w:top w:val="nil"/>
              <w:left w:val="nil"/>
              <w:bottom w:val="single" w:sz="4" w:space="0" w:color="auto"/>
              <w:right w:val="single" w:sz="4" w:space="0" w:color="auto"/>
            </w:tcBorders>
            <w:shd w:val="clear" w:color="auto" w:fill="auto"/>
            <w:vAlign w:val="center"/>
            <w:hideMark/>
          </w:tcPr>
          <w:p w:rsidR="00EE5A09" w:rsidRPr="000771BA" w:rsidRDefault="00EE5A09" w:rsidP="00EE5A09">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Cs/>
                <w:vertAlign w:val="superscript"/>
              </w:rPr>
              <w:t xml:space="preserve">Управление культуры Администрации Бардымского </w:t>
            </w:r>
            <w:r>
              <w:rPr>
                <w:rFonts w:ascii="Times New Roman" w:eastAsia="Times New Roman" w:hAnsi="Times New Roman" w:cs="Times New Roman"/>
                <w:color w:val="000000"/>
                <w:vertAlign w:val="superscript"/>
              </w:rPr>
              <w:t>муниципального района</w:t>
            </w:r>
          </w:p>
        </w:tc>
        <w:tc>
          <w:tcPr>
            <w:tcW w:w="706" w:type="pct"/>
            <w:tcBorders>
              <w:top w:val="nil"/>
              <w:left w:val="nil"/>
              <w:bottom w:val="single" w:sz="4" w:space="0" w:color="auto"/>
              <w:right w:val="single" w:sz="4" w:space="0" w:color="auto"/>
            </w:tcBorders>
            <w:shd w:val="clear" w:color="auto" w:fill="auto"/>
            <w:vAlign w:val="center"/>
            <w:hideMark/>
          </w:tcPr>
          <w:p w:rsidR="00EE5A09" w:rsidRPr="000771BA" w:rsidRDefault="00EE5A09" w:rsidP="000771BA">
            <w:pPr>
              <w:spacing w:after="0" w:line="240" w:lineRule="auto"/>
              <w:jc w:val="both"/>
              <w:rPr>
                <w:rFonts w:ascii="Times New Roman" w:eastAsia="Times New Roman" w:hAnsi="Times New Roman" w:cs="Times New Roman"/>
                <w:color w:val="000000"/>
                <w:vertAlign w:val="superscript"/>
              </w:rPr>
            </w:pPr>
          </w:p>
        </w:tc>
      </w:tr>
      <w:tr w:rsidR="00EE5A09" w:rsidRPr="000771BA" w:rsidTr="00E15ED6">
        <w:trPr>
          <w:trHeight w:val="834"/>
        </w:trPr>
        <w:tc>
          <w:tcPr>
            <w:tcW w:w="206"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E5A09" w:rsidRPr="000771BA" w:rsidRDefault="00EE5A09" w:rsidP="000771BA">
            <w:pPr>
              <w:spacing w:after="0" w:line="240" w:lineRule="auto"/>
              <w:ind w:left="113" w:right="113"/>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Создание комфортной среды проживания</w:t>
            </w:r>
          </w:p>
        </w:tc>
        <w:tc>
          <w:tcPr>
            <w:tcW w:w="60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E5A09" w:rsidRPr="000771BA" w:rsidRDefault="00EE5A09" w:rsidP="000771BA">
            <w:pPr>
              <w:spacing w:after="0" w:line="240" w:lineRule="auto"/>
              <w:ind w:left="113" w:right="113"/>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Улучшение условий и охраны труда, направленных на сохранение жизни и здоровья работников в процессе трудовой деятельности</w:t>
            </w:r>
          </w:p>
        </w:tc>
        <w:tc>
          <w:tcPr>
            <w:tcW w:w="661" w:type="pct"/>
            <w:vMerge w:val="restart"/>
            <w:tcBorders>
              <w:top w:val="nil"/>
              <w:left w:val="single" w:sz="4" w:space="0" w:color="auto"/>
              <w:bottom w:val="single" w:sz="4" w:space="0" w:color="auto"/>
              <w:right w:val="single" w:sz="4" w:space="0" w:color="auto"/>
            </w:tcBorders>
            <w:shd w:val="clear" w:color="auto" w:fill="auto"/>
            <w:vAlign w:val="center"/>
            <w:hideMark/>
          </w:tcPr>
          <w:p w:rsidR="00EE5A09" w:rsidRPr="000771BA" w:rsidRDefault="00EE5A09" w:rsidP="000771BA">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Бардымского муниципального района «Охрана труда»</w:t>
            </w:r>
            <w:r>
              <w:rPr>
                <w:rFonts w:ascii="Times New Roman" w:eastAsia="Times New Roman" w:hAnsi="Times New Roman" w:cs="Times New Roman"/>
                <w:b/>
                <w:color w:val="000000"/>
                <w:vertAlign w:val="superscript"/>
              </w:rPr>
              <w:t xml:space="preserve"> на 2018-2020 годы</w:t>
            </w:r>
          </w:p>
        </w:tc>
        <w:tc>
          <w:tcPr>
            <w:tcW w:w="1412" w:type="pct"/>
            <w:tcBorders>
              <w:top w:val="nil"/>
              <w:left w:val="nil"/>
              <w:bottom w:val="single" w:sz="4" w:space="0" w:color="auto"/>
              <w:right w:val="single" w:sz="4" w:space="0" w:color="auto"/>
            </w:tcBorders>
            <w:shd w:val="clear" w:color="auto" w:fill="auto"/>
            <w:vAlign w:val="center"/>
            <w:hideMark/>
          </w:tcPr>
          <w:p w:rsidR="00EE5A09" w:rsidRPr="000771BA" w:rsidRDefault="00EE5A09"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стабилизация и снижение уровня травматизма, профзаболеваний и аварийности;</w:t>
            </w:r>
          </w:p>
        </w:tc>
        <w:tc>
          <w:tcPr>
            <w:tcW w:w="637" w:type="pct"/>
            <w:vMerge w:val="restart"/>
            <w:tcBorders>
              <w:top w:val="nil"/>
              <w:left w:val="single" w:sz="4" w:space="0" w:color="auto"/>
              <w:bottom w:val="single" w:sz="4" w:space="0" w:color="auto"/>
              <w:right w:val="single" w:sz="4" w:space="0" w:color="auto"/>
            </w:tcBorders>
            <w:shd w:val="clear" w:color="auto" w:fill="auto"/>
            <w:vAlign w:val="center"/>
            <w:hideMark/>
          </w:tcPr>
          <w:p w:rsidR="00EE5A09" w:rsidRPr="000771BA" w:rsidRDefault="00EE5A09" w:rsidP="00EE5A09">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Управляющий делами Администрации Бардымского муниципального района</w:t>
            </w:r>
          </w:p>
        </w:tc>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rsidR="00EE5A09" w:rsidRPr="000771BA" w:rsidRDefault="00EE5A09" w:rsidP="00EE5A09">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Администрация Бардымского муниципального района</w:t>
            </w:r>
          </w:p>
        </w:tc>
        <w:tc>
          <w:tcPr>
            <w:tcW w:w="706" w:type="pct"/>
            <w:vMerge w:val="restart"/>
            <w:tcBorders>
              <w:top w:val="nil"/>
              <w:left w:val="single" w:sz="4" w:space="0" w:color="auto"/>
              <w:bottom w:val="single" w:sz="4" w:space="0" w:color="auto"/>
              <w:right w:val="single" w:sz="4" w:space="0" w:color="auto"/>
            </w:tcBorders>
            <w:shd w:val="clear" w:color="auto" w:fill="auto"/>
            <w:vAlign w:val="center"/>
            <w:hideMark/>
          </w:tcPr>
          <w:p w:rsidR="00EE5A09" w:rsidRPr="000771BA" w:rsidRDefault="00EE5A09"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15ED6">
        <w:trPr>
          <w:trHeight w:val="1273"/>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предотвращение материального ущерба от аварий, производственного травматизма и профзаболеваемости.</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E15ED6" w:rsidRPr="000771BA" w:rsidTr="00E15ED6">
        <w:trPr>
          <w:trHeight w:val="695"/>
        </w:trPr>
        <w:tc>
          <w:tcPr>
            <w:tcW w:w="206" w:type="pct"/>
            <w:vMerge/>
            <w:tcBorders>
              <w:top w:val="nil"/>
              <w:left w:val="single" w:sz="4" w:space="0" w:color="auto"/>
              <w:bottom w:val="single" w:sz="4" w:space="0" w:color="auto"/>
              <w:right w:val="single" w:sz="4" w:space="0" w:color="auto"/>
            </w:tcBorders>
            <w:textDirection w:val="btLr"/>
            <w:vAlign w:val="center"/>
            <w:hideMark/>
          </w:tcPr>
          <w:p w:rsidR="00E15ED6" w:rsidRPr="000771BA" w:rsidRDefault="00E15ED6"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15ED6" w:rsidRPr="000771BA" w:rsidRDefault="00E15ED6" w:rsidP="00EE5A09">
            <w:pPr>
              <w:spacing w:after="0" w:line="240" w:lineRule="auto"/>
              <w:ind w:left="113" w:right="113"/>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Удовлетворение потребностей населения в пассажирских перевозках автомобильным транспортом общего пользования по регулярным автобусным маршрутам городского и внутрирайонного сообщения</w:t>
            </w:r>
          </w:p>
        </w:tc>
        <w:tc>
          <w:tcPr>
            <w:tcW w:w="661" w:type="pct"/>
            <w:vMerge w:val="restart"/>
            <w:tcBorders>
              <w:top w:val="nil"/>
              <w:left w:val="single" w:sz="4" w:space="0" w:color="auto"/>
              <w:bottom w:val="single" w:sz="4" w:space="0" w:color="auto"/>
              <w:right w:val="single" w:sz="4" w:space="0" w:color="auto"/>
            </w:tcBorders>
            <w:shd w:val="clear" w:color="auto" w:fill="auto"/>
            <w:vAlign w:val="center"/>
            <w:hideMark/>
          </w:tcPr>
          <w:p w:rsidR="00E15ED6" w:rsidRPr="000771BA" w:rsidRDefault="00E15ED6" w:rsidP="00E15ED6">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 xml:space="preserve">Муниципальная программа «Развитие </w:t>
            </w:r>
            <w:r>
              <w:rPr>
                <w:rFonts w:ascii="Times New Roman" w:eastAsia="Times New Roman" w:hAnsi="Times New Roman" w:cs="Times New Roman"/>
                <w:b/>
                <w:color w:val="000000"/>
                <w:vertAlign w:val="superscript"/>
              </w:rPr>
              <w:t xml:space="preserve">транспортного обслуживания населения Бардымского </w:t>
            </w:r>
            <w:r w:rsidRPr="000771BA">
              <w:rPr>
                <w:rFonts w:ascii="Times New Roman" w:eastAsia="Times New Roman" w:hAnsi="Times New Roman" w:cs="Times New Roman"/>
                <w:b/>
                <w:color w:val="000000"/>
                <w:vertAlign w:val="superscript"/>
              </w:rPr>
              <w:t>муниципального района</w:t>
            </w:r>
            <w:r>
              <w:rPr>
                <w:rFonts w:ascii="Times New Roman" w:eastAsia="Times New Roman" w:hAnsi="Times New Roman" w:cs="Times New Roman"/>
                <w:b/>
                <w:color w:val="000000"/>
                <w:vertAlign w:val="superscript"/>
              </w:rPr>
              <w:t xml:space="preserve"> на 2018-2020 годы</w:t>
            </w:r>
            <w:r w:rsidRPr="000771BA">
              <w:rPr>
                <w:rFonts w:ascii="Times New Roman" w:eastAsia="Times New Roman" w:hAnsi="Times New Roman" w:cs="Times New Roman"/>
                <w:b/>
                <w:color w:val="000000"/>
                <w:vertAlign w:val="superscript"/>
              </w:rPr>
              <w:t>»</w:t>
            </w:r>
          </w:p>
        </w:tc>
        <w:tc>
          <w:tcPr>
            <w:tcW w:w="1412" w:type="pct"/>
            <w:tcBorders>
              <w:top w:val="nil"/>
              <w:left w:val="nil"/>
              <w:bottom w:val="single" w:sz="4" w:space="0" w:color="auto"/>
              <w:right w:val="single" w:sz="4" w:space="0" w:color="auto"/>
            </w:tcBorders>
            <w:shd w:val="clear" w:color="auto" w:fill="auto"/>
            <w:vAlign w:val="center"/>
            <w:hideMark/>
          </w:tcPr>
          <w:p w:rsidR="00E15ED6" w:rsidRPr="000771BA" w:rsidRDefault="00E15ED6"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сохранение доли населенных пунктов, охваченных автобусным сообщением;</w:t>
            </w:r>
          </w:p>
        </w:tc>
        <w:tc>
          <w:tcPr>
            <w:tcW w:w="637" w:type="pct"/>
            <w:vMerge w:val="restart"/>
            <w:tcBorders>
              <w:top w:val="nil"/>
              <w:left w:val="single" w:sz="4" w:space="0" w:color="auto"/>
              <w:bottom w:val="single" w:sz="4" w:space="0" w:color="auto"/>
              <w:right w:val="single" w:sz="4" w:space="0" w:color="auto"/>
            </w:tcBorders>
            <w:shd w:val="clear" w:color="auto" w:fill="auto"/>
            <w:vAlign w:val="center"/>
            <w:hideMark/>
          </w:tcPr>
          <w:p w:rsidR="00E15ED6" w:rsidRPr="000771BA" w:rsidRDefault="00E15ED6" w:rsidP="000D32B7">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Заместитель главы Администрации Бардымского муниципального района по экономическому развитию</w:t>
            </w:r>
          </w:p>
        </w:tc>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rsidR="00E15ED6" w:rsidRPr="000771BA" w:rsidRDefault="00E15ED6" w:rsidP="00E15ED6">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Планово-экономический отдел  Администрации Бардымского муниципального района</w:t>
            </w:r>
          </w:p>
        </w:tc>
        <w:tc>
          <w:tcPr>
            <w:tcW w:w="706" w:type="pct"/>
            <w:vMerge w:val="restart"/>
            <w:tcBorders>
              <w:top w:val="nil"/>
              <w:left w:val="single" w:sz="4" w:space="0" w:color="auto"/>
              <w:bottom w:val="single" w:sz="4" w:space="0" w:color="auto"/>
              <w:right w:val="single" w:sz="4" w:space="0" w:color="auto"/>
            </w:tcBorders>
            <w:shd w:val="clear" w:color="auto" w:fill="auto"/>
            <w:vAlign w:val="center"/>
            <w:hideMark/>
          </w:tcPr>
          <w:p w:rsidR="00E15ED6" w:rsidRPr="000771BA" w:rsidRDefault="00E15ED6"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90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улучшение качества предоставления транспортных услуг населению;</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E5A09">
        <w:trPr>
          <w:trHeight w:val="2879"/>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повышение безопасности перевозки пассажиров</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15ED6">
        <w:trPr>
          <w:trHeight w:val="2135"/>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0771BA" w:rsidRPr="000771BA" w:rsidRDefault="000771BA" w:rsidP="00E15ED6">
            <w:pPr>
              <w:spacing w:after="0" w:line="240" w:lineRule="auto"/>
              <w:ind w:left="113" w:right="113"/>
              <w:jc w:val="center"/>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Создание материальной базы развития социальной и инженерной инфраструктуры. Повышение уровня и качества жизни населения Бардымского района на основе повышения уровня развития социальной инфраструктуры и инженерного обустройства населенных пунктов. Улучшение состояния здоровья населения Бардымского района, в том числе на основе повышения роли физкультуры и спорта.</w:t>
            </w:r>
          </w:p>
        </w:tc>
        <w:tc>
          <w:tcPr>
            <w:tcW w:w="661" w:type="pct"/>
            <w:vMerge w:val="restart"/>
            <w:tcBorders>
              <w:top w:val="nil"/>
              <w:left w:val="single" w:sz="4" w:space="0" w:color="auto"/>
              <w:bottom w:val="single" w:sz="4" w:space="0" w:color="000000"/>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Бардымского муниципального района «Муниципальное хозяйство»</w:t>
            </w:r>
            <w:r w:rsidR="00E15ED6">
              <w:rPr>
                <w:rFonts w:ascii="Times New Roman" w:eastAsia="Times New Roman" w:hAnsi="Times New Roman" w:cs="Times New Roman"/>
                <w:b/>
                <w:color w:val="000000"/>
                <w:vertAlign w:val="superscript"/>
              </w:rPr>
              <w:t xml:space="preserve"> на 2018-2020 годы</w:t>
            </w:r>
            <w:r w:rsidRPr="000771BA">
              <w:rPr>
                <w:rFonts w:ascii="Times New Roman" w:eastAsia="Times New Roman" w:hAnsi="Times New Roman" w:cs="Times New Roman"/>
                <w:b/>
                <w:color w:val="000000"/>
                <w:vertAlign w:val="superscript"/>
              </w:rPr>
              <w:t xml:space="preserve"> / </w:t>
            </w:r>
            <w:r w:rsidRPr="00E15ED6">
              <w:rPr>
                <w:rFonts w:ascii="Times New Roman" w:eastAsia="Times New Roman" w:hAnsi="Times New Roman" w:cs="Times New Roman"/>
                <w:color w:val="000000"/>
                <w:vertAlign w:val="superscript"/>
              </w:rPr>
              <w:t>Подпрограмма «Содержание и развитие инженерной инфраструктуры»</w:t>
            </w: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повышение эффективности, доступности и качества обслуживания населения;</w:t>
            </w:r>
          </w:p>
        </w:tc>
        <w:tc>
          <w:tcPr>
            <w:tcW w:w="637"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E15ED6" w:rsidP="000771BA">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Заместитель главы Администрации Бардымского муниципального района по развитию территорий</w:t>
            </w:r>
          </w:p>
        </w:tc>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E15ED6" w:rsidP="000771BA">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Управление строительства и ЖКХ Администрации Бардымского муниципального района</w:t>
            </w:r>
          </w:p>
        </w:tc>
        <w:tc>
          <w:tcPr>
            <w:tcW w:w="706" w:type="pct"/>
            <w:vMerge w:val="restart"/>
            <w:tcBorders>
              <w:top w:val="nil"/>
              <w:left w:val="single" w:sz="4" w:space="0" w:color="auto"/>
              <w:bottom w:val="single" w:sz="4" w:space="0" w:color="000000"/>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15ED6">
        <w:trPr>
          <w:trHeight w:val="3391"/>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повышение уровня комфортности, качества жизни населения</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60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Развитие и сохранение территориальной сети автомобильных дорог Бардымского муниципального района</w:t>
            </w:r>
          </w:p>
        </w:tc>
        <w:tc>
          <w:tcPr>
            <w:tcW w:w="661" w:type="pct"/>
            <w:vMerge w:val="restart"/>
            <w:tcBorders>
              <w:top w:val="nil"/>
              <w:left w:val="single" w:sz="4" w:space="0" w:color="auto"/>
              <w:bottom w:val="single" w:sz="4" w:space="0" w:color="000000"/>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Бардымского муниципального района «Муниципальное хозяйство»</w:t>
            </w:r>
            <w:r w:rsidR="00E15ED6">
              <w:rPr>
                <w:rFonts w:ascii="Times New Roman" w:eastAsia="Times New Roman" w:hAnsi="Times New Roman" w:cs="Times New Roman"/>
                <w:b/>
                <w:color w:val="000000"/>
                <w:vertAlign w:val="superscript"/>
              </w:rPr>
              <w:t xml:space="preserve"> на 2018-2020 годы</w:t>
            </w:r>
            <w:r w:rsidRPr="000771BA">
              <w:rPr>
                <w:rFonts w:ascii="Times New Roman" w:eastAsia="Times New Roman" w:hAnsi="Times New Roman" w:cs="Times New Roman"/>
                <w:b/>
                <w:color w:val="000000"/>
                <w:vertAlign w:val="superscript"/>
              </w:rPr>
              <w:t xml:space="preserve"> / </w:t>
            </w:r>
            <w:r w:rsidRPr="00E15ED6">
              <w:rPr>
                <w:rFonts w:ascii="Times New Roman" w:eastAsia="Times New Roman" w:hAnsi="Times New Roman" w:cs="Times New Roman"/>
                <w:color w:val="000000"/>
                <w:vertAlign w:val="superscript"/>
              </w:rPr>
              <w:t>Подпрограмма «Развитие и содержание транспортной системы»</w:t>
            </w: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spacing w:val="2"/>
                <w:vertAlign w:val="superscript"/>
              </w:rPr>
              <w:t>- соответствие дорожной сети нормативным требованиям;</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120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spacing w:val="2"/>
                <w:vertAlign w:val="superscript"/>
              </w:rPr>
              <w:t>- обеспечение софинансирования объектов, заявляемых в федеральные целевые и инвестиционные программы;</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1305"/>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000000"/>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проведение проектно-изыскательских работ и обеспечение разработки проектно-сметной документации для объектов</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000000"/>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D32B7" w:rsidRPr="000771BA" w:rsidTr="000771BA">
        <w:trPr>
          <w:trHeight w:val="570"/>
        </w:trPr>
        <w:tc>
          <w:tcPr>
            <w:tcW w:w="206" w:type="pct"/>
            <w:vMerge/>
            <w:tcBorders>
              <w:top w:val="nil"/>
              <w:left w:val="single" w:sz="4" w:space="0" w:color="auto"/>
              <w:bottom w:val="single" w:sz="4" w:space="0" w:color="auto"/>
              <w:right w:val="single" w:sz="4" w:space="0" w:color="auto"/>
            </w:tcBorders>
            <w:textDirection w:val="btLr"/>
            <w:vAlign w:val="center"/>
            <w:hideMark/>
          </w:tcPr>
          <w:p w:rsidR="000D32B7" w:rsidRPr="000771BA" w:rsidRDefault="000D32B7"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D32B7" w:rsidRPr="000771BA" w:rsidRDefault="000D32B7" w:rsidP="000771BA">
            <w:pPr>
              <w:spacing w:after="0" w:line="240" w:lineRule="auto"/>
              <w:ind w:left="113" w:right="113"/>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Развитие информационного пространства в Бардымском районе, создание современной материально-технической базы</w:t>
            </w:r>
          </w:p>
        </w:tc>
        <w:tc>
          <w:tcPr>
            <w:tcW w:w="661" w:type="pct"/>
            <w:vMerge w:val="restart"/>
            <w:tcBorders>
              <w:top w:val="nil"/>
              <w:left w:val="single" w:sz="4" w:space="0" w:color="auto"/>
              <w:bottom w:val="single" w:sz="4" w:space="0" w:color="auto"/>
              <w:right w:val="single" w:sz="4" w:space="0" w:color="auto"/>
            </w:tcBorders>
            <w:shd w:val="clear" w:color="auto" w:fill="auto"/>
            <w:vAlign w:val="center"/>
            <w:hideMark/>
          </w:tcPr>
          <w:p w:rsidR="000D32B7" w:rsidRPr="000771BA" w:rsidRDefault="000D32B7" w:rsidP="000771BA">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«Развитие МАУ «Редакция «Тан» («Рассвет»)</w:t>
            </w:r>
            <w:r w:rsidR="00EC6A3C">
              <w:rPr>
                <w:rFonts w:ascii="Times New Roman" w:eastAsia="Times New Roman" w:hAnsi="Times New Roman" w:cs="Times New Roman"/>
                <w:b/>
                <w:color w:val="000000"/>
                <w:vertAlign w:val="superscript"/>
              </w:rPr>
              <w:t xml:space="preserve"> на 2018-2020 годы</w:t>
            </w:r>
            <w:r w:rsidRPr="000771BA">
              <w:rPr>
                <w:rFonts w:ascii="Times New Roman" w:eastAsia="Times New Roman" w:hAnsi="Times New Roman" w:cs="Times New Roman"/>
                <w:b/>
                <w:color w:val="000000"/>
                <w:vertAlign w:val="superscript"/>
              </w:rPr>
              <w:t>»</w:t>
            </w:r>
          </w:p>
        </w:tc>
        <w:tc>
          <w:tcPr>
            <w:tcW w:w="1412" w:type="pct"/>
            <w:tcBorders>
              <w:top w:val="nil"/>
              <w:left w:val="nil"/>
              <w:bottom w:val="single" w:sz="4" w:space="0" w:color="auto"/>
              <w:right w:val="single" w:sz="4" w:space="0" w:color="auto"/>
            </w:tcBorders>
            <w:shd w:val="clear" w:color="auto" w:fill="auto"/>
            <w:vAlign w:val="center"/>
            <w:hideMark/>
          </w:tcPr>
          <w:p w:rsidR="000D32B7" w:rsidRPr="000771BA" w:rsidRDefault="000D32B7"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lang w:eastAsia="en-US"/>
              </w:rPr>
              <w:t>- информированность населения о текущих событиях района, деятельности Администрации и Земского собрания Бардымского муниципального района;</w:t>
            </w:r>
          </w:p>
        </w:tc>
        <w:tc>
          <w:tcPr>
            <w:tcW w:w="637" w:type="pct"/>
            <w:vMerge w:val="restart"/>
            <w:tcBorders>
              <w:top w:val="nil"/>
              <w:left w:val="single" w:sz="4" w:space="0" w:color="auto"/>
              <w:bottom w:val="single" w:sz="4" w:space="0" w:color="auto"/>
              <w:right w:val="single" w:sz="4" w:space="0" w:color="auto"/>
            </w:tcBorders>
            <w:shd w:val="clear" w:color="auto" w:fill="auto"/>
            <w:vAlign w:val="center"/>
            <w:hideMark/>
          </w:tcPr>
          <w:p w:rsidR="000D32B7" w:rsidRPr="000771BA" w:rsidRDefault="000D32B7" w:rsidP="000D32B7">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Cs/>
                <w:vertAlign w:val="superscript"/>
              </w:rPr>
              <w:t xml:space="preserve">Первый заместитель главы Администрации Бардымского </w:t>
            </w:r>
            <w:r>
              <w:rPr>
                <w:rFonts w:ascii="Times New Roman" w:eastAsia="Times New Roman" w:hAnsi="Times New Roman" w:cs="Times New Roman"/>
                <w:color w:val="000000"/>
                <w:vertAlign w:val="superscript"/>
              </w:rPr>
              <w:t>муниципального района</w:t>
            </w:r>
          </w:p>
        </w:tc>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rsidR="000D32B7" w:rsidRPr="000771BA" w:rsidRDefault="000D32B7" w:rsidP="000D32B7">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Cs/>
                <w:vertAlign w:val="superscript"/>
              </w:rPr>
              <w:t xml:space="preserve">МАУ «Редакция </w:t>
            </w:r>
            <w:r>
              <w:rPr>
                <w:rFonts w:ascii="Times New Roman" w:eastAsia="Times New Roman" w:hAnsi="Times New Roman" w:cs="Times New Roman"/>
                <w:color w:val="000000"/>
                <w:vertAlign w:val="superscript"/>
              </w:rPr>
              <w:t>«Тан» («Рассвет»)</w:t>
            </w:r>
          </w:p>
        </w:tc>
        <w:tc>
          <w:tcPr>
            <w:tcW w:w="706" w:type="pct"/>
            <w:vMerge w:val="restart"/>
            <w:tcBorders>
              <w:top w:val="nil"/>
              <w:left w:val="single" w:sz="4" w:space="0" w:color="auto"/>
              <w:bottom w:val="single" w:sz="4" w:space="0" w:color="auto"/>
              <w:right w:val="single" w:sz="4" w:space="0" w:color="auto"/>
            </w:tcBorders>
            <w:shd w:val="clear" w:color="auto" w:fill="auto"/>
            <w:vAlign w:val="center"/>
            <w:hideMark/>
          </w:tcPr>
          <w:p w:rsidR="000D32B7" w:rsidRPr="000771BA" w:rsidRDefault="000D32B7"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428"/>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lang w:eastAsia="en-US"/>
              </w:rPr>
              <w:t>- сохранение и развитие языка, культуры, национальных традиций;</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15ED6">
        <w:trPr>
          <w:trHeight w:val="695"/>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обеспечение увеличения тиража газеты</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D32B7" w:rsidRPr="000771BA" w:rsidTr="00EC6A3C">
        <w:trPr>
          <w:trHeight w:val="846"/>
        </w:trPr>
        <w:tc>
          <w:tcPr>
            <w:tcW w:w="206" w:type="pct"/>
            <w:vMerge/>
            <w:tcBorders>
              <w:top w:val="nil"/>
              <w:left w:val="single" w:sz="4" w:space="0" w:color="auto"/>
              <w:bottom w:val="single" w:sz="4" w:space="0" w:color="auto"/>
              <w:right w:val="single" w:sz="4" w:space="0" w:color="auto"/>
            </w:tcBorders>
            <w:textDirection w:val="btLr"/>
            <w:vAlign w:val="center"/>
            <w:hideMark/>
          </w:tcPr>
          <w:p w:rsidR="000D32B7" w:rsidRPr="000771BA" w:rsidRDefault="000D32B7"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D32B7" w:rsidRPr="000771BA" w:rsidRDefault="000D32B7" w:rsidP="000771BA">
            <w:pPr>
              <w:spacing w:after="0" w:line="240" w:lineRule="auto"/>
              <w:ind w:left="113" w:right="113"/>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Развитие информационного пространства в Бардымском районе, создание современной материально-технической базы телерадиовещания</w:t>
            </w:r>
          </w:p>
        </w:tc>
        <w:tc>
          <w:tcPr>
            <w:tcW w:w="661" w:type="pct"/>
            <w:vMerge w:val="restart"/>
            <w:tcBorders>
              <w:top w:val="nil"/>
              <w:left w:val="single" w:sz="4" w:space="0" w:color="auto"/>
              <w:bottom w:val="single" w:sz="4" w:space="0" w:color="auto"/>
              <w:right w:val="single" w:sz="4" w:space="0" w:color="auto"/>
            </w:tcBorders>
            <w:shd w:val="clear" w:color="auto" w:fill="auto"/>
            <w:vAlign w:val="center"/>
            <w:hideMark/>
          </w:tcPr>
          <w:p w:rsidR="000D32B7" w:rsidRPr="000771BA" w:rsidRDefault="000D32B7" w:rsidP="000D32B7">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«Развитие М</w:t>
            </w:r>
            <w:r>
              <w:rPr>
                <w:rFonts w:ascii="Times New Roman" w:eastAsia="Times New Roman" w:hAnsi="Times New Roman" w:cs="Times New Roman"/>
                <w:b/>
                <w:color w:val="000000"/>
                <w:vertAlign w:val="superscript"/>
              </w:rPr>
              <w:t xml:space="preserve">АУ </w:t>
            </w:r>
            <w:r w:rsidRPr="000771BA">
              <w:rPr>
                <w:rFonts w:ascii="Times New Roman" w:eastAsia="Times New Roman" w:hAnsi="Times New Roman" w:cs="Times New Roman"/>
                <w:b/>
                <w:color w:val="000000"/>
                <w:vertAlign w:val="superscript"/>
              </w:rPr>
              <w:t>МТРВ «Тол буйлары» (Притулвье)</w:t>
            </w:r>
            <w:r w:rsidR="00EC6A3C">
              <w:rPr>
                <w:rFonts w:ascii="Times New Roman" w:eastAsia="Times New Roman" w:hAnsi="Times New Roman" w:cs="Times New Roman"/>
                <w:b/>
                <w:color w:val="000000"/>
                <w:vertAlign w:val="superscript"/>
              </w:rPr>
              <w:t xml:space="preserve"> на 2018-2020 годы</w:t>
            </w:r>
            <w:r w:rsidRPr="000771BA">
              <w:rPr>
                <w:rFonts w:ascii="Times New Roman" w:eastAsia="Times New Roman" w:hAnsi="Times New Roman" w:cs="Times New Roman"/>
                <w:b/>
                <w:color w:val="000000"/>
                <w:vertAlign w:val="superscript"/>
              </w:rPr>
              <w:t>»</w:t>
            </w:r>
          </w:p>
        </w:tc>
        <w:tc>
          <w:tcPr>
            <w:tcW w:w="1412" w:type="pct"/>
            <w:tcBorders>
              <w:top w:val="nil"/>
              <w:left w:val="nil"/>
              <w:bottom w:val="single" w:sz="4" w:space="0" w:color="auto"/>
              <w:right w:val="single" w:sz="4" w:space="0" w:color="auto"/>
            </w:tcBorders>
            <w:shd w:val="clear" w:color="auto" w:fill="auto"/>
            <w:vAlign w:val="center"/>
            <w:hideMark/>
          </w:tcPr>
          <w:p w:rsidR="000D32B7" w:rsidRPr="000771BA" w:rsidRDefault="000D32B7"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информированность населения о текущих событиях района, деятельности администрации муниципального района и Земского Собрания;</w:t>
            </w:r>
          </w:p>
        </w:tc>
        <w:tc>
          <w:tcPr>
            <w:tcW w:w="637" w:type="pct"/>
            <w:vMerge w:val="restart"/>
            <w:tcBorders>
              <w:top w:val="nil"/>
              <w:left w:val="single" w:sz="4" w:space="0" w:color="auto"/>
              <w:bottom w:val="single" w:sz="4" w:space="0" w:color="auto"/>
              <w:right w:val="single" w:sz="4" w:space="0" w:color="auto"/>
            </w:tcBorders>
            <w:shd w:val="clear" w:color="auto" w:fill="auto"/>
            <w:vAlign w:val="center"/>
            <w:hideMark/>
          </w:tcPr>
          <w:p w:rsidR="000D32B7" w:rsidRPr="000771BA" w:rsidRDefault="000D32B7" w:rsidP="000D32B7">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Cs/>
                <w:vertAlign w:val="superscript"/>
              </w:rPr>
              <w:t xml:space="preserve">Первый заместитель главы Администрации Бардымского </w:t>
            </w:r>
            <w:r>
              <w:rPr>
                <w:rFonts w:ascii="Times New Roman" w:eastAsia="Times New Roman" w:hAnsi="Times New Roman" w:cs="Times New Roman"/>
                <w:color w:val="000000"/>
                <w:vertAlign w:val="superscript"/>
              </w:rPr>
              <w:t>муниципального района</w:t>
            </w:r>
          </w:p>
        </w:tc>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rsidR="000D32B7" w:rsidRPr="000771BA" w:rsidRDefault="000D32B7" w:rsidP="000D32B7">
            <w:pPr>
              <w:spacing w:after="0" w:line="240" w:lineRule="auto"/>
              <w:jc w:val="both"/>
              <w:rPr>
                <w:rFonts w:ascii="Times New Roman" w:eastAsia="Times New Roman" w:hAnsi="Times New Roman" w:cs="Times New Roman"/>
                <w:color w:val="000000"/>
                <w:vertAlign w:val="superscript"/>
              </w:rPr>
            </w:pPr>
            <w:r>
              <w:rPr>
                <w:rFonts w:ascii="Times New Roman" w:hAnsi="Times New Roman" w:cs="Times New Roman"/>
                <w:bCs/>
                <w:vertAlign w:val="superscript"/>
              </w:rPr>
              <w:t>МАУ МТРВ «Тол буйлары» (Притулвье)</w:t>
            </w:r>
          </w:p>
        </w:tc>
        <w:tc>
          <w:tcPr>
            <w:tcW w:w="706" w:type="pct"/>
            <w:vMerge w:val="restart"/>
            <w:tcBorders>
              <w:top w:val="nil"/>
              <w:left w:val="single" w:sz="4" w:space="0" w:color="auto"/>
              <w:bottom w:val="single" w:sz="4" w:space="0" w:color="auto"/>
              <w:right w:val="single" w:sz="4" w:space="0" w:color="auto"/>
            </w:tcBorders>
            <w:shd w:val="clear" w:color="auto" w:fill="auto"/>
            <w:vAlign w:val="center"/>
            <w:hideMark/>
          </w:tcPr>
          <w:p w:rsidR="000D32B7" w:rsidRPr="000771BA" w:rsidRDefault="000D32B7"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57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привлечение молодого поколения к участию в политической, общественной и социально-культурной жизни района;</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C6A3C">
        <w:trPr>
          <w:trHeight w:val="461"/>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сохранение и развитие языка, культуры, национальных традиций;</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C6A3C">
        <w:trPr>
          <w:trHeight w:val="15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xml:space="preserve">- воспитание подрастающего поколения в духе патриотизма, толерантности, </w:t>
            </w:r>
            <w:r w:rsidRPr="000771BA">
              <w:rPr>
                <w:rFonts w:ascii="Times New Roman" w:eastAsia="Times New Roman" w:hAnsi="Times New Roman" w:cs="Times New Roman"/>
                <w:color w:val="000000"/>
                <w:vertAlign w:val="superscript"/>
              </w:rPr>
              <w:lastRenderedPageBreak/>
              <w:t>веротерпимости;</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30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переход на цифровое вещание,</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C6A3C">
        <w:trPr>
          <w:trHeight w:val="442"/>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обеспечение 100 процентного охвата  вещания Бардымского района</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C6A3C">
        <w:trPr>
          <w:trHeight w:val="618"/>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Повышение уровня защиты населения и территории района от пожаров, чрезвычайных ситуаций природного и техногенного характера. Повышение эффективности спасения людей при ликвидации пожаров и чрезвычайных ситуаций</w:t>
            </w:r>
          </w:p>
        </w:tc>
        <w:tc>
          <w:tcPr>
            <w:tcW w:w="661"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Бардымского муниципального района «Безопасность»</w:t>
            </w:r>
            <w:r w:rsidR="00EC6A3C">
              <w:rPr>
                <w:rFonts w:ascii="Times New Roman" w:eastAsia="Times New Roman" w:hAnsi="Times New Roman" w:cs="Times New Roman"/>
                <w:b/>
                <w:color w:val="000000"/>
                <w:vertAlign w:val="superscript"/>
              </w:rPr>
              <w:t xml:space="preserve"> на 2018-2020 годы</w:t>
            </w: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преодоление неблагоприятных тенденций роста количества чрезвычайных ситуаций и материального ущерба от них;</w:t>
            </w:r>
          </w:p>
        </w:tc>
        <w:tc>
          <w:tcPr>
            <w:tcW w:w="637"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EC6A3C" w:rsidP="000771BA">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Заместитель главы Администрации Бардымского муниципального района по развитию территорий</w:t>
            </w:r>
          </w:p>
        </w:tc>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EC6A3C" w:rsidP="000771BA">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Отдел по делам ГО ЧС ПБ и мобилизационной работе Администрации Бардымского муниципального района</w:t>
            </w:r>
          </w:p>
        </w:tc>
        <w:tc>
          <w:tcPr>
            <w:tcW w:w="706"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C6A3C">
        <w:trPr>
          <w:trHeight w:val="855"/>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снижение рисков возникновения чрезвычайных ситуаций для населения в районах, подверженных воздействию неблагоприятных факторов;</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C6A3C">
        <w:trPr>
          <w:trHeight w:val="956"/>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высокий уровень готовности оперативного реагирования сил и средств при угрозе возникновения чрезвычайной ситуации и ее ликвидации;</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C6A3C">
        <w:trPr>
          <w:trHeight w:val="644"/>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снижение гибели, травматизма людей и размера материальных потерь от пожаров и чрезвычайных ситуаций;</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30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сокращение затрат на ликвидацию чрезвычайных ситуаций;</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EC6A3C">
        <w:trPr>
          <w:trHeight w:val="1215"/>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повышение уровня проведения аварийно-спасательных и других неотложных работ, за счет обеспечения подразделений необходимым оборудованием, вооружением и снаряжением;</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C0434E" w:rsidRPr="000771BA" w:rsidTr="00E73204">
        <w:trPr>
          <w:trHeight w:val="2615"/>
        </w:trPr>
        <w:tc>
          <w:tcPr>
            <w:tcW w:w="206" w:type="pct"/>
            <w:vMerge/>
            <w:tcBorders>
              <w:top w:val="nil"/>
              <w:left w:val="single" w:sz="4" w:space="0" w:color="auto"/>
              <w:bottom w:val="single" w:sz="4" w:space="0" w:color="auto"/>
              <w:right w:val="single" w:sz="4" w:space="0" w:color="auto"/>
            </w:tcBorders>
            <w:textDirection w:val="btLr"/>
            <w:vAlign w:val="center"/>
            <w:hideMark/>
          </w:tcPr>
          <w:p w:rsidR="00C0434E" w:rsidRPr="000771BA" w:rsidRDefault="00C0434E"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C0434E" w:rsidRPr="000771BA" w:rsidRDefault="00C0434E"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C0434E" w:rsidRPr="000771BA" w:rsidRDefault="00C0434E"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right w:val="single" w:sz="4" w:space="0" w:color="auto"/>
            </w:tcBorders>
            <w:shd w:val="clear" w:color="auto" w:fill="auto"/>
            <w:vAlign w:val="center"/>
            <w:hideMark/>
          </w:tcPr>
          <w:p w:rsidR="00C0434E" w:rsidRPr="000771BA" w:rsidRDefault="00C0434E" w:rsidP="00C0434E">
            <w:pPr>
              <w:spacing w:after="0" w:line="240" w:lineRule="auto"/>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 сохранение и создание новых рабочих мест</w:t>
            </w:r>
          </w:p>
        </w:tc>
        <w:tc>
          <w:tcPr>
            <w:tcW w:w="637" w:type="pct"/>
            <w:vMerge/>
            <w:tcBorders>
              <w:top w:val="nil"/>
              <w:left w:val="single" w:sz="4" w:space="0" w:color="auto"/>
              <w:bottom w:val="single" w:sz="4" w:space="0" w:color="auto"/>
              <w:right w:val="single" w:sz="4" w:space="0" w:color="auto"/>
            </w:tcBorders>
            <w:vAlign w:val="center"/>
            <w:hideMark/>
          </w:tcPr>
          <w:p w:rsidR="00C0434E" w:rsidRPr="000771BA" w:rsidRDefault="00C0434E"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C0434E" w:rsidRPr="000771BA" w:rsidRDefault="00C0434E"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C0434E" w:rsidRPr="000771BA" w:rsidRDefault="00C0434E"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C0434E">
        <w:trPr>
          <w:trHeight w:val="56"/>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894"/>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r w:rsidRPr="000771BA">
              <w:rPr>
                <w:rFonts w:ascii="Times New Roman" w:eastAsia="Times New Roman" w:hAnsi="Times New Roman" w:cs="Times New Roman"/>
                <w:color w:val="000000"/>
                <w:vertAlign w:val="superscript"/>
              </w:rPr>
              <w:t>Защита окружающей среды и населения от негативного воздействия отходов, развитие системы сбора и утилизации отходов, улучшение экологического состояния территории Бардымского района</w:t>
            </w:r>
          </w:p>
        </w:tc>
        <w:tc>
          <w:tcPr>
            <w:tcW w:w="661"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b/>
                <w:color w:val="000000"/>
                <w:vertAlign w:val="superscript"/>
              </w:rPr>
            </w:pPr>
            <w:r w:rsidRPr="000771BA">
              <w:rPr>
                <w:rFonts w:ascii="Times New Roman" w:eastAsia="Times New Roman" w:hAnsi="Times New Roman" w:cs="Times New Roman"/>
                <w:b/>
                <w:color w:val="000000"/>
                <w:vertAlign w:val="superscript"/>
              </w:rPr>
              <w:t>Муниципальная программа «Благоустройство и охрана окружающей среды Бардымского муниципального района на 2018- 2020 годы»</w:t>
            </w: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hAnsi="Times New Roman" w:cs="Times New Roman"/>
                <w:vertAlign w:val="superscript"/>
              </w:rPr>
              <w:t>Снижение количества объектов размещения отходов, не отвечающих экологическим требованиям.</w:t>
            </w:r>
          </w:p>
        </w:tc>
        <w:tc>
          <w:tcPr>
            <w:tcW w:w="637"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EC6A3C" w:rsidP="00EC6A3C">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Заместитель главы Администрации Бардымского муниципального района по развитию территорий</w:t>
            </w:r>
          </w:p>
        </w:tc>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EC6A3C" w:rsidP="000771BA">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Управление строительства и ЖКХ Администрации Бардымского муниципального района</w:t>
            </w:r>
          </w:p>
        </w:tc>
        <w:tc>
          <w:tcPr>
            <w:tcW w:w="706" w:type="pct"/>
            <w:vMerge w:val="restart"/>
            <w:tcBorders>
              <w:top w:val="nil"/>
              <w:left w:val="single" w:sz="4" w:space="0" w:color="auto"/>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566"/>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hAnsi="Times New Roman" w:cs="Times New Roman"/>
                <w:vertAlign w:val="superscript"/>
              </w:rPr>
              <w:t>Внедрение системы раздельного сбора отходов потребления.</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972"/>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hAnsi="Times New Roman" w:cs="Times New Roman"/>
                <w:vertAlign w:val="superscript"/>
              </w:rPr>
              <w:t>Создание действующей эффективной системы управления отходами на территории Бардымского муниципального района.</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560"/>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hAnsi="Times New Roman" w:cs="Times New Roman"/>
                <w:vertAlign w:val="superscript"/>
              </w:rPr>
              <w:t>Функционирование системы учета обращения с отходами.</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r w:rsidR="000771BA" w:rsidRPr="000771BA" w:rsidTr="000771BA">
        <w:trPr>
          <w:trHeight w:val="696"/>
        </w:trPr>
        <w:tc>
          <w:tcPr>
            <w:tcW w:w="206" w:type="pct"/>
            <w:vMerge/>
            <w:tcBorders>
              <w:top w:val="nil"/>
              <w:left w:val="single" w:sz="4" w:space="0" w:color="auto"/>
              <w:bottom w:val="single" w:sz="4" w:space="0" w:color="auto"/>
              <w:right w:val="single" w:sz="4" w:space="0" w:color="auto"/>
            </w:tcBorders>
            <w:textDirection w:val="btLr"/>
            <w:vAlign w:val="center"/>
            <w:hideMark/>
          </w:tcPr>
          <w:p w:rsidR="000771BA" w:rsidRPr="000771BA" w:rsidRDefault="000771BA" w:rsidP="000771BA">
            <w:pPr>
              <w:spacing w:after="0" w:line="240" w:lineRule="auto"/>
              <w:ind w:left="113" w:right="113"/>
              <w:jc w:val="both"/>
              <w:rPr>
                <w:rFonts w:ascii="Times New Roman" w:eastAsia="Times New Roman" w:hAnsi="Times New Roman" w:cs="Times New Roman"/>
                <w:color w:val="000000"/>
                <w:vertAlign w:val="superscript"/>
              </w:rPr>
            </w:pPr>
          </w:p>
        </w:tc>
        <w:tc>
          <w:tcPr>
            <w:tcW w:w="60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661"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1412" w:type="pct"/>
            <w:tcBorders>
              <w:top w:val="nil"/>
              <w:left w:val="nil"/>
              <w:bottom w:val="single" w:sz="4" w:space="0" w:color="auto"/>
              <w:right w:val="single" w:sz="4" w:space="0" w:color="auto"/>
            </w:tcBorders>
            <w:shd w:val="clear" w:color="auto" w:fill="auto"/>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r w:rsidRPr="000771BA">
              <w:rPr>
                <w:rFonts w:ascii="Times New Roman" w:hAnsi="Times New Roman" w:cs="Times New Roman"/>
                <w:vertAlign w:val="superscript"/>
              </w:rPr>
              <w:t>Создание банка данных поставщиков отходов и объектов санитарной очистки.</w:t>
            </w:r>
          </w:p>
        </w:tc>
        <w:tc>
          <w:tcPr>
            <w:tcW w:w="63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77"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c>
          <w:tcPr>
            <w:tcW w:w="706" w:type="pct"/>
            <w:vMerge/>
            <w:tcBorders>
              <w:top w:val="nil"/>
              <w:left w:val="single" w:sz="4" w:space="0" w:color="auto"/>
              <w:bottom w:val="single" w:sz="4" w:space="0" w:color="auto"/>
              <w:right w:val="single" w:sz="4" w:space="0" w:color="auto"/>
            </w:tcBorders>
            <w:vAlign w:val="center"/>
            <w:hideMark/>
          </w:tcPr>
          <w:p w:rsidR="000771BA" w:rsidRPr="000771BA" w:rsidRDefault="000771BA" w:rsidP="000771BA">
            <w:pPr>
              <w:spacing w:after="0" w:line="240" w:lineRule="auto"/>
              <w:jc w:val="both"/>
              <w:rPr>
                <w:rFonts w:ascii="Times New Roman" w:eastAsia="Times New Roman" w:hAnsi="Times New Roman" w:cs="Times New Roman"/>
                <w:color w:val="000000"/>
                <w:vertAlign w:val="superscript"/>
              </w:rPr>
            </w:pPr>
          </w:p>
        </w:tc>
      </w:tr>
    </w:tbl>
    <w:p w:rsidR="00153E07" w:rsidRPr="000771BA" w:rsidRDefault="00153E07" w:rsidP="000771BA">
      <w:pPr>
        <w:tabs>
          <w:tab w:val="left" w:pos="2177"/>
        </w:tabs>
        <w:spacing w:after="0" w:line="240" w:lineRule="auto"/>
        <w:jc w:val="both"/>
        <w:rPr>
          <w:rFonts w:ascii="Times New Roman" w:eastAsia="Times New Roman" w:hAnsi="Times New Roman" w:cs="Times New Roman"/>
          <w:vertAlign w:val="superscript"/>
        </w:rPr>
      </w:pPr>
    </w:p>
    <w:p w:rsidR="005D24C1" w:rsidRPr="000771BA" w:rsidRDefault="005D24C1" w:rsidP="000771BA">
      <w:pPr>
        <w:tabs>
          <w:tab w:val="left" w:pos="2177"/>
        </w:tabs>
        <w:spacing w:after="0" w:line="240" w:lineRule="auto"/>
        <w:jc w:val="both"/>
        <w:rPr>
          <w:rFonts w:ascii="Times New Roman" w:eastAsia="Times New Roman" w:hAnsi="Times New Roman" w:cs="Times New Roman"/>
        </w:rPr>
      </w:pPr>
    </w:p>
    <w:p w:rsidR="005D24C1" w:rsidRPr="000771BA" w:rsidRDefault="005D24C1" w:rsidP="000771BA">
      <w:pPr>
        <w:spacing w:after="0" w:line="240" w:lineRule="auto"/>
        <w:rPr>
          <w:rFonts w:ascii="Times New Roman" w:eastAsia="Times New Roman" w:hAnsi="Times New Roman" w:cs="Times New Roman"/>
        </w:rPr>
      </w:pPr>
      <w:r w:rsidRPr="000771BA">
        <w:rPr>
          <w:rFonts w:ascii="Times New Roman" w:eastAsia="Times New Roman" w:hAnsi="Times New Roman" w:cs="Times New Roman"/>
        </w:rPr>
        <w:br w:type="page"/>
      </w:r>
    </w:p>
    <w:p w:rsidR="005D24C1" w:rsidRDefault="005D24C1" w:rsidP="005D24C1">
      <w:pPr>
        <w:jc w:val="right"/>
        <w:rPr>
          <w:rFonts w:ascii="Times New Roman" w:hAnsi="Times New Roman" w:cs="Times New Roman"/>
          <w:b/>
          <w:sz w:val="24"/>
          <w:szCs w:val="24"/>
        </w:rPr>
      </w:pPr>
      <w:r w:rsidRPr="00884844">
        <w:rPr>
          <w:rFonts w:ascii="Times New Roman" w:hAnsi="Times New Roman" w:cs="Times New Roman"/>
          <w:b/>
          <w:sz w:val="24"/>
          <w:szCs w:val="24"/>
        </w:rPr>
        <w:lastRenderedPageBreak/>
        <w:t>Приложение 1</w:t>
      </w:r>
    </w:p>
    <w:p w:rsidR="00443EEA" w:rsidRPr="00B41D81" w:rsidRDefault="00443EEA" w:rsidP="00443EEA">
      <w:pPr>
        <w:jc w:val="center"/>
        <w:rPr>
          <w:rFonts w:ascii="Times New Roman" w:hAnsi="Times New Roman" w:cs="Times New Roman"/>
          <w:b/>
          <w:sz w:val="24"/>
          <w:szCs w:val="24"/>
        </w:rPr>
      </w:pPr>
      <w:r w:rsidRPr="00B41D81">
        <w:rPr>
          <w:rFonts w:ascii="Times New Roman" w:eastAsia="Times New Roman" w:hAnsi="Times New Roman" w:cs="Times New Roman"/>
          <w:b/>
          <w:sz w:val="28"/>
          <w:szCs w:val="28"/>
        </w:rPr>
        <w:t>Информация о дефиците / профиците бюджетов в разрезе сельских поселений</w:t>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Бюджет Бардымского муниципального района</w:t>
      </w:r>
    </w:p>
    <w:p w:rsidR="005D24C1" w:rsidRDefault="005D24C1" w:rsidP="005D24C1">
      <w:pPr>
        <w:rPr>
          <w:rFonts w:ascii="Times New Roman" w:hAnsi="Times New Roman" w:cs="Times New Roman"/>
          <w:sz w:val="24"/>
          <w:szCs w:val="24"/>
        </w:rPr>
      </w:pPr>
      <w:r w:rsidRPr="007E6E64">
        <w:rPr>
          <w:rFonts w:ascii="Times New Roman" w:hAnsi="Times New Roman" w:cs="Times New Roman"/>
          <w:noProof/>
          <w:sz w:val="24"/>
          <w:szCs w:val="24"/>
        </w:rPr>
        <w:drawing>
          <wp:inline distT="0" distB="0" distL="0" distR="0">
            <wp:extent cx="5940425" cy="3452424"/>
            <wp:effectExtent l="19050" t="0" r="317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 xml:space="preserve">Структура доходов сельских поселений Бардымского муниципального района </w:t>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в 2010 году, %</w:t>
      </w:r>
    </w:p>
    <w:p w:rsidR="005D24C1" w:rsidRDefault="005D24C1" w:rsidP="005D24C1">
      <w:pPr>
        <w:rPr>
          <w:rFonts w:ascii="Times New Roman" w:hAnsi="Times New Roman" w:cs="Times New Roman"/>
          <w:sz w:val="24"/>
          <w:szCs w:val="24"/>
        </w:rPr>
      </w:pPr>
    </w:p>
    <w:p w:rsidR="005D24C1" w:rsidRDefault="005D24C1" w:rsidP="005D24C1">
      <w:pPr>
        <w:rPr>
          <w:rFonts w:ascii="Times New Roman" w:hAnsi="Times New Roman" w:cs="Times New Roman"/>
          <w:sz w:val="24"/>
          <w:szCs w:val="24"/>
        </w:rPr>
      </w:pPr>
      <w:r w:rsidRPr="007E6E64">
        <w:rPr>
          <w:rFonts w:ascii="Times New Roman" w:hAnsi="Times New Roman" w:cs="Times New Roman"/>
          <w:noProof/>
          <w:sz w:val="24"/>
          <w:szCs w:val="24"/>
        </w:rPr>
        <w:drawing>
          <wp:inline distT="0" distB="0" distL="0" distR="0">
            <wp:extent cx="5940425" cy="3212698"/>
            <wp:effectExtent l="19050" t="0" r="317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884844" w:rsidRDefault="00884844" w:rsidP="005D24C1">
      <w:pPr>
        <w:jc w:val="center"/>
        <w:rPr>
          <w:rFonts w:ascii="Times New Roman" w:hAnsi="Times New Roman" w:cs="Times New Roman"/>
          <w:b/>
          <w:sz w:val="24"/>
          <w:szCs w:val="24"/>
        </w:rPr>
      </w:pPr>
    </w:p>
    <w:p w:rsid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 xml:space="preserve">Структура доходов сельских поселений Бардымского муниципального района </w:t>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в 2011 году, %</w:t>
      </w:r>
    </w:p>
    <w:p w:rsidR="005D24C1" w:rsidRDefault="005D24C1" w:rsidP="005D24C1">
      <w:pPr>
        <w:rPr>
          <w:rFonts w:ascii="Times New Roman" w:hAnsi="Times New Roman" w:cs="Times New Roman"/>
          <w:sz w:val="24"/>
          <w:szCs w:val="24"/>
        </w:rPr>
      </w:pPr>
    </w:p>
    <w:p w:rsidR="005D24C1" w:rsidRDefault="005D24C1" w:rsidP="005D24C1">
      <w:pPr>
        <w:rPr>
          <w:rFonts w:ascii="Times New Roman" w:hAnsi="Times New Roman" w:cs="Times New Roman"/>
          <w:sz w:val="24"/>
          <w:szCs w:val="24"/>
        </w:rPr>
      </w:pPr>
      <w:r w:rsidRPr="007E6E64">
        <w:rPr>
          <w:rFonts w:ascii="Times New Roman" w:hAnsi="Times New Roman" w:cs="Times New Roman"/>
          <w:noProof/>
          <w:sz w:val="24"/>
          <w:szCs w:val="24"/>
        </w:rPr>
        <w:drawing>
          <wp:inline distT="0" distB="0" distL="0" distR="0">
            <wp:extent cx="5940425" cy="3070456"/>
            <wp:effectExtent l="19050" t="0" r="317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 xml:space="preserve">Структура доходов сельских поселений Бардымского муниципального района </w:t>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в 2012 году, %</w:t>
      </w:r>
    </w:p>
    <w:p w:rsidR="005D24C1" w:rsidRDefault="005D24C1" w:rsidP="005D24C1">
      <w:pPr>
        <w:rPr>
          <w:rFonts w:ascii="Times New Roman" w:hAnsi="Times New Roman" w:cs="Times New Roman"/>
          <w:sz w:val="24"/>
          <w:szCs w:val="24"/>
        </w:rPr>
      </w:pPr>
    </w:p>
    <w:p w:rsidR="005D24C1" w:rsidRDefault="005D24C1" w:rsidP="005D24C1">
      <w:pPr>
        <w:rPr>
          <w:rFonts w:ascii="Times New Roman" w:hAnsi="Times New Roman" w:cs="Times New Roman"/>
          <w:sz w:val="24"/>
          <w:szCs w:val="24"/>
        </w:rPr>
      </w:pPr>
      <w:r w:rsidRPr="007E6E64">
        <w:rPr>
          <w:rFonts w:ascii="Times New Roman" w:hAnsi="Times New Roman" w:cs="Times New Roman"/>
          <w:noProof/>
          <w:sz w:val="24"/>
          <w:szCs w:val="24"/>
        </w:rPr>
        <w:drawing>
          <wp:inline distT="0" distB="0" distL="0" distR="0">
            <wp:extent cx="5940425" cy="3103564"/>
            <wp:effectExtent l="19050" t="0" r="3175" b="0"/>
            <wp:docPr id="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884844" w:rsidRDefault="00884844" w:rsidP="005D24C1">
      <w:pPr>
        <w:jc w:val="center"/>
        <w:rPr>
          <w:rFonts w:ascii="Times New Roman" w:hAnsi="Times New Roman" w:cs="Times New Roman"/>
          <w:b/>
          <w:sz w:val="24"/>
          <w:szCs w:val="24"/>
        </w:rPr>
      </w:pPr>
    </w:p>
    <w:p w:rsidR="00884844" w:rsidRDefault="00884844" w:rsidP="005D24C1">
      <w:pPr>
        <w:jc w:val="center"/>
        <w:rPr>
          <w:rFonts w:ascii="Times New Roman" w:hAnsi="Times New Roman" w:cs="Times New Roman"/>
          <w:b/>
          <w:sz w:val="24"/>
          <w:szCs w:val="24"/>
        </w:rPr>
      </w:pPr>
    </w:p>
    <w:p w:rsid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 xml:space="preserve">Структура доходов сельских поселений Бардымского муниципального района </w:t>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в 2013 году, %</w:t>
      </w:r>
    </w:p>
    <w:p w:rsidR="005D24C1" w:rsidRDefault="005D24C1" w:rsidP="005D24C1">
      <w:pPr>
        <w:jc w:val="center"/>
        <w:rPr>
          <w:rFonts w:ascii="Times New Roman" w:hAnsi="Times New Roman" w:cs="Times New Roman"/>
          <w:sz w:val="24"/>
          <w:szCs w:val="24"/>
        </w:rPr>
      </w:pPr>
    </w:p>
    <w:p w:rsidR="005D24C1" w:rsidRDefault="005D24C1" w:rsidP="005D24C1">
      <w:pPr>
        <w:jc w:val="center"/>
        <w:rPr>
          <w:rFonts w:ascii="Times New Roman" w:hAnsi="Times New Roman" w:cs="Times New Roman"/>
          <w:sz w:val="24"/>
          <w:szCs w:val="24"/>
        </w:rPr>
      </w:pPr>
      <w:r w:rsidRPr="007E6E64">
        <w:rPr>
          <w:rFonts w:ascii="Times New Roman" w:hAnsi="Times New Roman" w:cs="Times New Roman"/>
          <w:noProof/>
          <w:sz w:val="24"/>
          <w:szCs w:val="24"/>
        </w:rPr>
        <w:drawing>
          <wp:inline distT="0" distB="0" distL="0" distR="0">
            <wp:extent cx="5946321" cy="3169920"/>
            <wp:effectExtent l="19050" t="0" r="0" b="0"/>
            <wp:docPr id="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 xml:space="preserve">Структура доходов сельских поселений Бардымского муниципального района </w:t>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в 2014 году, %</w:t>
      </w:r>
    </w:p>
    <w:p w:rsidR="005D24C1" w:rsidRDefault="005D24C1" w:rsidP="005D24C1">
      <w:pPr>
        <w:jc w:val="center"/>
        <w:rPr>
          <w:rFonts w:ascii="Times New Roman" w:hAnsi="Times New Roman" w:cs="Times New Roman"/>
          <w:sz w:val="24"/>
          <w:szCs w:val="24"/>
        </w:rPr>
      </w:pPr>
      <w:r w:rsidRPr="007E6E64">
        <w:rPr>
          <w:rFonts w:ascii="Times New Roman" w:hAnsi="Times New Roman" w:cs="Times New Roman"/>
          <w:noProof/>
          <w:sz w:val="24"/>
          <w:szCs w:val="24"/>
        </w:rPr>
        <w:drawing>
          <wp:inline distT="0" distB="0" distL="0" distR="0">
            <wp:extent cx="5946321" cy="3413760"/>
            <wp:effectExtent l="19050" t="0" r="0" b="0"/>
            <wp:docPr id="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884844" w:rsidRDefault="00884844" w:rsidP="005D24C1">
      <w:pPr>
        <w:jc w:val="center"/>
        <w:rPr>
          <w:rFonts w:ascii="Times New Roman" w:hAnsi="Times New Roman" w:cs="Times New Roman"/>
          <w:b/>
          <w:sz w:val="24"/>
          <w:szCs w:val="24"/>
        </w:rPr>
      </w:pPr>
    </w:p>
    <w:p w:rsid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 xml:space="preserve">Структура доходов сельских поселений Бардымского муниципального района </w:t>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в 2015 году, %</w:t>
      </w:r>
    </w:p>
    <w:p w:rsidR="005D24C1" w:rsidRDefault="005D24C1" w:rsidP="005D24C1">
      <w:pPr>
        <w:jc w:val="center"/>
        <w:rPr>
          <w:rFonts w:ascii="Times New Roman" w:hAnsi="Times New Roman" w:cs="Times New Roman"/>
          <w:sz w:val="24"/>
          <w:szCs w:val="24"/>
        </w:rPr>
      </w:pPr>
    </w:p>
    <w:p w:rsidR="005D24C1" w:rsidRDefault="005D24C1" w:rsidP="005D24C1">
      <w:pPr>
        <w:jc w:val="center"/>
        <w:rPr>
          <w:rFonts w:ascii="Times New Roman" w:hAnsi="Times New Roman" w:cs="Times New Roman"/>
          <w:sz w:val="24"/>
          <w:szCs w:val="24"/>
        </w:rPr>
      </w:pPr>
      <w:r w:rsidRPr="007E6E64">
        <w:rPr>
          <w:rFonts w:ascii="Times New Roman" w:hAnsi="Times New Roman" w:cs="Times New Roman"/>
          <w:noProof/>
          <w:sz w:val="24"/>
          <w:szCs w:val="24"/>
        </w:rPr>
        <w:drawing>
          <wp:inline distT="0" distB="0" distL="0" distR="0">
            <wp:extent cx="5946321" cy="3213463"/>
            <wp:effectExtent l="19050" t="0" r="0" b="0"/>
            <wp:docPr id="1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 xml:space="preserve">Структура доходов сельских поселений Бардымского муниципального района </w:t>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в 2016 году, %</w:t>
      </w: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drawing>
          <wp:inline distT="0" distB="0" distL="0" distR="0">
            <wp:extent cx="5940425" cy="3260675"/>
            <wp:effectExtent l="0" t="0" r="0" b="0"/>
            <wp:docPr id="1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Бардымского сельского поселения</w:t>
      </w:r>
    </w:p>
    <w:p w:rsidR="005D24C1" w:rsidRDefault="005D24C1" w:rsidP="005D24C1">
      <w:pPr>
        <w:jc w:val="center"/>
        <w:rPr>
          <w:rFonts w:ascii="Times New Roman" w:hAnsi="Times New Roman" w:cs="Times New Roman"/>
          <w:sz w:val="24"/>
          <w:szCs w:val="24"/>
        </w:rPr>
      </w:pP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drawing>
          <wp:inline distT="0" distB="0" distL="0" distR="0">
            <wp:extent cx="5940425" cy="3348584"/>
            <wp:effectExtent l="0" t="0" r="0" b="0"/>
            <wp:docPr id="1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Березниковского сельского поселения</w:t>
      </w:r>
    </w:p>
    <w:p w:rsidR="005D24C1" w:rsidRDefault="005D24C1" w:rsidP="005D24C1">
      <w:pPr>
        <w:jc w:val="center"/>
        <w:rPr>
          <w:rFonts w:ascii="Times New Roman" w:hAnsi="Times New Roman" w:cs="Times New Roman"/>
          <w:sz w:val="24"/>
          <w:szCs w:val="24"/>
        </w:rPr>
      </w:pPr>
    </w:p>
    <w:p w:rsidR="00884844" w:rsidRDefault="00884844" w:rsidP="005D24C1">
      <w:pPr>
        <w:jc w:val="center"/>
        <w:rPr>
          <w:rFonts w:ascii="Times New Roman" w:hAnsi="Times New Roman" w:cs="Times New Roman"/>
          <w:sz w:val="24"/>
          <w:szCs w:val="24"/>
        </w:rPr>
      </w:pPr>
    </w:p>
    <w:p w:rsidR="00884844" w:rsidRDefault="00884844" w:rsidP="005D24C1">
      <w:pPr>
        <w:jc w:val="center"/>
        <w:rPr>
          <w:rFonts w:ascii="Times New Roman" w:hAnsi="Times New Roman" w:cs="Times New Roman"/>
          <w:sz w:val="24"/>
          <w:szCs w:val="24"/>
        </w:rPr>
      </w:pP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drawing>
          <wp:inline distT="0" distB="0" distL="0" distR="0">
            <wp:extent cx="5940425" cy="2715623"/>
            <wp:effectExtent l="0" t="0" r="0" b="0"/>
            <wp:docPr id="13"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Бичуринского сельского поселения</w:t>
      </w:r>
    </w:p>
    <w:p w:rsidR="005D24C1" w:rsidRDefault="005D24C1" w:rsidP="005D24C1">
      <w:pPr>
        <w:jc w:val="center"/>
        <w:rPr>
          <w:rFonts w:ascii="Times New Roman" w:hAnsi="Times New Roman" w:cs="Times New Roman"/>
          <w:b/>
          <w:sz w:val="24"/>
          <w:szCs w:val="24"/>
        </w:rPr>
      </w:pPr>
    </w:p>
    <w:p w:rsidR="00884844" w:rsidRDefault="00884844" w:rsidP="005D24C1">
      <w:pPr>
        <w:jc w:val="center"/>
        <w:rPr>
          <w:rFonts w:ascii="Times New Roman" w:hAnsi="Times New Roman" w:cs="Times New Roman"/>
          <w:b/>
          <w:sz w:val="24"/>
          <w:szCs w:val="24"/>
        </w:rPr>
      </w:pPr>
    </w:p>
    <w:p w:rsidR="00884844" w:rsidRDefault="00884844" w:rsidP="005D24C1">
      <w:pPr>
        <w:jc w:val="center"/>
        <w:rPr>
          <w:rFonts w:ascii="Times New Roman" w:hAnsi="Times New Roman" w:cs="Times New Roman"/>
          <w:b/>
          <w:sz w:val="24"/>
          <w:szCs w:val="24"/>
        </w:rPr>
      </w:pPr>
    </w:p>
    <w:p w:rsidR="00884844" w:rsidRPr="00884844" w:rsidRDefault="00884844" w:rsidP="005D24C1">
      <w:pPr>
        <w:jc w:val="center"/>
        <w:rPr>
          <w:rFonts w:ascii="Times New Roman" w:hAnsi="Times New Roman" w:cs="Times New Roman"/>
          <w:b/>
          <w:sz w:val="24"/>
          <w:szCs w:val="24"/>
        </w:rPr>
      </w:pP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drawing>
          <wp:inline distT="0" distB="0" distL="0" distR="0">
            <wp:extent cx="5943600" cy="3114675"/>
            <wp:effectExtent l="0" t="0" r="0" b="0"/>
            <wp:docPr id="1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Брюзлинского сельского поселения</w:t>
      </w:r>
    </w:p>
    <w:p w:rsidR="005D24C1" w:rsidRDefault="005D24C1" w:rsidP="005D24C1">
      <w:pPr>
        <w:jc w:val="center"/>
        <w:rPr>
          <w:rFonts w:ascii="Times New Roman" w:hAnsi="Times New Roman" w:cs="Times New Roman"/>
          <w:sz w:val="24"/>
          <w:szCs w:val="24"/>
        </w:rPr>
      </w:pPr>
    </w:p>
    <w:p w:rsidR="00884844" w:rsidRDefault="00884844" w:rsidP="005D24C1">
      <w:pPr>
        <w:jc w:val="center"/>
        <w:rPr>
          <w:rFonts w:ascii="Times New Roman" w:hAnsi="Times New Roman" w:cs="Times New Roman"/>
          <w:sz w:val="24"/>
          <w:szCs w:val="24"/>
        </w:rPr>
      </w:pPr>
    </w:p>
    <w:p w:rsidR="00884844" w:rsidRDefault="00884844" w:rsidP="005D24C1">
      <w:pPr>
        <w:jc w:val="center"/>
        <w:rPr>
          <w:rFonts w:ascii="Times New Roman" w:hAnsi="Times New Roman" w:cs="Times New Roman"/>
          <w:sz w:val="24"/>
          <w:szCs w:val="24"/>
        </w:rPr>
      </w:pP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drawing>
          <wp:inline distT="0" distB="0" distL="0" distR="0">
            <wp:extent cx="5943600" cy="3219450"/>
            <wp:effectExtent l="0" t="0" r="0" b="0"/>
            <wp:docPr id="1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Елпачихинского сельского поселения</w:t>
      </w: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lastRenderedPageBreak/>
        <w:drawing>
          <wp:inline distT="0" distB="0" distL="0" distR="0">
            <wp:extent cx="5940425" cy="2801557"/>
            <wp:effectExtent l="0" t="0" r="0" b="0"/>
            <wp:docPr id="16"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Красноярского сельского поселения</w:t>
      </w:r>
    </w:p>
    <w:p w:rsidR="005D24C1" w:rsidRDefault="005D24C1" w:rsidP="005D24C1">
      <w:pPr>
        <w:jc w:val="center"/>
        <w:rPr>
          <w:rFonts w:ascii="Times New Roman" w:hAnsi="Times New Roman" w:cs="Times New Roman"/>
          <w:sz w:val="24"/>
          <w:szCs w:val="24"/>
        </w:rPr>
      </w:pPr>
    </w:p>
    <w:p w:rsidR="00884844" w:rsidRDefault="00884844" w:rsidP="005D24C1">
      <w:pPr>
        <w:jc w:val="center"/>
        <w:rPr>
          <w:rFonts w:ascii="Times New Roman" w:hAnsi="Times New Roman" w:cs="Times New Roman"/>
          <w:sz w:val="24"/>
          <w:szCs w:val="24"/>
        </w:rPr>
      </w:pPr>
    </w:p>
    <w:p w:rsidR="00884844" w:rsidRDefault="00884844" w:rsidP="005D24C1">
      <w:pPr>
        <w:jc w:val="center"/>
        <w:rPr>
          <w:rFonts w:ascii="Times New Roman" w:hAnsi="Times New Roman" w:cs="Times New Roman"/>
          <w:sz w:val="24"/>
          <w:szCs w:val="24"/>
        </w:rPr>
      </w:pP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drawing>
          <wp:inline distT="0" distB="0" distL="0" distR="0">
            <wp:extent cx="5867400" cy="3152775"/>
            <wp:effectExtent l="0" t="0" r="0" b="0"/>
            <wp:docPr id="17"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Новоашапского сельского поселения</w:t>
      </w:r>
    </w:p>
    <w:p w:rsidR="005D24C1" w:rsidRDefault="005D24C1" w:rsidP="005D24C1">
      <w:pPr>
        <w:jc w:val="center"/>
        <w:rPr>
          <w:rFonts w:ascii="Times New Roman" w:hAnsi="Times New Roman" w:cs="Times New Roman"/>
          <w:sz w:val="24"/>
          <w:szCs w:val="24"/>
        </w:rPr>
      </w:pP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lastRenderedPageBreak/>
        <w:drawing>
          <wp:inline distT="0" distB="0" distL="0" distR="0">
            <wp:extent cx="5940425" cy="3098116"/>
            <wp:effectExtent l="0" t="0" r="0" b="0"/>
            <wp:docPr id="18"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Печменского сельского поселения</w:t>
      </w:r>
    </w:p>
    <w:p w:rsidR="005D24C1" w:rsidRDefault="005D24C1" w:rsidP="005D24C1">
      <w:pPr>
        <w:jc w:val="center"/>
        <w:rPr>
          <w:rFonts w:ascii="Times New Roman" w:hAnsi="Times New Roman" w:cs="Times New Roman"/>
          <w:sz w:val="24"/>
          <w:szCs w:val="24"/>
        </w:rPr>
      </w:pPr>
    </w:p>
    <w:p w:rsidR="00884844" w:rsidRDefault="00884844" w:rsidP="005D24C1">
      <w:pPr>
        <w:jc w:val="center"/>
        <w:rPr>
          <w:rFonts w:ascii="Times New Roman" w:hAnsi="Times New Roman" w:cs="Times New Roman"/>
          <w:sz w:val="24"/>
          <w:szCs w:val="24"/>
        </w:rPr>
      </w:pPr>
    </w:p>
    <w:p w:rsidR="00884844" w:rsidRDefault="00884844" w:rsidP="005D24C1">
      <w:pPr>
        <w:jc w:val="center"/>
        <w:rPr>
          <w:rFonts w:ascii="Times New Roman" w:hAnsi="Times New Roman" w:cs="Times New Roman"/>
          <w:sz w:val="24"/>
          <w:szCs w:val="24"/>
        </w:rPr>
      </w:pP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drawing>
          <wp:inline distT="0" distB="0" distL="0" distR="0">
            <wp:extent cx="5924550" cy="3181350"/>
            <wp:effectExtent l="0" t="0" r="0" b="0"/>
            <wp:docPr id="19"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Сарашевского сельского поселения</w:t>
      </w:r>
    </w:p>
    <w:p w:rsidR="005D24C1" w:rsidRDefault="005D24C1" w:rsidP="005D24C1">
      <w:pPr>
        <w:rPr>
          <w:rFonts w:ascii="Times New Roman" w:hAnsi="Times New Roman" w:cs="Times New Roman"/>
          <w:sz w:val="24"/>
          <w:szCs w:val="24"/>
        </w:rPr>
      </w:pPr>
    </w:p>
    <w:p w:rsidR="005D24C1" w:rsidRDefault="005D24C1" w:rsidP="005D24C1">
      <w:pPr>
        <w:rPr>
          <w:rFonts w:ascii="Times New Roman" w:hAnsi="Times New Roman" w:cs="Times New Roman"/>
          <w:sz w:val="24"/>
          <w:szCs w:val="24"/>
        </w:rPr>
      </w:pPr>
      <w:r w:rsidRPr="00205255">
        <w:rPr>
          <w:rFonts w:ascii="Times New Roman" w:hAnsi="Times New Roman" w:cs="Times New Roman"/>
          <w:noProof/>
          <w:sz w:val="24"/>
          <w:szCs w:val="24"/>
        </w:rPr>
        <w:lastRenderedPageBreak/>
        <w:drawing>
          <wp:inline distT="0" distB="0" distL="0" distR="0">
            <wp:extent cx="5819775" cy="3667125"/>
            <wp:effectExtent l="0" t="0" r="0" b="0"/>
            <wp:docPr id="20"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5D24C1"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Тюндюковского сельского поселения</w:t>
      </w:r>
    </w:p>
    <w:p w:rsidR="00884844" w:rsidRDefault="00884844" w:rsidP="005D24C1">
      <w:pPr>
        <w:jc w:val="center"/>
        <w:rPr>
          <w:rFonts w:ascii="Times New Roman" w:hAnsi="Times New Roman" w:cs="Times New Roman"/>
          <w:b/>
          <w:sz w:val="24"/>
          <w:szCs w:val="24"/>
        </w:rPr>
      </w:pPr>
    </w:p>
    <w:p w:rsidR="00884844" w:rsidRPr="00884844" w:rsidRDefault="00884844" w:rsidP="005D24C1">
      <w:pPr>
        <w:jc w:val="center"/>
        <w:rPr>
          <w:rFonts w:ascii="Times New Roman" w:hAnsi="Times New Roman" w:cs="Times New Roman"/>
          <w:b/>
          <w:sz w:val="24"/>
          <w:szCs w:val="24"/>
        </w:rPr>
      </w:pP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drawing>
          <wp:inline distT="0" distB="0" distL="0" distR="0">
            <wp:extent cx="5657850" cy="2743200"/>
            <wp:effectExtent l="0" t="0" r="0" b="0"/>
            <wp:docPr id="21"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Федорковского сельского поселения</w:t>
      </w: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lastRenderedPageBreak/>
        <w:drawing>
          <wp:inline distT="0" distB="0" distL="0" distR="0">
            <wp:extent cx="5940425" cy="2884071"/>
            <wp:effectExtent l="19050" t="0" r="22225" b="0"/>
            <wp:docPr id="22"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Шермейского сельского поселения</w:t>
      </w:r>
    </w:p>
    <w:p w:rsidR="005D24C1" w:rsidRPr="006B1969" w:rsidRDefault="005D24C1" w:rsidP="005D24C1">
      <w:pPr>
        <w:rPr>
          <w:rFonts w:ascii="Times New Roman" w:hAnsi="Times New Roman" w:cs="Times New Roman"/>
          <w:sz w:val="24"/>
          <w:szCs w:val="24"/>
        </w:rPr>
      </w:pPr>
    </w:p>
    <w:p w:rsidR="005D24C1" w:rsidRDefault="005D24C1">
      <w:pPr>
        <w:rPr>
          <w:rFonts w:ascii="Times New Roman" w:eastAsia="Times New Roman" w:hAnsi="Times New Roman" w:cs="Times New Roman"/>
          <w:sz w:val="20"/>
          <w:szCs w:val="20"/>
        </w:rPr>
      </w:pPr>
    </w:p>
    <w:p w:rsidR="005D24C1" w:rsidRPr="00F805FA" w:rsidRDefault="005D24C1" w:rsidP="00153E07">
      <w:pPr>
        <w:tabs>
          <w:tab w:val="left" w:pos="2177"/>
        </w:tabs>
        <w:spacing w:after="0"/>
        <w:jc w:val="both"/>
        <w:rPr>
          <w:rFonts w:ascii="Times New Roman" w:eastAsia="Times New Roman" w:hAnsi="Times New Roman" w:cs="Times New Roman"/>
          <w:sz w:val="20"/>
          <w:szCs w:val="20"/>
        </w:rPr>
      </w:pPr>
    </w:p>
    <w:p w:rsidR="005D24C1" w:rsidRDefault="005D24C1" w:rsidP="00153E07">
      <w:pPr>
        <w:spacing w:after="160" w:line="259" w:lineRule="auto"/>
        <w:jc w:val="both"/>
        <w:rPr>
          <w:rFonts w:ascii="Times New Roman" w:hAnsi="Times New Roman" w:cs="Times New Roman"/>
          <w:sz w:val="20"/>
          <w:szCs w:val="20"/>
        </w:rPr>
        <w:sectPr w:rsidR="005D24C1" w:rsidSect="001D3C25">
          <w:headerReference w:type="default" r:id="rId134"/>
          <w:pgSz w:w="11906" w:h="16838"/>
          <w:pgMar w:top="851" w:right="567" w:bottom="851" w:left="1418" w:header="709" w:footer="709" w:gutter="0"/>
          <w:cols w:space="708"/>
          <w:docGrid w:linePitch="360"/>
        </w:sectPr>
      </w:pPr>
    </w:p>
    <w:p w:rsidR="005D24C1" w:rsidRPr="00884844" w:rsidRDefault="005D24C1" w:rsidP="005D24C1">
      <w:pPr>
        <w:spacing w:after="0"/>
        <w:ind w:firstLine="709"/>
        <w:jc w:val="right"/>
        <w:rPr>
          <w:rFonts w:ascii="Times New Roman" w:eastAsia="Times New Roman" w:hAnsi="Times New Roman" w:cs="Times New Roman"/>
          <w:b/>
          <w:sz w:val="28"/>
          <w:szCs w:val="28"/>
        </w:rPr>
      </w:pPr>
      <w:r w:rsidRPr="00884844">
        <w:rPr>
          <w:rFonts w:ascii="Times New Roman" w:eastAsia="Times New Roman" w:hAnsi="Times New Roman" w:cs="Times New Roman"/>
          <w:b/>
          <w:sz w:val="28"/>
          <w:szCs w:val="28"/>
        </w:rPr>
        <w:lastRenderedPageBreak/>
        <w:t>Приложение 2</w:t>
      </w:r>
    </w:p>
    <w:p w:rsidR="005D24C1" w:rsidRPr="00884844" w:rsidRDefault="005D24C1" w:rsidP="005D24C1">
      <w:pPr>
        <w:spacing w:after="0"/>
        <w:jc w:val="center"/>
        <w:rPr>
          <w:rFonts w:ascii="Times New Roman" w:eastAsia="Times New Roman" w:hAnsi="Times New Roman" w:cs="Times New Roman"/>
          <w:b/>
          <w:sz w:val="28"/>
          <w:szCs w:val="28"/>
        </w:rPr>
      </w:pPr>
      <w:r w:rsidRPr="00884844">
        <w:rPr>
          <w:rFonts w:ascii="Times New Roman" w:eastAsia="Times New Roman" w:hAnsi="Times New Roman" w:cs="Times New Roman"/>
          <w:b/>
          <w:sz w:val="28"/>
          <w:szCs w:val="28"/>
        </w:rPr>
        <w:t>Коэффициенты корреляции Пирсона, отражающие тесноту взаимосвязи факторов, влияющих на экономический рост Бардымского муниципального района</w:t>
      </w:r>
    </w:p>
    <w:tbl>
      <w:tblPr>
        <w:tblW w:w="5000" w:type="pct"/>
        <w:tblLayout w:type="fixed"/>
        <w:tblLook w:val="04A0"/>
      </w:tblPr>
      <w:tblGrid>
        <w:gridCol w:w="2070"/>
        <w:gridCol w:w="990"/>
        <w:gridCol w:w="884"/>
        <w:gridCol w:w="881"/>
        <w:gridCol w:w="884"/>
        <w:gridCol w:w="881"/>
        <w:gridCol w:w="884"/>
        <w:gridCol w:w="881"/>
        <w:gridCol w:w="884"/>
        <w:gridCol w:w="881"/>
        <w:gridCol w:w="884"/>
        <w:gridCol w:w="881"/>
        <w:gridCol w:w="884"/>
        <w:gridCol w:w="946"/>
        <w:gridCol w:w="765"/>
        <w:gridCol w:w="872"/>
      </w:tblGrid>
      <w:tr w:rsidR="005D24C1" w:rsidRPr="005D24C1" w:rsidTr="00424AF3">
        <w:trPr>
          <w:cantSplit/>
          <w:trHeight w:val="2417"/>
        </w:trPr>
        <w:tc>
          <w:tcPr>
            <w:tcW w:w="67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i/>
                <w:iCs/>
                <w:color w:val="000000"/>
                <w:sz w:val="19"/>
                <w:szCs w:val="19"/>
              </w:rPr>
            </w:pPr>
            <w:r w:rsidRPr="00884844">
              <w:rPr>
                <w:rFonts w:ascii="Times New Roman" w:eastAsia="Times New Roman" w:hAnsi="Times New Roman" w:cs="Times New Roman"/>
                <w:b/>
                <w:i/>
                <w:iCs/>
                <w:color w:val="000000"/>
                <w:sz w:val="19"/>
                <w:szCs w:val="19"/>
              </w:rPr>
              <w:t> </w:t>
            </w:r>
          </w:p>
        </w:tc>
        <w:tc>
          <w:tcPr>
            <w:tcW w:w="322"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Объем отгруженных товаров собственного производства, работ и услуг</w:t>
            </w:r>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Курс доллара</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Количество зарегистрированных организаций</w:t>
            </w:r>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Численность постоянного населения на конец года</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Численность населения в трудоспособном возрасте</w:t>
            </w:r>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Среднесписочная численность работников организаций</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Производительность труда, тыс.</w:t>
            </w:r>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Доходы бюджета района</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Расходы бюджета района</w:t>
            </w:r>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Соотношение покуп. способности зар. платы и прожит. минимума</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Инвестиции в основной капитал</w:t>
            </w:r>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Число ИП и КФХ.</w:t>
            </w:r>
          </w:p>
        </w:tc>
        <w:tc>
          <w:tcPr>
            <w:tcW w:w="308"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Выбросы в атмосферу загрязняющих веществ от стац. источн. в расчете на 1 жителя</w:t>
            </w:r>
          </w:p>
        </w:tc>
        <w:tc>
          <w:tcPr>
            <w:tcW w:w="249"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Естественный прирост населения</w:t>
            </w:r>
          </w:p>
        </w:tc>
        <w:tc>
          <w:tcPr>
            <w:tcW w:w="284"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Заявленная предприятиями и организациями потребность в работниках</w:t>
            </w:r>
          </w:p>
        </w:tc>
      </w:tr>
      <w:tr w:rsidR="005D24C1" w:rsidRPr="005D24C1" w:rsidTr="00424AF3">
        <w:trPr>
          <w:trHeight w:val="315"/>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Курс доллара</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0,614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945"/>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Количество зарегистрированных организаций</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-0,690</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-0,811</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945"/>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Численность постоянного населения на конец года</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-0,125</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-0,577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0,443</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945"/>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Численность населения в трудоспособном возрасте</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-0,620</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-0,957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0,866</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0,367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630"/>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Среднесписочная численность работников организаций</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-0,182</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-0,746</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0,764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0,402</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0,821</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630"/>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Производительность труда</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0,786</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0,849</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-0,981</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-0,367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-0,905</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-0,729</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1,000</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630"/>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Доходы бюджета района</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-0,890</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-0,482</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0,441</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0,260</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0,385</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-0,140</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-0,527</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1,000</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315"/>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 xml:space="preserve">Расходы бюджета </w:t>
            </w:r>
            <w:r w:rsidRPr="005D24C1">
              <w:rPr>
                <w:rFonts w:ascii="Times New Roman" w:eastAsia="Times New Roman" w:hAnsi="Times New Roman" w:cs="Times New Roman"/>
                <w:color w:val="000000"/>
                <w:sz w:val="19"/>
                <w:szCs w:val="19"/>
              </w:rPr>
              <w:lastRenderedPageBreak/>
              <w:t>района</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lastRenderedPageBreak/>
              <w:t>-0,870</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-0,837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0,766</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0,504</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0,765</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0,345</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-0,817</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0,867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900"/>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sz w:val="19"/>
                <w:szCs w:val="19"/>
              </w:rPr>
            </w:pPr>
            <w:r w:rsidRPr="005D24C1">
              <w:rPr>
                <w:rFonts w:ascii="Times New Roman" w:eastAsia="Times New Roman" w:hAnsi="Times New Roman" w:cs="Times New Roman"/>
                <w:color w:val="000000"/>
                <w:sz w:val="19"/>
                <w:szCs w:val="19"/>
              </w:rPr>
              <w:lastRenderedPageBreak/>
              <w:t>Соотношение покуп. способности зар. платы и прожит. минимума</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-0,485</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0,065</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-0,243</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-0,068</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-0,208</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-0,605</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0,109</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0,678</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0,294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600"/>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sz w:val="19"/>
                <w:szCs w:val="19"/>
              </w:rPr>
            </w:pPr>
            <w:r w:rsidRPr="005D24C1">
              <w:rPr>
                <w:rFonts w:ascii="Times New Roman" w:eastAsia="Times New Roman" w:hAnsi="Times New Roman" w:cs="Times New Roman"/>
                <w:sz w:val="19"/>
                <w:szCs w:val="19"/>
              </w:rPr>
              <w:t>Инвестиции в основной капитал</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-0,495</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-0,461</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0,616</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0,028</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0,554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0,639</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-0,671</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0,099</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0,275</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-0,011</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315"/>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Число ИП и КФХ</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0,400</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0,405</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-0,805</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0,035</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-0,610</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-0,670</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0,754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-0,047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-0,332</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0,557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-0,540</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1260"/>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Выбросы в атмосферу загрязняющих веществ от стационарных  источников в расчете на одного жителя</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0,248</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-0,116</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0,008</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0,862</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-0,118</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-0,003</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0,107</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0,047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0,136</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-0,063</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-0,396</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0,331</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630"/>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Естественный прирост населения</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-0,444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-0,645</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0,918</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0,589</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0,673</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0,703</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-0,826</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0,277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0,614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-0,433</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0,392</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-0,776</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0,293</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945"/>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Заявленная предприятиями и организациями потребность в работниках</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0,146</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-0,579</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0,232</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0,736</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0,434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0,421</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-0,174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0,017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0,354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-0,336</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-0,313</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0,096</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0,657</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0,346</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421"/>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Численность безработных</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0,179</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-0,472</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0,534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0,237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0,594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0,894</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-0,450</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-0,460</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0,031</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-0,890</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0,335</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-0,653</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0,005</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0,587</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0,456</w:t>
            </w:r>
          </w:p>
        </w:tc>
      </w:tr>
    </w:tbl>
    <w:p w:rsidR="005D24C1" w:rsidRPr="005D24C1" w:rsidRDefault="005D24C1" w:rsidP="005D24C1">
      <w:pPr>
        <w:spacing w:after="0"/>
        <w:ind w:firstLine="709"/>
        <w:rPr>
          <w:rFonts w:ascii="Times New Roman" w:eastAsia="Times New Roman" w:hAnsi="Times New Roman" w:cs="Times New Roman"/>
          <w:szCs w:val="24"/>
        </w:rPr>
      </w:pPr>
    </w:p>
    <w:p w:rsidR="005D24C1" w:rsidRPr="005D24C1" w:rsidRDefault="005D24C1" w:rsidP="005D24C1">
      <w:pPr>
        <w:spacing w:after="0"/>
        <w:ind w:firstLine="709"/>
        <w:rPr>
          <w:rFonts w:ascii="Times New Roman" w:eastAsia="Times New Roman" w:hAnsi="Times New Roman" w:cs="Times New Roman"/>
          <w:szCs w:val="24"/>
        </w:rPr>
      </w:pPr>
    </w:p>
    <w:p w:rsidR="005D24C1" w:rsidRPr="00884844" w:rsidRDefault="005D24C1" w:rsidP="005D24C1">
      <w:pPr>
        <w:jc w:val="right"/>
        <w:rPr>
          <w:rFonts w:ascii="Times New Roman" w:eastAsia="Times New Roman" w:hAnsi="Times New Roman" w:cs="Times New Roman"/>
          <w:b/>
          <w:sz w:val="28"/>
          <w:szCs w:val="28"/>
        </w:rPr>
      </w:pPr>
      <w:r w:rsidRPr="005D24C1">
        <w:rPr>
          <w:rFonts w:ascii="Times New Roman" w:eastAsia="Times New Roman" w:hAnsi="Times New Roman" w:cs="Times New Roman"/>
          <w:szCs w:val="24"/>
        </w:rPr>
        <w:br w:type="page"/>
      </w:r>
      <w:r w:rsidRPr="00884844">
        <w:rPr>
          <w:rFonts w:ascii="Times New Roman" w:eastAsia="Times New Roman" w:hAnsi="Times New Roman" w:cs="Times New Roman"/>
          <w:b/>
          <w:sz w:val="28"/>
          <w:szCs w:val="28"/>
        </w:rPr>
        <w:lastRenderedPageBreak/>
        <w:t>Приложение 3</w:t>
      </w:r>
    </w:p>
    <w:p w:rsidR="005D24C1" w:rsidRPr="00884844" w:rsidRDefault="005D24C1" w:rsidP="005D24C1">
      <w:pPr>
        <w:spacing w:after="0"/>
        <w:jc w:val="center"/>
        <w:rPr>
          <w:rFonts w:ascii="Times New Roman" w:eastAsia="Times New Roman" w:hAnsi="Times New Roman" w:cs="Times New Roman"/>
          <w:b/>
          <w:sz w:val="28"/>
          <w:szCs w:val="28"/>
        </w:rPr>
      </w:pPr>
      <w:r w:rsidRPr="00884844">
        <w:rPr>
          <w:rFonts w:ascii="Times New Roman" w:eastAsia="Times New Roman" w:hAnsi="Times New Roman" w:cs="Times New Roman"/>
          <w:b/>
          <w:sz w:val="28"/>
          <w:szCs w:val="28"/>
        </w:rPr>
        <w:t>Характеристика коэффициентов корреляции Пирсона в соответствии с критериями Чеддока</w:t>
      </w:r>
    </w:p>
    <w:tbl>
      <w:tblPr>
        <w:tblW w:w="5000" w:type="pct"/>
        <w:tblLayout w:type="fixed"/>
        <w:tblLook w:val="04A0"/>
      </w:tblPr>
      <w:tblGrid>
        <w:gridCol w:w="2322"/>
        <w:gridCol w:w="1177"/>
        <w:gridCol w:w="738"/>
        <w:gridCol w:w="734"/>
        <w:gridCol w:w="1032"/>
        <w:gridCol w:w="881"/>
        <w:gridCol w:w="1032"/>
        <w:gridCol w:w="881"/>
        <w:gridCol w:w="737"/>
        <w:gridCol w:w="586"/>
        <w:gridCol w:w="1032"/>
        <w:gridCol w:w="881"/>
        <w:gridCol w:w="642"/>
        <w:gridCol w:w="943"/>
        <w:gridCol w:w="623"/>
        <w:gridCol w:w="1111"/>
      </w:tblGrid>
      <w:tr w:rsidR="005D24C1" w:rsidRPr="00884844" w:rsidTr="00424AF3">
        <w:trPr>
          <w:cantSplit/>
          <w:trHeight w:val="2835"/>
        </w:trPr>
        <w:tc>
          <w:tcPr>
            <w:tcW w:w="75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i/>
                <w:iCs/>
                <w:color w:val="000000"/>
                <w:sz w:val="20"/>
                <w:szCs w:val="20"/>
              </w:rPr>
            </w:pPr>
            <w:r w:rsidRPr="00884844">
              <w:rPr>
                <w:rFonts w:ascii="Times New Roman" w:eastAsia="Times New Roman" w:hAnsi="Times New Roman" w:cs="Times New Roman"/>
                <w:b/>
                <w:i/>
                <w:iCs/>
                <w:color w:val="000000"/>
                <w:sz w:val="20"/>
                <w:szCs w:val="20"/>
              </w:rPr>
              <w:t> </w:t>
            </w:r>
          </w:p>
        </w:tc>
        <w:tc>
          <w:tcPr>
            <w:tcW w:w="383"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Объем отгруженных товаров собственного производства, выполненных работ и услуг</w:t>
            </w:r>
          </w:p>
        </w:tc>
        <w:tc>
          <w:tcPr>
            <w:tcW w:w="240"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Курс доллара</w:t>
            </w:r>
          </w:p>
        </w:tc>
        <w:tc>
          <w:tcPr>
            <w:tcW w:w="239"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Количество зарегистрированных организаций</w:t>
            </w:r>
          </w:p>
        </w:tc>
        <w:tc>
          <w:tcPr>
            <w:tcW w:w="336"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Численность постоянного населения на конец года</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Численность населения в трудоспособном возрасте</w:t>
            </w:r>
          </w:p>
        </w:tc>
        <w:tc>
          <w:tcPr>
            <w:tcW w:w="336"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Среднесписочная численность работников организаций</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Производительность труда</w:t>
            </w:r>
          </w:p>
        </w:tc>
        <w:tc>
          <w:tcPr>
            <w:tcW w:w="240"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Доходы бюджета района</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Расходы бюджета района</w:t>
            </w:r>
          </w:p>
        </w:tc>
        <w:tc>
          <w:tcPr>
            <w:tcW w:w="336"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19"/>
                <w:szCs w:val="19"/>
              </w:rPr>
              <w:t>Соотношение покуп. способности зар. платы и прожит. минимума</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Инвестиции в основной капитал</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Число ИП и КФХ</w:t>
            </w:r>
          </w:p>
        </w:tc>
        <w:tc>
          <w:tcPr>
            <w:tcW w:w="307"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Выбросы в атмосферу загрязняющих веществ от стационарных  источников в расчете на одного жителя</w:t>
            </w:r>
          </w:p>
        </w:tc>
        <w:tc>
          <w:tcPr>
            <w:tcW w:w="203"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Естественный прирост населения</w:t>
            </w:r>
          </w:p>
        </w:tc>
        <w:tc>
          <w:tcPr>
            <w:tcW w:w="362"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Заявленная предприятиями и организациями потребность в работниках</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Курс доллара, руб.</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240"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3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0"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191"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Количество зарегистрированных организаций, ед.</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23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0"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191"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Численность постоянного населения на конец года, человек</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0"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191"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Численность населения в трудоспособном возрасте, человек</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очень высокая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0"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191"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lastRenderedPageBreak/>
              <w:t>Среднесписочная численность работников организаций, чел.</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0"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191"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Производительность труда, тыс.руб./чел.</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очень высокая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очень высокая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0"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191"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Доходы бюджета района, тыс.руб.</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240"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191"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Расходы бюджета района, тыс.руб.</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191"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260"/>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19"/>
                <w:szCs w:val="19"/>
              </w:rPr>
              <w:t>Соотношение покуп. способности зар. платы и прожит. минимума</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191"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Инвестиции в основной капитал, млн.руб.</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191"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Число ИП и КФХ, ед.</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191"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260"/>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lastRenderedPageBreak/>
              <w:t>Выбросы в атмосферу загрязняющих веществ от стационарных  источников в расчете на одного жителя, кг.</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191"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Естественный прирост населения, человек</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очень высокая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191"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30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Заявленная предприятиями и организациями потребность в работниках, человек</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191"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30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20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260"/>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Численность безработных зарегистрированных в государственных службах занятости, человек</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191"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30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0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362"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r>
    </w:tbl>
    <w:p w:rsidR="005D24C1" w:rsidRDefault="005D24C1" w:rsidP="005D24C1">
      <w:pPr>
        <w:spacing w:after="0"/>
        <w:ind w:firstLine="709"/>
        <w:rPr>
          <w:rFonts w:eastAsia="Times New Roman" w:cs="Times New Roman"/>
          <w:szCs w:val="24"/>
        </w:rPr>
      </w:pPr>
    </w:p>
    <w:p w:rsidR="00E65761" w:rsidRDefault="00E65761">
      <w:pPr>
        <w:rPr>
          <w:rFonts w:eastAsia="Times New Roman" w:cs="Times New Roman"/>
          <w:szCs w:val="24"/>
        </w:rPr>
      </w:pPr>
      <w:r>
        <w:rPr>
          <w:rFonts w:eastAsia="Times New Roman" w:cs="Times New Roman"/>
          <w:szCs w:val="24"/>
        </w:rPr>
        <w:br w:type="page"/>
      </w:r>
    </w:p>
    <w:p w:rsidR="00E65761" w:rsidRPr="00884844" w:rsidRDefault="00E65761" w:rsidP="00E65761">
      <w:pPr>
        <w:spacing w:after="0"/>
        <w:jc w:val="right"/>
        <w:rPr>
          <w:rFonts w:ascii="Times New Roman" w:eastAsia="Times New Roman" w:hAnsi="Times New Roman" w:cs="Times New Roman"/>
          <w:b/>
          <w:sz w:val="28"/>
          <w:szCs w:val="28"/>
        </w:rPr>
      </w:pPr>
      <w:r w:rsidRPr="00884844">
        <w:rPr>
          <w:rFonts w:ascii="Times New Roman" w:eastAsia="Times New Roman" w:hAnsi="Times New Roman" w:cs="Times New Roman"/>
          <w:b/>
          <w:sz w:val="28"/>
          <w:szCs w:val="28"/>
        </w:rPr>
        <w:lastRenderedPageBreak/>
        <w:t>Приложение 4</w:t>
      </w:r>
    </w:p>
    <w:p w:rsidR="00E65761" w:rsidRPr="00884844" w:rsidRDefault="00E65761" w:rsidP="00E65761">
      <w:pPr>
        <w:spacing w:after="0"/>
        <w:jc w:val="center"/>
        <w:rPr>
          <w:rFonts w:ascii="Times New Roman" w:eastAsia="Times New Roman" w:hAnsi="Times New Roman" w:cs="Times New Roman"/>
          <w:b/>
          <w:sz w:val="28"/>
          <w:szCs w:val="28"/>
        </w:rPr>
      </w:pPr>
      <w:r w:rsidRPr="00884844">
        <w:rPr>
          <w:rFonts w:ascii="Times New Roman" w:eastAsia="Times New Roman" w:hAnsi="Times New Roman" w:cs="Times New Roman"/>
          <w:b/>
          <w:sz w:val="28"/>
          <w:szCs w:val="28"/>
        </w:rPr>
        <w:t xml:space="preserve">Система целевых показателей и индикаторов реализации Стратегии социально-экономического развития </w:t>
      </w:r>
      <w:r w:rsidR="00E97C6A" w:rsidRPr="00884844">
        <w:rPr>
          <w:rFonts w:ascii="Times New Roman" w:eastAsia="Times New Roman" w:hAnsi="Times New Roman" w:cs="Times New Roman"/>
          <w:b/>
          <w:sz w:val="28"/>
          <w:szCs w:val="28"/>
        </w:rPr>
        <w:t>Бардымского</w:t>
      </w:r>
      <w:r w:rsidRPr="00884844">
        <w:rPr>
          <w:rFonts w:ascii="Times New Roman" w:eastAsia="Times New Roman" w:hAnsi="Times New Roman" w:cs="Times New Roman"/>
          <w:b/>
          <w:sz w:val="28"/>
          <w:szCs w:val="28"/>
        </w:rPr>
        <w:t xml:space="preserve"> муниципального района на 2017-2030 годы</w:t>
      </w:r>
    </w:p>
    <w:tbl>
      <w:tblPr>
        <w:tblW w:w="160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7"/>
        <w:gridCol w:w="2084"/>
        <w:gridCol w:w="5940"/>
        <w:gridCol w:w="6212"/>
      </w:tblGrid>
      <w:tr w:rsidR="00E65761" w:rsidRPr="00E97C6A" w:rsidTr="00E65761">
        <w:trPr>
          <w:trHeight w:val="255"/>
        </w:trPr>
        <w:tc>
          <w:tcPr>
            <w:tcW w:w="16043" w:type="dxa"/>
            <w:gridSpan w:val="4"/>
            <w:noWrap/>
            <w:vAlign w:val="center"/>
          </w:tcPr>
          <w:p w:rsidR="00E65761" w:rsidRPr="00884844" w:rsidRDefault="00E65761" w:rsidP="00530383">
            <w:pPr>
              <w:spacing w:after="0" w:line="240" w:lineRule="auto"/>
              <w:jc w:val="center"/>
              <w:rPr>
                <w:rFonts w:ascii="Times New Roman" w:eastAsia="Times New Roman" w:hAnsi="Times New Roman"/>
                <w:b/>
                <w:bCs/>
                <w:color w:val="000000"/>
                <w:sz w:val="18"/>
                <w:szCs w:val="18"/>
              </w:rPr>
            </w:pPr>
            <w:r w:rsidRPr="00884844">
              <w:rPr>
                <w:rFonts w:ascii="Times New Roman" w:eastAsia="Times New Roman" w:hAnsi="Times New Roman"/>
                <w:b/>
                <w:bCs/>
                <w:color w:val="000000"/>
                <w:sz w:val="18"/>
                <w:szCs w:val="18"/>
              </w:rPr>
              <w:t>Стратегическая Цель - Рост  человеческого потенциала.</w:t>
            </w:r>
          </w:p>
        </w:tc>
      </w:tr>
      <w:tr w:rsidR="00E65761" w:rsidRPr="00E97C6A" w:rsidTr="00E65761">
        <w:trPr>
          <w:trHeight w:val="270"/>
        </w:trPr>
        <w:tc>
          <w:tcPr>
            <w:tcW w:w="1807" w:type="dxa"/>
            <w:noWrap/>
            <w:vAlign w:val="center"/>
          </w:tcPr>
          <w:p w:rsidR="00E65761" w:rsidRPr="00ED6628" w:rsidRDefault="00E65761" w:rsidP="00530383">
            <w:pPr>
              <w:spacing w:after="0" w:line="240" w:lineRule="auto"/>
              <w:jc w:val="center"/>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Сфера</w:t>
            </w:r>
          </w:p>
        </w:tc>
        <w:tc>
          <w:tcPr>
            <w:tcW w:w="2084" w:type="dxa"/>
            <w:noWrap/>
            <w:vAlign w:val="center"/>
          </w:tcPr>
          <w:p w:rsidR="00E65761" w:rsidRPr="00ED6628" w:rsidRDefault="00E65761" w:rsidP="00530383">
            <w:pPr>
              <w:spacing w:after="0" w:line="240" w:lineRule="auto"/>
              <w:jc w:val="center"/>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Направления развития</w:t>
            </w:r>
          </w:p>
        </w:tc>
        <w:tc>
          <w:tcPr>
            <w:tcW w:w="5940" w:type="dxa"/>
            <w:noWrap/>
            <w:vAlign w:val="center"/>
          </w:tcPr>
          <w:p w:rsidR="00E65761" w:rsidRPr="00884844" w:rsidRDefault="00E65761" w:rsidP="00530383">
            <w:pPr>
              <w:spacing w:after="0" w:line="240" w:lineRule="auto"/>
              <w:jc w:val="center"/>
              <w:rPr>
                <w:rFonts w:ascii="Times New Roman" w:eastAsia="Times New Roman" w:hAnsi="Times New Roman"/>
                <w:b/>
                <w:bCs/>
                <w:color w:val="000000"/>
                <w:sz w:val="18"/>
                <w:szCs w:val="18"/>
              </w:rPr>
            </w:pPr>
            <w:r w:rsidRPr="00884844">
              <w:rPr>
                <w:rFonts w:ascii="Times New Roman" w:eastAsia="Times New Roman" w:hAnsi="Times New Roman"/>
                <w:b/>
                <w:bCs/>
                <w:color w:val="000000"/>
                <w:sz w:val="18"/>
                <w:szCs w:val="18"/>
              </w:rPr>
              <w:t>Показатели 1-го уровня</w:t>
            </w:r>
          </w:p>
        </w:tc>
        <w:tc>
          <w:tcPr>
            <w:tcW w:w="6212" w:type="dxa"/>
            <w:noWrap/>
            <w:vAlign w:val="center"/>
          </w:tcPr>
          <w:p w:rsidR="00E65761" w:rsidRPr="00884844" w:rsidRDefault="00E65761" w:rsidP="00530383">
            <w:pPr>
              <w:spacing w:after="0" w:line="240" w:lineRule="auto"/>
              <w:jc w:val="center"/>
              <w:rPr>
                <w:rFonts w:ascii="Times New Roman" w:eastAsia="Times New Roman" w:hAnsi="Times New Roman"/>
                <w:b/>
                <w:bCs/>
                <w:color w:val="000000"/>
                <w:sz w:val="18"/>
                <w:szCs w:val="18"/>
              </w:rPr>
            </w:pPr>
            <w:r w:rsidRPr="00884844">
              <w:rPr>
                <w:rFonts w:ascii="Times New Roman" w:eastAsia="Times New Roman" w:hAnsi="Times New Roman"/>
                <w:b/>
                <w:bCs/>
                <w:color w:val="000000"/>
                <w:sz w:val="18"/>
                <w:szCs w:val="18"/>
              </w:rPr>
              <w:t>Индикативные показатели</w:t>
            </w:r>
          </w:p>
        </w:tc>
      </w:tr>
      <w:tr w:rsidR="00E65761" w:rsidRPr="00E97C6A" w:rsidTr="00E65761">
        <w:trPr>
          <w:trHeight w:val="671"/>
        </w:trPr>
        <w:tc>
          <w:tcPr>
            <w:tcW w:w="1807" w:type="dxa"/>
            <w:noWrap/>
          </w:tcPr>
          <w:p w:rsidR="00E65761" w:rsidRPr="00ED6628" w:rsidRDefault="00E97C6A" w:rsidP="00530383">
            <w:pPr>
              <w:spacing w:after="0" w:line="240" w:lineRule="auto"/>
              <w:jc w:val="center"/>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Бардымс</w:t>
            </w:r>
            <w:r w:rsidR="00E65761" w:rsidRPr="00ED6628">
              <w:rPr>
                <w:rFonts w:ascii="Times New Roman" w:eastAsia="Times New Roman" w:hAnsi="Times New Roman"/>
                <w:b/>
                <w:bCs/>
                <w:color w:val="000000"/>
                <w:sz w:val="18"/>
                <w:szCs w:val="18"/>
              </w:rPr>
              <w:t>ский      муниципальный район</w:t>
            </w:r>
          </w:p>
        </w:tc>
        <w:tc>
          <w:tcPr>
            <w:tcW w:w="2084" w:type="dxa"/>
            <w:noWrap/>
          </w:tcPr>
          <w:p w:rsidR="00E65761" w:rsidRPr="00ED6628" w:rsidRDefault="00E65761" w:rsidP="00530383">
            <w:pPr>
              <w:spacing w:after="0" w:line="240" w:lineRule="auto"/>
              <w:jc w:val="center"/>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Демография</w:t>
            </w:r>
          </w:p>
        </w:tc>
        <w:tc>
          <w:tcPr>
            <w:tcW w:w="5940" w:type="dxa"/>
            <w:noWrap/>
          </w:tcPr>
          <w:p w:rsidR="00E65761" w:rsidRPr="00E97C6A" w:rsidRDefault="00E65761" w:rsidP="00530383">
            <w:pPr>
              <w:spacing w:after="0" w:line="240" w:lineRule="auto"/>
              <w:rPr>
                <w:rFonts w:ascii="Times New Roman" w:eastAsia="Times New Roman" w:hAnsi="Times New Roman"/>
                <w:bCs/>
                <w:color w:val="000000"/>
                <w:sz w:val="18"/>
                <w:szCs w:val="18"/>
              </w:rPr>
            </w:pPr>
            <w:r w:rsidRPr="00E97C6A">
              <w:rPr>
                <w:rFonts w:ascii="Times New Roman" w:eastAsia="Times New Roman" w:hAnsi="Times New Roman"/>
                <w:bCs/>
                <w:color w:val="000000"/>
                <w:sz w:val="18"/>
                <w:szCs w:val="18"/>
              </w:rPr>
              <w:t xml:space="preserve">1. Численность  населения </w:t>
            </w:r>
            <w:r w:rsidR="00E97C6A">
              <w:rPr>
                <w:rFonts w:ascii="Times New Roman" w:eastAsia="Times New Roman" w:hAnsi="Times New Roman"/>
                <w:bCs/>
                <w:color w:val="000000"/>
                <w:sz w:val="18"/>
                <w:szCs w:val="18"/>
              </w:rPr>
              <w:t>Бардымского</w:t>
            </w:r>
            <w:r w:rsidRPr="00E97C6A">
              <w:rPr>
                <w:rFonts w:ascii="Times New Roman" w:eastAsia="Times New Roman" w:hAnsi="Times New Roman"/>
                <w:bCs/>
                <w:color w:val="000000"/>
                <w:sz w:val="18"/>
                <w:szCs w:val="18"/>
              </w:rPr>
              <w:t xml:space="preserve"> муниципального района, чел.</w:t>
            </w:r>
          </w:p>
          <w:p w:rsidR="00E65761" w:rsidRPr="00E97C6A" w:rsidRDefault="00E65761" w:rsidP="00530383">
            <w:pPr>
              <w:spacing w:after="0" w:line="240" w:lineRule="auto"/>
              <w:rPr>
                <w:rFonts w:ascii="Times New Roman" w:eastAsia="Times New Roman" w:hAnsi="Times New Roman"/>
                <w:bCs/>
                <w:color w:val="000000"/>
                <w:sz w:val="18"/>
                <w:szCs w:val="18"/>
              </w:rPr>
            </w:pPr>
            <w:r w:rsidRPr="00E97C6A">
              <w:rPr>
                <w:rFonts w:ascii="Times New Roman" w:eastAsia="Times New Roman" w:hAnsi="Times New Roman"/>
                <w:bCs/>
                <w:color w:val="000000"/>
                <w:sz w:val="18"/>
                <w:szCs w:val="18"/>
              </w:rPr>
              <w:t>2. Ожидаемая продолжительность жизни, лет</w:t>
            </w:r>
          </w:p>
        </w:tc>
        <w:tc>
          <w:tcPr>
            <w:tcW w:w="6212" w:type="dxa"/>
            <w:noWrap/>
          </w:tcPr>
          <w:p w:rsidR="00E65761" w:rsidRPr="00E97C6A" w:rsidRDefault="00E65761" w:rsidP="00530383">
            <w:pPr>
              <w:spacing w:after="0" w:line="240" w:lineRule="auto"/>
              <w:rPr>
                <w:rFonts w:ascii="Times New Roman" w:eastAsia="Times New Roman" w:hAnsi="Times New Roman"/>
                <w:bCs/>
                <w:color w:val="000000"/>
                <w:sz w:val="18"/>
                <w:szCs w:val="18"/>
              </w:rPr>
            </w:pPr>
            <w:r w:rsidRPr="00E97C6A">
              <w:rPr>
                <w:rFonts w:ascii="Times New Roman" w:eastAsia="Times New Roman" w:hAnsi="Times New Roman"/>
                <w:bCs/>
                <w:color w:val="000000"/>
                <w:sz w:val="18"/>
                <w:szCs w:val="18"/>
              </w:rPr>
              <w:t>1.Коэффициет рождаемости, промилле</w:t>
            </w:r>
          </w:p>
          <w:p w:rsidR="00E65761" w:rsidRPr="00E97C6A" w:rsidRDefault="00E65761" w:rsidP="00530383">
            <w:pPr>
              <w:spacing w:after="0" w:line="240" w:lineRule="auto"/>
              <w:rPr>
                <w:rFonts w:ascii="Times New Roman" w:eastAsia="Times New Roman" w:hAnsi="Times New Roman"/>
                <w:bCs/>
                <w:color w:val="000000"/>
                <w:sz w:val="18"/>
                <w:szCs w:val="18"/>
              </w:rPr>
            </w:pPr>
            <w:r w:rsidRPr="00E97C6A">
              <w:rPr>
                <w:rFonts w:ascii="Times New Roman" w:eastAsia="Times New Roman" w:hAnsi="Times New Roman"/>
                <w:bCs/>
                <w:color w:val="000000"/>
                <w:sz w:val="18"/>
                <w:szCs w:val="18"/>
              </w:rPr>
              <w:t>2. Коэффициент смертности, промилле</w:t>
            </w:r>
          </w:p>
          <w:p w:rsidR="00E65761" w:rsidRPr="00E97C6A" w:rsidRDefault="00E65761" w:rsidP="00530383">
            <w:pPr>
              <w:spacing w:after="0" w:line="240" w:lineRule="auto"/>
              <w:rPr>
                <w:rFonts w:ascii="Times New Roman" w:eastAsia="Times New Roman" w:hAnsi="Times New Roman"/>
                <w:bCs/>
                <w:color w:val="000000"/>
                <w:sz w:val="18"/>
                <w:szCs w:val="18"/>
              </w:rPr>
            </w:pPr>
            <w:r w:rsidRPr="00E97C6A">
              <w:rPr>
                <w:rFonts w:ascii="Times New Roman" w:eastAsia="Times New Roman" w:hAnsi="Times New Roman"/>
                <w:bCs/>
                <w:color w:val="000000"/>
                <w:sz w:val="18"/>
                <w:szCs w:val="18"/>
              </w:rPr>
              <w:t>3. Коэффициент миграционного  прироста  населения, промилле</w:t>
            </w:r>
          </w:p>
        </w:tc>
      </w:tr>
      <w:tr w:rsidR="00E65761" w:rsidRPr="00E97C6A" w:rsidTr="00F726A9">
        <w:trPr>
          <w:trHeight w:val="1479"/>
        </w:trPr>
        <w:tc>
          <w:tcPr>
            <w:tcW w:w="1807" w:type="dxa"/>
            <w:vMerge w:val="restart"/>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Инфраструктурная</w:t>
            </w: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 xml:space="preserve">Дорожная </w:t>
            </w:r>
          </w:p>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инфраструктура</w:t>
            </w:r>
          </w:p>
          <w:p w:rsidR="00E65761" w:rsidRPr="00ED6628" w:rsidRDefault="00E65761" w:rsidP="00530383">
            <w:pPr>
              <w:rPr>
                <w:rFonts w:ascii="Times New Roman" w:eastAsia="Times New Roman" w:hAnsi="Times New Roman"/>
                <w:b/>
                <w:bCs/>
                <w:color w:val="000000"/>
                <w:sz w:val="18"/>
                <w:szCs w:val="18"/>
              </w:rPr>
            </w:pPr>
          </w:p>
        </w:tc>
        <w:tc>
          <w:tcPr>
            <w:tcW w:w="5940" w:type="dxa"/>
          </w:tcPr>
          <w:p w:rsidR="00E65761" w:rsidRPr="00E97C6A" w:rsidRDefault="00E65761" w:rsidP="00530383">
            <w:pPr>
              <w:spacing w:after="0" w:line="240" w:lineRule="auto"/>
              <w:rPr>
                <w:rFonts w:ascii="Times New Roman" w:eastAsia="Times New Roman" w:hAnsi="Times New Roman"/>
                <w:color w:val="000000"/>
                <w:sz w:val="18"/>
                <w:szCs w:val="18"/>
                <w:lang w:bidi="en-US"/>
              </w:rPr>
            </w:pPr>
            <w:r w:rsidRPr="00E97C6A">
              <w:rPr>
                <w:rFonts w:ascii="Times New Roman" w:eastAsia="Times New Roman" w:hAnsi="Times New Roman"/>
                <w:color w:val="000000"/>
                <w:sz w:val="18"/>
                <w:szCs w:val="18"/>
              </w:rPr>
              <w:t>1.</w:t>
            </w:r>
            <w:r w:rsidRPr="00E97C6A">
              <w:rPr>
                <w:rFonts w:ascii="Times New Roman" w:eastAsia="Times New Roman" w:hAnsi="Times New Roman"/>
                <w:color w:val="000000"/>
                <w:sz w:val="18"/>
                <w:szCs w:val="18"/>
                <w:lang w:bidi="en-US"/>
              </w:rPr>
              <w:t xml:space="preserve"> Протяжённость автодорог общего пользования местного значения  находящихся в собственности </w:t>
            </w:r>
            <w:r w:rsidR="00E97C6A">
              <w:rPr>
                <w:rFonts w:ascii="Times New Roman" w:eastAsia="Times New Roman" w:hAnsi="Times New Roman"/>
                <w:color w:val="000000"/>
                <w:sz w:val="18"/>
                <w:szCs w:val="18"/>
                <w:lang w:bidi="en-US"/>
              </w:rPr>
              <w:t>Бардымского</w:t>
            </w:r>
            <w:r w:rsidRPr="00E97C6A">
              <w:rPr>
                <w:rFonts w:ascii="Times New Roman" w:eastAsia="Times New Roman" w:hAnsi="Times New Roman"/>
                <w:color w:val="000000"/>
                <w:sz w:val="18"/>
                <w:szCs w:val="18"/>
                <w:lang w:bidi="en-US"/>
              </w:rPr>
              <w:t xml:space="preserve"> муниципального района  всего, км</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lang w:bidi="en-US"/>
              </w:rPr>
              <w:t xml:space="preserve"> </w:t>
            </w:r>
            <w:r w:rsidRPr="00E97C6A">
              <w:rPr>
                <w:rFonts w:ascii="Times New Roman" w:eastAsia="Times New Roman" w:hAnsi="Times New Roman"/>
                <w:color w:val="000000"/>
                <w:sz w:val="18"/>
                <w:szCs w:val="18"/>
              </w:rPr>
              <w:t xml:space="preserve">  </w:t>
            </w:r>
          </w:p>
        </w:tc>
        <w:tc>
          <w:tcPr>
            <w:tcW w:w="6212" w:type="dxa"/>
          </w:tcPr>
          <w:p w:rsidR="00E65761" w:rsidRPr="00E97C6A" w:rsidRDefault="00E65761" w:rsidP="00530383">
            <w:pPr>
              <w:spacing w:after="0" w:line="240" w:lineRule="auto"/>
              <w:rPr>
                <w:rFonts w:ascii="Times New Roman" w:eastAsia="Times New Roman" w:hAnsi="Times New Roman"/>
                <w:color w:val="000000"/>
                <w:sz w:val="18"/>
                <w:szCs w:val="18"/>
                <w:lang w:bidi="en-US"/>
              </w:rPr>
            </w:pPr>
            <w:r w:rsidRPr="00E97C6A">
              <w:rPr>
                <w:rFonts w:ascii="Times New Roman" w:eastAsia="Times New Roman" w:hAnsi="Times New Roman"/>
                <w:color w:val="000000"/>
                <w:sz w:val="18"/>
                <w:szCs w:val="18"/>
              </w:rPr>
              <w:t>1.</w:t>
            </w:r>
            <w:r w:rsidRPr="00E97C6A">
              <w:rPr>
                <w:rFonts w:ascii="Times New Roman" w:eastAsia="Times New Roman" w:hAnsi="Times New Roman"/>
                <w:color w:val="000000"/>
                <w:sz w:val="18"/>
                <w:szCs w:val="18"/>
                <w:lang w:bidi="en-US"/>
              </w:rPr>
              <w:t xml:space="preserve"> Доля автодорог общего пользования местного значения  находящихся в пользовании </w:t>
            </w:r>
            <w:r w:rsidR="00E97C6A">
              <w:rPr>
                <w:rFonts w:ascii="Times New Roman" w:eastAsia="Times New Roman" w:hAnsi="Times New Roman"/>
                <w:color w:val="000000"/>
                <w:sz w:val="18"/>
                <w:szCs w:val="18"/>
                <w:lang w:bidi="en-US"/>
              </w:rPr>
              <w:t>Бардымского</w:t>
            </w:r>
            <w:r w:rsidRPr="00E97C6A">
              <w:rPr>
                <w:rFonts w:ascii="Times New Roman" w:eastAsia="Times New Roman" w:hAnsi="Times New Roman"/>
                <w:color w:val="000000"/>
                <w:sz w:val="18"/>
                <w:szCs w:val="18"/>
                <w:lang w:bidi="en-US"/>
              </w:rPr>
              <w:t xml:space="preserve">  муниципального района с твердым  покрытием,%</w:t>
            </w:r>
          </w:p>
          <w:p w:rsidR="00E65761" w:rsidRPr="00E97C6A" w:rsidRDefault="00E65761" w:rsidP="00530383">
            <w:pPr>
              <w:spacing w:after="0" w:line="240" w:lineRule="auto"/>
              <w:rPr>
                <w:rFonts w:ascii="Times New Roman" w:eastAsia="Times New Roman" w:hAnsi="Times New Roman"/>
                <w:color w:val="000000"/>
                <w:sz w:val="18"/>
                <w:szCs w:val="18"/>
                <w:lang w:bidi="en-US"/>
              </w:rPr>
            </w:pPr>
            <w:r w:rsidRPr="00E97C6A">
              <w:rPr>
                <w:rFonts w:ascii="Times New Roman" w:eastAsia="Times New Roman" w:hAnsi="Times New Roman"/>
                <w:color w:val="000000"/>
                <w:sz w:val="18"/>
                <w:szCs w:val="18"/>
                <w:lang w:bidi="en-US"/>
              </w:rPr>
              <w:t xml:space="preserve">2. Доля автодорог общего пользования местного значения  находящихся в пользовании </w:t>
            </w:r>
            <w:r w:rsidR="00E97C6A">
              <w:rPr>
                <w:rFonts w:ascii="Times New Roman" w:eastAsia="Times New Roman" w:hAnsi="Times New Roman"/>
                <w:color w:val="000000"/>
                <w:sz w:val="18"/>
                <w:szCs w:val="18"/>
                <w:lang w:bidi="en-US"/>
              </w:rPr>
              <w:t>Бардымского</w:t>
            </w:r>
            <w:r w:rsidRPr="00E97C6A">
              <w:rPr>
                <w:rFonts w:ascii="Times New Roman" w:eastAsia="Times New Roman" w:hAnsi="Times New Roman"/>
                <w:color w:val="000000"/>
                <w:sz w:val="18"/>
                <w:szCs w:val="18"/>
                <w:lang w:bidi="en-US"/>
              </w:rPr>
              <w:t xml:space="preserve">  муниципального района с усовершенствованным (цементобетонным, асфальтобетонным и т.п.)  покрытием,%</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lang w:bidi="en-US"/>
              </w:rPr>
              <w:t xml:space="preserve">3. Доля автодорог общего пользования находящихся в собственности </w:t>
            </w:r>
            <w:r w:rsidR="00E97C6A">
              <w:rPr>
                <w:rFonts w:ascii="Times New Roman" w:eastAsia="Times New Roman" w:hAnsi="Times New Roman"/>
                <w:color w:val="000000"/>
                <w:sz w:val="18"/>
                <w:szCs w:val="18"/>
                <w:lang w:bidi="en-US"/>
              </w:rPr>
              <w:t>Бардымского</w:t>
            </w:r>
            <w:r w:rsidRPr="00E97C6A">
              <w:rPr>
                <w:rFonts w:ascii="Times New Roman" w:eastAsia="Times New Roman" w:hAnsi="Times New Roman"/>
                <w:color w:val="000000"/>
                <w:sz w:val="18"/>
                <w:szCs w:val="18"/>
                <w:lang w:bidi="en-US"/>
              </w:rPr>
              <w:t xml:space="preserve">  муниципального района в ненормативном состоянии,  %</w:t>
            </w:r>
          </w:p>
        </w:tc>
      </w:tr>
      <w:tr w:rsidR="00E65761" w:rsidRPr="00E97C6A" w:rsidTr="00E65761">
        <w:trPr>
          <w:trHeight w:val="1552"/>
        </w:trPr>
        <w:tc>
          <w:tcPr>
            <w:tcW w:w="1807" w:type="dxa"/>
            <w:vMerge/>
            <w:vAlign w:val="center"/>
          </w:tcPr>
          <w:p w:rsidR="00E65761" w:rsidRPr="00E97C6A" w:rsidRDefault="00E65761" w:rsidP="00530383">
            <w:pPr>
              <w:spacing w:after="0" w:line="240" w:lineRule="auto"/>
              <w:rPr>
                <w:rFonts w:ascii="Times New Roman" w:eastAsia="Times New Roman" w:hAnsi="Times New Roman"/>
                <w:bCs/>
                <w:color w:val="000000"/>
                <w:sz w:val="18"/>
                <w:szCs w:val="18"/>
              </w:rPr>
            </w:pP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Инженерная и коммунальная инфраструктура</w:t>
            </w:r>
          </w:p>
        </w:tc>
        <w:tc>
          <w:tcPr>
            <w:tcW w:w="5940" w:type="dxa"/>
            <w:noWrap/>
          </w:tcPr>
          <w:p w:rsidR="00E65761" w:rsidRPr="00E97C6A" w:rsidRDefault="00E65761" w:rsidP="00530383">
            <w:pPr>
              <w:spacing w:after="0" w:line="240" w:lineRule="auto"/>
              <w:rPr>
                <w:rFonts w:ascii="Times New Roman" w:eastAsia="Times New Roman" w:hAnsi="Times New Roman"/>
                <w:color w:val="000000"/>
                <w:sz w:val="18"/>
                <w:szCs w:val="18"/>
                <w:lang w:bidi="en-US"/>
              </w:rPr>
            </w:pPr>
            <w:r w:rsidRPr="00E97C6A">
              <w:rPr>
                <w:rFonts w:ascii="Times New Roman" w:eastAsia="Times New Roman" w:hAnsi="Times New Roman"/>
                <w:color w:val="000000"/>
                <w:sz w:val="18"/>
                <w:szCs w:val="18"/>
              </w:rPr>
              <w:t xml:space="preserve">1. </w:t>
            </w:r>
            <w:r w:rsidRPr="00E97C6A">
              <w:rPr>
                <w:rFonts w:ascii="Times New Roman" w:eastAsia="Times New Roman" w:hAnsi="Times New Roman"/>
                <w:color w:val="000000"/>
                <w:sz w:val="18"/>
                <w:szCs w:val="18"/>
                <w:lang w:bidi="en-US"/>
              </w:rPr>
              <w:t xml:space="preserve">Общая площадь жилых помещений в расчете на одного жителя </w:t>
            </w:r>
            <w:r w:rsidR="00E97C6A">
              <w:rPr>
                <w:rFonts w:ascii="Times New Roman" w:eastAsia="Times New Roman" w:hAnsi="Times New Roman"/>
                <w:bCs/>
                <w:color w:val="000000"/>
                <w:sz w:val="18"/>
                <w:szCs w:val="18"/>
              </w:rPr>
              <w:t>Бардымского</w:t>
            </w:r>
            <w:r w:rsidRPr="00E97C6A">
              <w:rPr>
                <w:rFonts w:ascii="Times New Roman" w:eastAsia="Times New Roman" w:hAnsi="Times New Roman"/>
                <w:bCs/>
                <w:color w:val="000000"/>
                <w:sz w:val="18"/>
                <w:szCs w:val="18"/>
              </w:rPr>
              <w:t xml:space="preserve"> </w:t>
            </w:r>
            <w:r w:rsidRPr="00E97C6A">
              <w:rPr>
                <w:rFonts w:ascii="Times New Roman" w:eastAsia="Times New Roman" w:hAnsi="Times New Roman"/>
                <w:color w:val="000000"/>
                <w:sz w:val="18"/>
                <w:szCs w:val="18"/>
                <w:lang w:bidi="en-US"/>
              </w:rPr>
              <w:t xml:space="preserve"> муниципального района, кв. м.</w:t>
            </w:r>
          </w:p>
          <w:p w:rsidR="00E65761" w:rsidRPr="00E97C6A" w:rsidRDefault="00E65761" w:rsidP="00530383">
            <w:pPr>
              <w:spacing w:after="0" w:line="240" w:lineRule="auto"/>
              <w:rPr>
                <w:rFonts w:ascii="Times New Roman" w:hAnsi="Times New Roman"/>
                <w:sz w:val="18"/>
                <w:szCs w:val="18"/>
              </w:rPr>
            </w:pPr>
            <w:r w:rsidRPr="00E97C6A">
              <w:rPr>
                <w:rFonts w:ascii="Times New Roman" w:eastAsia="Times New Roman" w:hAnsi="Times New Roman"/>
                <w:color w:val="000000"/>
                <w:sz w:val="18"/>
                <w:szCs w:val="18"/>
                <w:lang w:bidi="en-US"/>
              </w:rPr>
              <w:t xml:space="preserve">2. </w:t>
            </w:r>
            <w:r w:rsidRPr="00E97C6A">
              <w:rPr>
                <w:rFonts w:ascii="Times New Roman" w:eastAsia="Times New Roman" w:hAnsi="Times New Roman"/>
                <w:color w:val="000000"/>
                <w:sz w:val="18"/>
                <w:szCs w:val="18"/>
              </w:rPr>
              <w:t xml:space="preserve">Количество негазифицированных населенных пунктов  </w:t>
            </w:r>
            <w:r w:rsidR="00E97C6A">
              <w:rPr>
                <w:rFonts w:ascii="Times New Roman" w:eastAsia="Times New Roman" w:hAnsi="Times New Roman"/>
                <w:bCs/>
                <w:color w:val="000000"/>
                <w:sz w:val="18"/>
                <w:szCs w:val="18"/>
              </w:rPr>
              <w:t>Бардымского</w:t>
            </w:r>
            <w:r w:rsidRPr="00E97C6A">
              <w:rPr>
                <w:rFonts w:ascii="Times New Roman" w:eastAsia="Times New Roman" w:hAnsi="Times New Roman"/>
                <w:color w:val="000000"/>
                <w:sz w:val="18"/>
                <w:szCs w:val="18"/>
              </w:rPr>
              <w:t xml:space="preserve"> муниципального района, ед.</w:t>
            </w:r>
          </w:p>
          <w:p w:rsidR="00E65761" w:rsidRPr="00E97C6A" w:rsidRDefault="00E65761" w:rsidP="00530383">
            <w:pPr>
              <w:spacing w:after="0" w:line="240" w:lineRule="auto"/>
              <w:rPr>
                <w:rFonts w:ascii="Times New Roman" w:eastAsia="Times New Roman" w:hAnsi="Times New Roman"/>
                <w:color w:val="000000"/>
                <w:sz w:val="18"/>
                <w:szCs w:val="18"/>
              </w:rPr>
            </w:pPr>
          </w:p>
        </w:tc>
        <w:tc>
          <w:tcPr>
            <w:tcW w:w="6212" w:type="dxa"/>
          </w:tcPr>
          <w:p w:rsidR="00E65761" w:rsidRPr="00E97C6A" w:rsidRDefault="00E65761" w:rsidP="00530383">
            <w:pPr>
              <w:spacing w:after="0" w:line="240" w:lineRule="auto"/>
              <w:rPr>
                <w:rFonts w:ascii="Times New Roman" w:hAnsi="Times New Roman"/>
                <w:sz w:val="18"/>
                <w:szCs w:val="18"/>
              </w:rPr>
            </w:pPr>
            <w:r w:rsidRPr="00E97C6A">
              <w:rPr>
                <w:rFonts w:ascii="Times New Roman" w:eastAsia="Times New Roman" w:hAnsi="Times New Roman"/>
                <w:color w:val="000000"/>
                <w:sz w:val="18"/>
                <w:szCs w:val="18"/>
                <w:lang w:bidi="en-US"/>
              </w:rPr>
              <w:t>1.</w:t>
            </w:r>
            <w:r w:rsidRPr="00E97C6A">
              <w:rPr>
                <w:rFonts w:ascii="Times New Roman" w:eastAsia="Times New Roman" w:hAnsi="Times New Roman"/>
                <w:color w:val="000000"/>
                <w:sz w:val="18"/>
                <w:szCs w:val="18"/>
              </w:rPr>
              <w:t xml:space="preserve"> </w:t>
            </w:r>
            <w:r w:rsidRPr="00E97C6A">
              <w:rPr>
                <w:rFonts w:ascii="Times New Roman" w:hAnsi="Times New Roman"/>
                <w:sz w:val="18"/>
                <w:szCs w:val="18"/>
              </w:rPr>
              <w:t>Обеспеченность жилого фонда центральным водопроводом, %</w:t>
            </w:r>
          </w:p>
          <w:p w:rsidR="00E65761" w:rsidRPr="00E97C6A" w:rsidRDefault="00E65761" w:rsidP="00530383">
            <w:pPr>
              <w:spacing w:after="0" w:line="240" w:lineRule="auto"/>
              <w:rPr>
                <w:rFonts w:ascii="Times New Roman" w:hAnsi="Times New Roman"/>
                <w:sz w:val="18"/>
                <w:szCs w:val="18"/>
              </w:rPr>
            </w:pPr>
            <w:r w:rsidRPr="00E97C6A">
              <w:rPr>
                <w:rFonts w:ascii="Times New Roman" w:hAnsi="Times New Roman"/>
                <w:sz w:val="18"/>
                <w:szCs w:val="18"/>
              </w:rPr>
              <w:t>2. Обеспеченность жилого фонда центральной канализацией,%</w:t>
            </w:r>
          </w:p>
          <w:p w:rsidR="00E65761" w:rsidRPr="00E97C6A" w:rsidRDefault="00E65761" w:rsidP="00530383">
            <w:pPr>
              <w:spacing w:after="0" w:line="240" w:lineRule="auto"/>
              <w:rPr>
                <w:rFonts w:ascii="Times New Roman" w:hAnsi="Times New Roman"/>
                <w:sz w:val="18"/>
                <w:szCs w:val="18"/>
              </w:rPr>
            </w:pPr>
            <w:r w:rsidRPr="00E97C6A">
              <w:rPr>
                <w:rFonts w:ascii="Times New Roman" w:hAnsi="Times New Roman"/>
                <w:sz w:val="18"/>
                <w:szCs w:val="18"/>
              </w:rPr>
              <w:t>3. Обеспеченность жилого фонда центральным отоплением, %</w:t>
            </w:r>
          </w:p>
          <w:p w:rsidR="00E65761" w:rsidRPr="00E97C6A" w:rsidRDefault="00E65761" w:rsidP="00530383">
            <w:pPr>
              <w:spacing w:after="0" w:line="240" w:lineRule="auto"/>
              <w:rPr>
                <w:rFonts w:ascii="Times New Roman" w:eastAsia="Times New Roman" w:hAnsi="Times New Roman"/>
                <w:sz w:val="18"/>
                <w:szCs w:val="18"/>
              </w:rPr>
            </w:pPr>
            <w:r w:rsidRPr="00E97C6A">
              <w:rPr>
                <w:rFonts w:ascii="Times New Roman" w:eastAsia="Times New Roman" w:hAnsi="Times New Roman"/>
                <w:color w:val="000000"/>
                <w:sz w:val="18"/>
                <w:szCs w:val="18"/>
              </w:rPr>
              <w:t xml:space="preserve">4. </w:t>
            </w:r>
            <w:r w:rsidRPr="00E97C6A">
              <w:rPr>
                <w:rFonts w:ascii="Times New Roman" w:eastAsia="Times New Roman" w:hAnsi="Times New Roman"/>
                <w:sz w:val="18"/>
                <w:szCs w:val="18"/>
              </w:rPr>
              <w:t>Доля  домашних хозяйств, имеющих доступ к информационно-телекоммуникационной сети "Интернет" с домашнего компьютера,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sz w:val="18"/>
                <w:szCs w:val="18"/>
              </w:rPr>
              <w:t>5. У</w:t>
            </w:r>
            <w:r w:rsidRPr="00E97C6A">
              <w:rPr>
                <w:rFonts w:ascii="Times New Roman" w:hAnsi="Times New Roman"/>
                <w:sz w:val="18"/>
                <w:szCs w:val="18"/>
              </w:rPr>
              <w:t>ровень собираемости платежей за предоставленные жилищно-коммунальные услуги, %</w:t>
            </w:r>
          </w:p>
        </w:tc>
      </w:tr>
      <w:tr w:rsidR="00E65761" w:rsidRPr="00E97C6A" w:rsidTr="00E65761">
        <w:trPr>
          <w:trHeight w:val="1097"/>
        </w:trPr>
        <w:tc>
          <w:tcPr>
            <w:tcW w:w="1807" w:type="dxa"/>
            <w:vMerge/>
            <w:vAlign w:val="center"/>
          </w:tcPr>
          <w:p w:rsidR="00E65761" w:rsidRPr="00E97C6A" w:rsidRDefault="00E65761" w:rsidP="00530383">
            <w:pPr>
              <w:spacing w:after="0" w:line="240" w:lineRule="auto"/>
              <w:rPr>
                <w:rFonts w:ascii="Times New Roman" w:eastAsia="Times New Roman" w:hAnsi="Times New Roman"/>
                <w:bCs/>
                <w:color w:val="000000"/>
                <w:sz w:val="18"/>
                <w:szCs w:val="18"/>
              </w:rPr>
            </w:pP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Инфраструктура благоустройства</w:t>
            </w:r>
          </w:p>
          <w:p w:rsidR="00E65761" w:rsidRPr="00ED6628" w:rsidRDefault="00E65761" w:rsidP="00530383">
            <w:pPr>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 xml:space="preserve"> </w:t>
            </w:r>
          </w:p>
        </w:tc>
        <w:tc>
          <w:tcPr>
            <w:tcW w:w="5940" w:type="dxa"/>
            <w:noWrap/>
          </w:tcPr>
          <w:p w:rsidR="00E65761" w:rsidRPr="00E97C6A" w:rsidRDefault="00E65761" w:rsidP="00530383">
            <w:pPr>
              <w:spacing w:after="0" w:line="240" w:lineRule="auto"/>
              <w:rPr>
                <w:rFonts w:ascii="Times New Roman" w:eastAsia="Times New Roman" w:hAnsi="Times New Roman"/>
                <w:color w:val="000000"/>
                <w:sz w:val="18"/>
                <w:szCs w:val="18"/>
                <w:lang w:bidi="en-US"/>
              </w:rPr>
            </w:pPr>
            <w:r w:rsidRPr="00E97C6A">
              <w:rPr>
                <w:rFonts w:ascii="Times New Roman" w:eastAsia="Times New Roman" w:hAnsi="Times New Roman"/>
                <w:color w:val="000000"/>
                <w:sz w:val="18"/>
                <w:szCs w:val="18"/>
                <w:lang w:bidi="en-US"/>
              </w:rPr>
              <w:t>1. Выбросы в атмосферу загрязняющих веществ от стационарных  источников, т.</w:t>
            </w:r>
          </w:p>
          <w:p w:rsidR="00E65761" w:rsidRPr="00E97C6A" w:rsidRDefault="00E65761" w:rsidP="00530383">
            <w:pPr>
              <w:spacing w:after="0" w:line="240" w:lineRule="auto"/>
              <w:rPr>
                <w:rFonts w:ascii="Times New Roman" w:eastAsia="Times New Roman" w:hAnsi="Times New Roman"/>
                <w:color w:val="000000"/>
                <w:sz w:val="18"/>
                <w:szCs w:val="18"/>
                <w:lang w:bidi="en-US"/>
              </w:rPr>
            </w:pPr>
            <w:r w:rsidRPr="00E97C6A">
              <w:rPr>
                <w:rFonts w:ascii="Times New Roman" w:eastAsia="Times New Roman" w:hAnsi="Times New Roman"/>
                <w:color w:val="000000"/>
                <w:sz w:val="18"/>
                <w:szCs w:val="18"/>
                <w:lang w:bidi="en-US"/>
              </w:rPr>
              <w:t xml:space="preserve">2. Количество предприятий по переработке  и утилизации бытовых отходов, ед. </w:t>
            </w:r>
          </w:p>
          <w:p w:rsidR="00E65761" w:rsidRPr="00E97C6A" w:rsidRDefault="00E65761" w:rsidP="00530383">
            <w:pPr>
              <w:spacing w:after="0" w:line="240" w:lineRule="auto"/>
              <w:rPr>
                <w:rFonts w:ascii="Times New Roman" w:eastAsia="Times New Roman" w:hAnsi="Times New Roman"/>
                <w:color w:val="000000"/>
                <w:sz w:val="18"/>
                <w:szCs w:val="18"/>
              </w:rPr>
            </w:pPr>
          </w:p>
        </w:tc>
        <w:tc>
          <w:tcPr>
            <w:tcW w:w="6212"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Доля населенных пунктов не включенных в схему санитарной очистки территории,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2. Количество несанкционированных свалок, ед.</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3.</w:t>
            </w:r>
            <w:r w:rsidRPr="00E97C6A">
              <w:rPr>
                <w:rFonts w:ascii="Times New Roman" w:eastAsia="Times New Roman" w:hAnsi="Times New Roman"/>
                <w:sz w:val="18"/>
                <w:szCs w:val="18"/>
              </w:rPr>
              <w:t xml:space="preserve"> Удельный вес улиц, проездов, набережных, обеспеченных уличным освещением, %</w:t>
            </w:r>
          </w:p>
        </w:tc>
      </w:tr>
      <w:tr w:rsidR="00E65761" w:rsidRPr="00E97C6A" w:rsidTr="00F726A9">
        <w:trPr>
          <w:trHeight w:val="2111"/>
        </w:trPr>
        <w:tc>
          <w:tcPr>
            <w:tcW w:w="1807" w:type="dxa"/>
            <w:vMerge w:val="restart"/>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Экономическая</w:t>
            </w: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 xml:space="preserve"> Производство </w:t>
            </w:r>
          </w:p>
        </w:tc>
        <w:tc>
          <w:tcPr>
            <w:tcW w:w="5940" w:type="dxa"/>
            <w:noWrap/>
          </w:tcPr>
          <w:p w:rsidR="00E65761" w:rsidRPr="00E97C6A" w:rsidRDefault="00E65761" w:rsidP="00530383">
            <w:pPr>
              <w:spacing w:after="0" w:line="240" w:lineRule="auto"/>
              <w:rPr>
                <w:rFonts w:ascii="Times New Roman" w:hAnsi="Times New Roman"/>
                <w:color w:val="000000"/>
                <w:sz w:val="18"/>
                <w:szCs w:val="18"/>
              </w:rPr>
            </w:pPr>
            <w:r w:rsidRPr="00E97C6A">
              <w:rPr>
                <w:rFonts w:ascii="Times New Roman" w:eastAsia="Times New Roman" w:hAnsi="Times New Roman"/>
                <w:color w:val="000000"/>
                <w:sz w:val="18"/>
                <w:szCs w:val="18"/>
              </w:rPr>
              <w:t xml:space="preserve">1. </w:t>
            </w:r>
            <w:r w:rsidRPr="00E97C6A">
              <w:rPr>
                <w:rFonts w:ascii="Times New Roman" w:hAnsi="Times New Roman"/>
                <w:color w:val="000000"/>
                <w:sz w:val="18"/>
                <w:szCs w:val="18"/>
              </w:rPr>
              <w:t xml:space="preserve">Среднесписочное число работников  организаций на территории </w:t>
            </w:r>
            <w:r w:rsidR="00E97C6A">
              <w:rPr>
                <w:rFonts w:ascii="Times New Roman" w:eastAsia="Times New Roman" w:hAnsi="Times New Roman"/>
                <w:bCs/>
                <w:color w:val="000000"/>
                <w:sz w:val="18"/>
                <w:szCs w:val="18"/>
              </w:rPr>
              <w:t>Бардымского</w:t>
            </w:r>
            <w:r w:rsidRPr="00E97C6A">
              <w:rPr>
                <w:rFonts w:ascii="Times New Roman" w:hAnsi="Times New Roman"/>
                <w:color w:val="000000"/>
                <w:sz w:val="18"/>
                <w:szCs w:val="18"/>
              </w:rPr>
              <w:t xml:space="preserve"> муниципального района (без субъектов малого предпринимательства), чел.</w:t>
            </w:r>
          </w:p>
          <w:p w:rsidR="00E65761" w:rsidRPr="00E97C6A" w:rsidRDefault="00E65761" w:rsidP="00530383">
            <w:pPr>
              <w:spacing w:after="0" w:line="240" w:lineRule="auto"/>
              <w:rPr>
                <w:rFonts w:ascii="Times New Roman" w:hAnsi="Times New Roman"/>
                <w:color w:val="000000"/>
                <w:sz w:val="18"/>
                <w:szCs w:val="18"/>
              </w:rPr>
            </w:pPr>
            <w:r w:rsidRPr="00E97C6A">
              <w:rPr>
                <w:rFonts w:ascii="Times New Roman" w:hAnsi="Times New Roman"/>
                <w:color w:val="000000"/>
                <w:sz w:val="18"/>
                <w:szCs w:val="18"/>
              </w:rPr>
              <w:t xml:space="preserve">2. Объем отгруженных товаров собственного производства, выполненных работ и услуг организаций </w:t>
            </w:r>
            <w:r w:rsidR="00E97C6A">
              <w:rPr>
                <w:rFonts w:ascii="Times New Roman" w:eastAsia="Times New Roman" w:hAnsi="Times New Roman"/>
                <w:bCs/>
                <w:color w:val="000000"/>
                <w:sz w:val="18"/>
                <w:szCs w:val="18"/>
              </w:rPr>
              <w:t>Бардымского</w:t>
            </w:r>
            <w:r w:rsidRPr="00E97C6A">
              <w:rPr>
                <w:rFonts w:ascii="Times New Roman" w:hAnsi="Times New Roman"/>
                <w:color w:val="000000"/>
                <w:sz w:val="18"/>
                <w:szCs w:val="18"/>
              </w:rPr>
              <w:t xml:space="preserve"> муниципального района (без субъекта малого предпринимательства), млн. руб.</w:t>
            </w:r>
          </w:p>
          <w:p w:rsidR="00E65761" w:rsidRPr="00E97C6A" w:rsidRDefault="00E65761" w:rsidP="00530383">
            <w:pPr>
              <w:spacing w:after="0" w:line="240" w:lineRule="auto"/>
              <w:rPr>
                <w:rFonts w:ascii="Times New Roman" w:hAnsi="Times New Roman"/>
                <w:color w:val="000000"/>
                <w:sz w:val="18"/>
                <w:szCs w:val="18"/>
              </w:rPr>
            </w:pPr>
            <w:r w:rsidRPr="00E97C6A">
              <w:rPr>
                <w:rFonts w:ascii="Times New Roman" w:hAnsi="Times New Roman"/>
                <w:color w:val="000000"/>
                <w:sz w:val="18"/>
                <w:szCs w:val="18"/>
              </w:rPr>
              <w:t>3.</w:t>
            </w:r>
            <w:r w:rsidRPr="00E97C6A">
              <w:rPr>
                <w:rFonts w:ascii="Times New Roman" w:eastAsia="Times New Roman" w:hAnsi="Times New Roman"/>
                <w:color w:val="000000"/>
                <w:sz w:val="18"/>
                <w:szCs w:val="18"/>
              </w:rPr>
              <w:t xml:space="preserve"> </w:t>
            </w:r>
            <w:r w:rsidRPr="00E97C6A">
              <w:rPr>
                <w:rFonts w:ascii="Times New Roman" w:hAnsi="Times New Roman"/>
                <w:color w:val="000000"/>
                <w:sz w:val="18"/>
                <w:szCs w:val="18"/>
              </w:rPr>
              <w:t>Инвестиции в основной капитал , млн. руб.</w:t>
            </w:r>
          </w:p>
          <w:p w:rsidR="00E65761" w:rsidRPr="00E97C6A" w:rsidRDefault="00E65761" w:rsidP="00530383">
            <w:pPr>
              <w:spacing w:after="0" w:line="240" w:lineRule="auto"/>
              <w:rPr>
                <w:rFonts w:ascii="Times New Roman" w:hAnsi="Times New Roman"/>
                <w:color w:val="000000"/>
                <w:sz w:val="18"/>
                <w:szCs w:val="18"/>
              </w:rPr>
            </w:pPr>
            <w:r w:rsidRPr="00E97C6A">
              <w:rPr>
                <w:rFonts w:ascii="Times New Roman" w:hAnsi="Times New Roman"/>
                <w:color w:val="000000"/>
                <w:sz w:val="18"/>
                <w:szCs w:val="18"/>
              </w:rPr>
              <w:t xml:space="preserve">4. Среднемесячная  номинальная начисленная  заработная  плата работников  организаций </w:t>
            </w:r>
            <w:r w:rsidR="00E97C6A">
              <w:rPr>
                <w:rFonts w:ascii="Times New Roman" w:eastAsia="Times New Roman" w:hAnsi="Times New Roman"/>
                <w:bCs/>
                <w:color w:val="000000"/>
                <w:sz w:val="18"/>
                <w:szCs w:val="18"/>
              </w:rPr>
              <w:t>Бардымского</w:t>
            </w:r>
            <w:r w:rsidRPr="00E97C6A">
              <w:rPr>
                <w:rFonts w:ascii="Times New Roman" w:hAnsi="Times New Roman"/>
                <w:color w:val="000000"/>
                <w:sz w:val="18"/>
                <w:szCs w:val="18"/>
              </w:rPr>
              <w:t xml:space="preserve"> муниципального района, руб.</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5. </w:t>
            </w:r>
            <w:r w:rsidRPr="00E97C6A">
              <w:rPr>
                <w:rFonts w:ascii="Times New Roman" w:hAnsi="Times New Roman"/>
                <w:sz w:val="18"/>
                <w:szCs w:val="18"/>
              </w:rPr>
              <w:t>Уровень зарегистрированной  безработицы, %</w:t>
            </w:r>
          </w:p>
        </w:tc>
        <w:tc>
          <w:tcPr>
            <w:tcW w:w="6212"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Доля населения в трудоспособном возрасте,%</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sz w:val="18"/>
                <w:szCs w:val="18"/>
              </w:rPr>
              <w:t xml:space="preserve">2. </w:t>
            </w:r>
            <w:r w:rsidRPr="00E97C6A">
              <w:rPr>
                <w:rFonts w:ascii="Times New Roman" w:eastAsia="Times New Roman" w:hAnsi="Times New Roman"/>
                <w:color w:val="000000"/>
                <w:sz w:val="18"/>
                <w:szCs w:val="18"/>
              </w:rPr>
              <w:t>Соотношение количества пенсионеров в расчете на 1 работающего, ед.</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 </w:t>
            </w:r>
          </w:p>
          <w:p w:rsidR="00E65761" w:rsidRPr="00E97C6A" w:rsidRDefault="00E65761" w:rsidP="00530383">
            <w:pPr>
              <w:spacing w:after="0" w:line="240" w:lineRule="auto"/>
              <w:rPr>
                <w:rFonts w:ascii="Times New Roman" w:eastAsia="Times New Roman" w:hAnsi="Times New Roman"/>
                <w:color w:val="000000"/>
                <w:sz w:val="18"/>
                <w:szCs w:val="18"/>
              </w:rPr>
            </w:pPr>
          </w:p>
        </w:tc>
      </w:tr>
      <w:tr w:rsidR="00E65761" w:rsidRPr="00E97C6A" w:rsidTr="00F726A9">
        <w:trPr>
          <w:trHeight w:val="1119"/>
        </w:trPr>
        <w:tc>
          <w:tcPr>
            <w:tcW w:w="1807" w:type="dxa"/>
            <w:vMerge/>
            <w:vAlign w:val="center"/>
          </w:tcPr>
          <w:p w:rsidR="00E65761" w:rsidRPr="00ED6628" w:rsidRDefault="00E65761" w:rsidP="00530383">
            <w:pPr>
              <w:spacing w:after="0" w:line="240" w:lineRule="auto"/>
              <w:rPr>
                <w:rFonts w:ascii="Times New Roman" w:eastAsia="Times New Roman" w:hAnsi="Times New Roman"/>
                <w:b/>
                <w:bCs/>
                <w:color w:val="000000"/>
                <w:sz w:val="18"/>
                <w:szCs w:val="18"/>
              </w:rPr>
            </w:pP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Сельское хозяйство</w:t>
            </w:r>
          </w:p>
        </w:tc>
        <w:tc>
          <w:tcPr>
            <w:tcW w:w="5940" w:type="dxa"/>
            <w:noWrap/>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w:t>
            </w:r>
            <w:r w:rsidRPr="00E97C6A">
              <w:rPr>
                <w:rFonts w:ascii="Times New Roman" w:hAnsi="Times New Roman"/>
                <w:color w:val="000000"/>
                <w:sz w:val="18"/>
                <w:szCs w:val="18"/>
              </w:rPr>
              <w:t xml:space="preserve"> Объем продукции (в действующих ценах)  сельского хозяйства произведенной в хозяйствах всех категорий, млн. руб.</w:t>
            </w:r>
            <w:r w:rsidRPr="00E97C6A">
              <w:rPr>
                <w:rFonts w:ascii="Times New Roman" w:eastAsia="Times New Roman" w:hAnsi="Times New Roman"/>
                <w:color w:val="000000"/>
                <w:sz w:val="18"/>
                <w:szCs w:val="18"/>
              </w:rPr>
              <w:t xml:space="preserve"> </w:t>
            </w:r>
          </w:p>
          <w:p w:rsidR="00E65761" w:rsidRPr="00E97C6A" w:rsidRDefault="00E65761" w:rsidP="00530383">
            <w:pPr>
              <w:spacing w:after="0" w:line="240" w:lineRule="auto"/>
              <w:rPr>
                <w:rFonts w:ascii="Times New Roman" w:eastAsia="Times New Roman" w:hAnsi="Times New Roman"/>
                <w:color w:val="000000"/>
                <w:sz w:val="18"/>
                <w:szCs w:val="18"/>
              </w:rPr>
            </w:pPr>
          </w:p>
        </w:tc>
        <w:tc>
          <w:tcPr>
            <w:tcW w:w="6212"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hAnsi="Times New Roman"/>
                <w:sz w:val="18"/>
                <w:szCs w:val="18"/>
              </w:rPr>
              <w:t xml:space="preserve"> </w:t>
            </w:r>
            <w:r w:rsidRPr="00E97C6A">
              <w:rPr>
                <w:rFonts w:ascii="Times New Roman" w:eastAsia="Times New Roman" w:hAnsi="Times New Roman"/>
                <w:color w:val="000000"/>
                <w:sz w:val="18"/>
                <w:szCs w:val="18"/>
              </w:rPr>
              <w:t>1. Доля продукции (в действующих ценах) сельского хозяйства произведенной в хозяйствах населения,  в общем объеме,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 2. Доля посевных площадей  сельскохозяйственных  культур  в хозяйствах всех категорий, в общей площади сельскохозяйственных  угодий муниципального района, %</w:t>
            </w:r>
          </w:p>
        </w:tc>
      </w:tr>
      <w:tr w:rsidR="00E65761" w:rsidRPr="00E97C6A" w:rsidTr="00E65761">
        <w:trPr>
          <w:trHeight w:val="236"/>
        </w:trPr>
        <w:tc>
          <w:tcPr>
            <w:tcW w:w="1807" w:type="dxa"/>
            <w:vMerge/>
            <w:vAlign w:val="center"/>
          </w:tcPr>
          <w:p w:rsidR="00E65761" w:rsidRPr="00ED6628" w:rsidRDefault="00E65761" w:rsidP="00530383">
            <w:pPr>
              <w:spacing w:after="0" w:line="240" w:lineRule="auto"/>
              <w:rPr>
                <w:rFonts w:ascii="Times New Roman" w:eastAsia="Times New Roman" w:hAnsi="Times New Roman"/>
                <w:b/>
                <w:bCs/>
                <w:color w:val="000000"/>
                <w:sz w:val="18"/>
                <w:szCs w:val="18"/>
              </w:rPr>
            </w:pP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Логистика и торговля</w:t>
            </w:r>
          </w:p>
        </w:tc>
        <w:tc>
          <w:tcPr>
            <w:tcW w:w="5940" w:type="dxa"/>
            <w:noWrap/>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1. </w:t>
            </w:r>
            <w:r w:rsidRPr="00E97C6A">
              <w:rPr>
                <w:rFonts w:ascii="Times New Roman" w:hAnsi="Times New Roman"/>
                <w:sz w:val="18"/>
                <w:szCs w:val="18"/>
              </w:rPr>
              <w:t>Оборот  розничной торговли (без субъектов малого предпринимательства), млн. руб.</w:t>
            </w:r>
          </w:p>
        </w:tc>
        <w:tc>
          <w:tcPr>
            <w:tcW w:w="6212" w:type="dxa"/>
            <w:vAlign w:val="center"/>
          </w:tcPr>
          <w:p w:rsidR="00E65761" w:rsidRPr="00E97C6A" w:rsidRDefault="00E65761" w:rsidP="00530383">
            <w:pPr>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Оборот общественного питания (без субъектов малого предпринимательства), млн. руб.</w:t>
            </w:r>
          </w:p>
        </w:tc>
      </w:tr>
      <w:tr w:rsidR="00E65761" w:rsidRPr="00E97C6A" w:rsidTr="00E65761">
        <w:trPr>
          <w:trHeight w:val="657"/>
        </w:trPr>
        <w:tc>
          <w:tcPr>
            <w:tcW w:w="1807" w:type="dxa"/>
            <w:vMerge/>
            <w:vAlign w:val="center"/>
          </w:tcPr>
          <w:p w:rsidR="00E65761" w:rsidRPr="00ED6628" w:rsidRDefault="00E65761" w:rsidP="00530383">
            <w:pPr>
              <w:spacing w:after="0" w:line="240" w:lineRule="auto"/>
              <w:rPr>
                <w:rFonts w:ascii="Times New Roman" w:eastAsia="Times New Roman" w:hAnsi="Times New Roman"/>
                <w:b/>
                <w:bCs/>
                <w:color w:val="000000"/>
                <w:sz w:val="18"/>
                <w:szCs w:val="18"/>
              </w:rPr>
            </w:pP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Малое предпринимательство. Туризм</w:t>
            </w:r>
          </w:p>
        </w:tc>
        <w:tc>
          <w:tcPr>
            <w:tcW w:w="5940" w:type="dxa"/>
            <w:noWrap/>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Количество субъектов малого предпринимательства, ед.</w:t>
            </w:r>
          </w:p>
          <w:p w:rsidR="00E65761" w:rsidRPr="00E97C6A" w:rsidRDefault="00E65761" w:rsidP="00530383">
            <w:pPr>
              <w:spacing w:after="0" w:line="240" w:lineRule="auto"/>
              <w:rPr>
                <w:rFonts w:ascii="Times New Roman" w:eastAsia="Times New Roman" w:hAnsi="Times New Roman"/>
                <w:color w:val="000000"/>
                <w:sz w:val="18"/>
                <w:szCs w:val="18"/>
              </w:rPr>
            </w:pPr>
          </w:p>
        </w:tc>
        <w:tc>
          <w:tcPr>
            <w:tcW w:w="6212" w:type="dxa"/>
          </w:tcPr>
          <w:p w:rsidR="00E65761" w:rsidRPr="00E97C6A" w:rsidRDefault="00E65761" w:rsidP="00530383">
            <w:pPr>
              <w:spacing w:after="0" w:line="240" w:lineRule="auto"/>
              <w:rPr>
                <w:rFonts w:ascii="Times New Roman" w:eastAsia="Times New Roman" w:hAnsi="Times New Roman"/>
                <w:sz w:val="18"/>
                <w:szCs w:val="18"/>
              </w:rPr>
            </w:pPr>
            <w:r w:rsidRPr="00E97C6A">
              <w:rPr>
                <w:rFonts w:ascii="Times New Roman" w:eastAsia="Times New Roman" w:hAnsi="Times New Roman"/>
                <w:color w:val="000000"/>
                <w:sz w:val="18"/>
                <w:szCs w:val="18"/>
              </w:rPr>
              <w:t xml:space="preserve">1. </w:t>
            </w:r>
            <w:r w:rsidRPr="00E97C6A">
              <w:rPr>
                <w:rFonts w:ascii="Times New Roman" w:eastAsia="Times New Roman" w:hAnsi="Times New Roman"/>
                <w:sz w:val="18"/>
                <w:szCs w:val="18"/>
              </w:rPr>
              <w:t xml:space="preserve"> Доля продукции  (в действующих ценах) произведенной субъектами малого предпринимательства ,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2. Турпоток, чел.</w:t>
            </w:r>
          </w:p>
        </w:tc>
      </w:tr>
      <w:tr w:rsidR="00E65761" w:rsidRPr="00E97C6A" w:rsidTr="00E65761">
        <w:trPr>
          <w:trHeight w:val="809"/>
        </w:trPr>
        <w:tc>
          <w:tcPr>
            <w:tcW w:w="1807" w:type="dxa"/>
            <w:vMerge w:val="restart"/>
            <w:noWrap/>
            <w:vAlign w:val="center"/>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Социальная</w:t>
            </w: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Здравоохранение</w:t>
            </w:r>
          </w:p>
        </w:tc>
        <w:tc>
          <w:tcPr>
            <w:tcW w:w="5940" w:type="dxa"/>
            <w:noWrap/>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Общая заболеваемость населения, промилле</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2. Младенческая смертность, промилле</w:t>
            </w:r>
          </w:p>
        </w:tc>
        <w:tc>
          <w:tcPr>
            <w:tcW w:w="6212"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Доля жителей не прошедших диспансеризацию (профосмотр) на конец года,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2. Количество фельдшерско-акушерских пунктов (ФАП) и (или) офисов врачей общей практики (ВОП),  ед.</w:t>
            </w:r>
          </w:p>
        </w:tc>
      </w:tr>
      <w:tr w:rsidR="00E65761" w:rsidRPr="00E97C6A" w:rsidTr="00E65761">
        <w:trPr>
          <w:trHeight w:val="653"/>
        </w:trPr>
        <w:tc>
          <w:tcPr>
            <w:tcW w:w="1807" w:type="dxa"/>
            <w:vMerge/>
            <w:vAlign w:val="center"/>
          </w:tcPr>
          <w:p w:rsidR="00E65761" w:rsidRPr="00ED6628" w:rsidRDefault="00E65761" w:rsidP="00530383">
            <w:pPr>
              <w:spacing w:after="0" w:line="240" w:lineRule="auto"/>
              <w:rPr>
                <w:rFonts w:ascii="Times New Roman" w:eastAsia="Times New Roman" w:hAnsi="Times New Roman"/>
                <w:b/>
                <w:bCs/>
                <w:color w:val="000000"/>
                <w:sz w:val="18"/>
                <w:szCs w:val="18"/>
              </w:rPr>
            </w:pPr>
          </w:p>
        </w:tc>
        <w:tc>
          <w:tcPr>
            <w:tcW w:w="2084" w:type="dxa"/>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Социальная защита и пенсионное обеспечение</w:t>
            </w:r>
          </w:p>
        </w:tc>
        <w:tc>
          <w:tcPr>
            <w:tcW w:w="5940" w:type="dxa"/>
            <w:noWrap/>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Средний размер месячных пенсий на конец года, руб.</w:t>
            </w:r>
          </w:p>
        </w:tc>
        <w:tc>
          <w:tcPr>
            <w:tcW w:w="6212"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 %</w:t>
            </w:r>
          </w:p>
        </w:tc>
      </w:tr>
      <w:tr w:rsidR="00E65761" w:rsidRPr="00E97C6A" w:rsidTr="00E65761">
        <w:trPr>
          <w:trHeight w:val="963"/>
        </w:trPr>
        <w:tc>
          <w:tcPr>
            <w:tcW w:w="1807" w:type="dxa"/>
            <w:vMerge/>
            <w:vAlign w:val="center"/>
          </w:tcPr>
          <w:p w:rsidR="00E65761" w:rsidRPr="00ED6628" w:rsidRDefault="00E65761" w:rsidP="00530383">
            <w:pPr>
              <w:spacing w:after="0" w:line="240" w:lineRule="auto"/>
              <w:rPr>
                <w:rFonts w:ascii="Times New Roman" w:eastAsia="Times New Roman" w:hAnsi="Times New Roman"/>
                <w:b/>
                <w:bCs/>
                <w:color w:val="000000"/>
                <w:sz w:val="18"/>
                <w:szCs w:val="18"/>
              </w:rPr>
            </w:pP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 xml:space="preserve"> Образование</w:t>
            </w:r>
          </w:p>
        </w:tc>
        <w:tc>
          <w:tcPr>
            <w:tcW w:w="5940" w:type="dxa"/>
            <w:noWrap/>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Количество учащихся в образовательных организациях, чел.</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2. Количество посещающих дошкольные  образовательных организациях, чел.  </w:t>
            </w:r>
          </w:p>
        </w:tc>
        <w:tc>
          <w:tcPr>
            <w:tcW w:w="6212" w:type="dxa"/>
            <w:vAlign w:val="center"/>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Количество общеобразовательных школ, ед.</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2. Количество дошкольных образовательных организаций, ед.</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3.Количество обучающихся во 2 и 3 смены в образовательных организациях, чел.</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4. Численность  детей, приходящихся  на 100 место в  дошкольных образовательных организациях чел.</w:t>
            </w:r>
          </w:p>
        </w:tc>
      </w:tr>
      <w:tr w:rsidR="00E65761" w:rsidRPr="00E97C6A" w:rsidTr="00E65761">
        <w:trPr>
          <w:trHeight w:val="1010"/>
        </w:trPr>
        <w:tc>
          <w:tcPr>
            <w:tcW w:w="1807" w:type="dxa"/>
            <w:vMerge/>
            <w:vAlign w:val="center"/>
          </w:tcPr>
          <w:p w:rsidR="00E65761" w:rsidRPr="00ED6628" w:rsidRDefault="00E65761" w:rsidP="00530383">
            <w:pPr>
              <w:spacing w:after="0" w:line="240" w:lineRule="auto"/>
              <w:rPr>
                <w:rFonts w:ascii="Times New Roman" w:eastAsia="Times New Roman" w:hAnsi="Times New Roman"/>
                <w:b/>
                <w:bCs/>
                <w:color w:val="000000"/>
                <w:sz w:val="18"/>
                <w:szCs w:val="18"/>
              </w:rPr>
            </w:pP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Культура</w:t>
            </w:r>
          </w:p>
        </w:tc>
        <w:tc>
          <w:tcPr>
            <w:tcW w:w="5940" w:type="dxa"/>
            <w:noWrap/>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 1. Количество культурно-досуговых учреждений, ед</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 2. Количество сельских библиотек, ед. </w:t>
            </w:r>
          </w:p>
        </w:tc>
        <w:tc>
          <w:tcPr>
            <w:tcW w:w="6212"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Вместимость культурно-досуговых учреждений в расчете на 1000 жителей, мест</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2. Библиотечный фонд сельских библиотек в расчете на 1000 жителей, экземпляров</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3. 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 %.</w:t>
            </w:r>
          </w:p>
        </w:tc>
      </w:tr>
      <w:tr w:rsidR="00E65761" w:rsidRPr="00E97C6A" w:rsidTr="00E65761">
        <w:trPr>
          <w:trHeight w:val="1267"/>
        </w:trPr>
        <w:tc>
          <w:tcPr>
            <w:tcW w:w="1807" w:type="dxa"/>
            <w:vMerge/>
            <w:vAlign w:val="center"/>
          </w:tcPr>
          <w:p w:rsidR="00E65761" w:rsidRPr="00E97C6A" w:rsidRDefault="00E65761" w:rsidP="00530383">
            <w:pPr>
              <w:spacing w:after="0" w:line="240" w:lineRule="auto"/>
              <w:rPr>
                <w:rFonts w:ascii="Times New Roman" w:eastAsia="Times New Roman" w:hAnsi="Times New Roman"/>
                <w:bCs/>
                <w:color w:val="000000"/>
                <w:sz w:val="18"/>
                <w:szCs w:val="18"/>
              </w:rPr>
            </w:pPr>
          </w:p>
        </w:tc>
        <w:tc>
          <w:tcPr>
            <w:tcW w:w="2084" w:type="dxa"/>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Физкультура и спорт</w:t>
            </w:r>
          </w:p>
        </w:tc>
        <w:tc>
          <w:tcPr>
            <w:tcW w:w="5940" w:type="dxa"/>
            <w:noWrap/>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1.Количество спортсооружений, ед.</w:t>
            </w:r>
          </w:p>
          <w:p w:rsidR="00E65761" w:rsidRPr="00E97C6A" w:rsidRDefault="00E65761" w:rsidP="00530383">
            <w:pPr>
              <w:spacing w:after="0" w:line="240" w:lineRule="auto"/>
              <w:rPr>
                <w:rFonts w:ascii="Times New Roman" w:eastAsia="Times New Roman" w:hAnsi="Times New Roman"/>
                <w:color w:val="000000"/>
                <w:sz w:val="18"/>
                <w:szCs w:val="18"/>
              </w:rPr>
            </w:pPr>
          </w:p>
        </w:tc>
        <w:tc>
          <w:tcPr>
            <w:tcW w:w="6212"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Доля населения, систематически занимающегося физической культурой и спортом,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2. Площадь  плоскостных спортсооружений в расчете на 10000 жителей, кв. м.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3. Площадь спортивных залов в расчете на 10000 жителей, кв. м.</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4. Площадь (зеркало) бассейнов в расчете на 10000 жителей, кв. м.</w:t>
            </w:r>
          </w:p>
        </w:tc>
      </w:tr>
      <w:tr w:rsidR="00E65761" w:rsidRPr="00E97C6A" w:rsidTr="00E65761">
        <w:trPr>
          <w:trHeight w:val="65"/>
        </w:trPr>
        <w:tc>
          <w:tcPr>
            <w:tcW w:w="1807" w:type="dxa"/>
            <w:vMerge/>
            <w:vAlign w:val="center"/>
          </w:tcPr>
          <w:p w:rsidR="00E65761" w:rsidRPr="00E97C6A" w:rsidRDefault="00E65761" w:rsidP="00530383">
            <w:pPr>
              <w:spacing w:after="0" w:line="240" w:lineRule="auto"/>
              <w:rPr>
                <w:rFonts w:ascii="Times New Roman" w:eastAsia="Times New Roman" w:hAnsi="Times New Roman"/>
                <w:bCs/>
                <w:color w:val="000000"/>
                <w:sz w:val="18"/>
                <w:szCs w:val="18"/>
              </w:rPr>
            </w:pPr>
          </w:p>
        </w:tc>
        <w:tc>
          <w:tcPr>
            <w:tcW w:w="2084" w:type="dxa"/>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 xml:space="preserve">Общественная </w:t>
            </w:r>
          </w:p>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безопасность</w:t>
            </w:r>
          </w:p>
        </w:tc>
        <w:tc>
          <w:tcPr>
            <w:tcW w:w="5940"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Уровень зарегистрированной преступности (количество преступлений на 10000 жителей), ед.</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2. Уровень детской преступности (количество преступлений совершенных несовершеннолетними на 10000 жителей), ед.</w:t>
            </w:r>
          </w:p>
        </w:tc>
        <w:tc>
          <w:tcPr>
            <w:tcW w:w="6212" w:type="dxa"/>
            <w:vAlign w:val="center"/>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Обеспеченность населенных пунктов пожарными депо,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2. Обеспеченность населенных пунктов участковыми инспекторами, %</w:t>
            </w:r>
          </w:p>
          <w:p w:rsidR="00E65761" w:rsidRPr="00E97C6A" w:rsidRDefault="00E65761" w:rsidP="00530383">
            <w:pPr>
              <w:rPr>
                <w:rFonts w:ascii="Times New Roman" w:eastAsia="Times New Roman" w:hAnsi="Times New Roman"/>
                <w:color w:val="000000"/>
                <w:sz w:val="18"/>
                <w:szCs w:val="18"/>
              </w:rPr>
            </w:pPr>
          </w:p>
        </w:tc>
      </w:tr>
      <w:tr w:rsidR="00E65761" w:rsidRPr="00E97C6A" w:rsidTr="00E65761">
        <w:trPr>
          <w:trHeight w:val="2242"/>
        </w:trPr>
        <w:tc>
          <w:tcPr>
            <w:tcW w:w="1807" w:type="dxa"/>
            <w:vMerge w:val="restart"/>
            <w:noWrap/>
            <w:vAlign w:val="center"/>
          </w:tcPr>
          <w:p w:rsidR="00E65761" w:rsidRPr="00E97C6A" w:rsidRDefault="00E65761" w:rsidP="00530383">
            <w:pPr>
              <w:spacing w:after="0" w:line="240" w:lineRule="auto"/>
              <w:jc w:val="center"/>
              <w:rPr>
                <w:rFonts w:ascii="Times New Roman" w:eastAsia="Times New Roman" w:hAnsi="Times New Roman"/>
                <w:bCs/>
                <w:color w:val="000000"/>
                <w:sz w:val="18"/>
                <w:szCs w:val="18"/>
              </w:rPr>
            </w:pPr>
          </w:p>
          <w:p w:rsidR="00E65761" w:rsidRPr="00E97C6A" w:rsidRDefault="00E65761" w:rsidP="00530383">
            <w:pPr>
              <w:spacing w:after="0" w:line="240" w:lineRule="auto"/>
              <w:jc w:val="center"/>
              <w:rPr>
                <w:rFonts w:ascii="Times New Roman" w:eastAsia="Times New Roman" w:hAnsi="Times New Roman"/>
                <w:bCs/>
                <w:color w:val="000000"/>
                <w:sz w:val="18"/>
                <w:szCs w:val="18"/>
              </w:rPr>
            </w:pPr>
          </w:p>
          <w:p w:rsidR="00E65761" w:rsidRPr="00ED6628" w:rsidRDefault="00E65761" w:rsidP="00530383">
            <w:pPr>
              <w:spacing w:after="0" w:line="240" w:lineRule="auto"/>
              <w:jc w:val="center"/>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Бюджетная</w:t>
            </w:r>
          </w:p>
        </w:tc>
        <w:tc>
          <w:tcPr>
            <w:tcW w:w="2084" w:type="dxa"/>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 xml:space="preserve"> Муниципальное</w:t>
            </w:r>
          </w:p>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 xml:space="preserve"> управление</w:t>
            </w:r>
          </w:p>
        </w:tc>
        <w:tc>
          <w:tcPr>
            <w:tcW w:w="5940" w:type="dxa"/>
          </w:tcPr>
          <w:p w:rsidR="00E65761" w:rsidRPr="00E97C6A" w:rsidRDefault="00E65761" w:rsidP="00530383">
            <w:pPr>
              <w:spacing w:after="0" w:line="240" w:lineRule="auto"/>
              <w:rPr>
                <w:rFonts w:ascii="Times New Roman" w:hAnsi="Times New Roman"/>
                <w:sz w:val="18"/>
                <w:szCs w:val="18"/>
              </w:rPr>
            </w:pPr>
            <w:r w:rsidRPr="00E97C6A">
              <w:rPr>
                <w:rFonts w:ascii="Times New Roman" w:hAnsi="Times New Roman"/>
                <w:sz w:val="18"/>
                <w:szCs w:val="18"/>
              </w:rPr>
              <w:t>1. Среднемесячная номинальная начисленная заработная плата работников:</w:t>
            </w:r>
          </w:p>
          <w:p w:rsidR="00E65761" w:rsidRPr="00E97C6A" w:rsidRDefault="00E65761" w:rsidP="00530383">
            <w:pPr>
              <w:spacing w:after="0" w:line="240" w:lineRule="auto"/>
              <w:rPr>
                <w:rFonts w:ascii="Times New Roman" w:hAnsi="Times New Roman"/>
                <w:sz w:val="18"/>
                <w:szCs w:val="18"/>
              </w:rPr>
            </w:pPr>
            <w:r w:rsidRPr="00E97C6A">
              <w:rPr>
                <w:rFonts w:ascii="Times New Roman" w:hAnsi="Times New Roman"/>
                <w:sz w:val="18"/>
                <w:szCs w:val="18"/>
              </w:rPr>
              <w:t>- муниципальных дошкольных образовательных организаций, руб.</w:t>
            </w:r>
          </w:p>
          <w:p w:rsidR="00E65761" w:rsidRPr="00E97C6A" w:rsidRDefault="00E65761" w:rsidP="00530383">
            <w:pPr>
              <w:spacing w:after="0" w:line="240" w:lineRule="auto"/>
              <w:rPr>
                <w:rFonts w:ascii="Times New Roman" w:hAnsi="Times New Roman"/>
                <w:sz w:val="18"/>
                <w:szCs w:val="18"/>
              </w:rPr>
            </w:pPr>
            <w:r w:rsidRPr="00E97C6A">
              <w:rPr>
                <w:rFonts w:ascii="Times New Roman" w:hAnsi="Times New Roman"/>
                <w:sz w:val="18"/>
                <w:szCs w:val="18"/>
              </w:rPr>
              <w:t>- муниципальных  образовательных организаций, руб.</w:t>
            </w:r>
          </w:p>
          <w:p w:rsidR="00E65761" w:rsidRPr="00E97C6A" w:rsidRDefault="00E65761" w:rsidP="00530383">
            <w:pPr>
              <w:spacing w:after="0" w:line="240" w:lineRule="auto"/>
              <w:rPr>
                <w:rFonts w:ascii="Times New Roman" w:hAnsi="Times New Roman"/>
                <w:sz w:val="18"/>
                <w:szCs w:val="18"/>
              </w:rPr>
            </w:pPr>
            <w:r w:rsidRPr="00E97C6A">
              <w:rPr>
                <w:rFonts w:ascii="Times New Roman" w:hAnsi="Times New Roman"/>
                <w:sz w:val="18"/>
                <w:szCs w:val="18"/>
              </w:rPr>
              <w:t>- муниципальных учреждений культуры и искусства, руб.</w:t>
            </w:r>
          </w:p>
          <w:p w:rsidR="00E65761" w:rsidRPr="00E97C6A" w:rsidRDefault="00E65761" w:rsidP="00530383">
            <w:pPr>
              <w:spacing w:after="0" w:line="240" w:lineRule="auto"/>
              <w:rPr>
                <w:rFonts w:ascii="Times New Roman" w:hAnsi="Times New Roman"/>
                <w:sz w:val="18"/>
                <w:szCs w:val="18"/>
              </w:rPr>
            </w:pPr>
            <w:r w:rsidRPr="00E97C6A">
              <w:rPr>
                <w:rFonts w:ascii="Times New Roman" w:hAnsi="Times New Roman"/>
                <w:sz w:val="18"/>
                <w:szCs w:val="18"/>
              </w:rPr>
              <w:t>- муниципальных учреждений физической культуры и спорта, руб.</w:t>
            </w:r>
          </w:p>
          <w:p w:rsidR="00E65761" w:rsidRPr="00E97C6A" w:rsidRDefault="00E65761" w:rsidP="00530383">
            <w:pPr>
              <w:spacing w:after="0" w:line="240" w:lineRule="auto"/>
              <w:rPr>
                <w:rFonts w:ascii="Times New Roman" w:hAnsi="Times New Roman"/>
                <w:sz w:val="18"/>
                <w:szCs w:val="18"/>
              </w:rPr>
            </w:pPr>
          </w:p>
        </w:tc>
        <w:tc>
          <w:tcPr>
            <w:tcW w:w="6212"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1. Удовлетворенность населения деятельностью органов местного самоуправления </w:t>
            </w:r>
            <w:r w:rsidR="00E97C6A">
              <w:rPr>
                <w:rFonts w:ascii="Times New Roman" w:eastAsia="Times New Roman" w:hAnsi="Times New Roman"/>
                <w:color w:val="000000"/>
                <w:sz w:val="18"/>
                <w:szCs w:val="18"/>
                <w:lang w:bidi="en-US"/>
              </w:rPr>
              <w:t>Бардымского</w:t>
            </w:r>
            <w:r w:rsidRPr="00E97C6A">
              <w:rPr>
                <w:rFonts w:ascii="Times New Roman" w:eastAsia="Times New Roman" w:hAnsi="Times New Roman"/>
                <w:color w:val="000000"/>
                <w:sz w:val="18"/>
                <w:szCs w:val="18"/>
              </w:rPr>
              <w:t xml:space="preserve">  муниципального района,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2.</w:t>
            </w:r>
            <w:r w:rsidRPr="00E97C6A">
              <w:rPr>
                <w:rFonts w:ascii="Times New Roman" w:hAnsi="Times New Roman"/>
                <w:sz w:val="18"/>
                <w:szCs w:val="18"/>
              </w:rPr>
              <w:t xml:space="preserve"> Доля площади земельных участков, являющихся объектами налогообложения земельным налогом, в общей площади территории,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lang w:bidi="en-US"/>
              </w:rPr>
              <w:t xml:space="preserve">3. </w:t>
            </w:r>
            <w:r w:rsidRPr="00E97C6A">
              <w:rPr>
                <w:rFonts w:ascii="Times New Roman" w:eastAsia="Times New Roman" w:hAnsi="Times New Roman"/>
                <w:color w:val="000000"/>
                <w:sz w:val="18"/>
                <w:szCs w:val="18"/>
              </w:rPr>
              <w:t xml:space="preserve">Доля населения, проживающего в населенных пунктах </w:t>
            </w:r>
            <w:r w:rsidR="00E97C6A">
              <w:rPr>
                <w:rFonts w:ascii="Times New Roman" w:eastAsia="Times New Roman" w:hAnsi="Times New Roman"/>
                <w:color w:val="000000"/>
                <w:sz w:val="18"/>
                <w:szCs w:val="18"/>
                <w:lang w:bidi="en-US"/>
              </w:rPr>
              <w:t>Бардымского</w:t>
            </w:r>
            <w:r w:rsidRPr="00E97C6A">
              <w:rPr>
                <w:rFonts w:ascii="Times New Roman" w:eastAsia="Times New Roman" w:hAnsi="Times New Roman"/>
                <w:color w:val="000000"/>
                <w:sz w:val="18"/>
                <w:szCs w:val="18"/>
              </w:rPr>
              <w:t xml:space="preserve"> муниципального района, не имеющих регулярного автобусного и (или) железнодорожного сообщения с административным центром муниципального района,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hAnsi="Times New Roman"/>
                <w:sz w:val="18"/>
                <w:szCs w:val="18"/>
              </w:rPr>
              <w:t xml:space="preserve">4. </w:t>
            </w:r>
            <w:r w:rsidRPr="00E97C6A">
              <w:rPr>
                <w:rFonts w:ascii="Times New Roman" w:eastAsia="Times New Roman" w:hAnsi="Times New Roman"/>
                <w:color w:val="000000"/>
                <w:sz w:val="18"/>
                <w:szCs w:val="18"/>
              </w:rPr>
              <w:t>Количество субъектов малого предпринимательства, получивших муниципальную поддержку, ед.</w:t>
            </w:r>
          </w:p>
        </w:tc>
      </w:tr>
      <w:tr w:rsidR="00E65761" w:rsidRPr="00E97C6A" w:rsidTr="00E65761">
        <w:trPr>
          <w:trHeight w:val="271"/>
        </w:trPr>
        <w:tc>
          <w:tcPr>
            <w:tcW w:w="1807" w:type="dxa"/>
            <w:vMerge/>
            <w:vAlign w:val="center"/>
          </w:tcPr>
          <w:p w:rsidR="00E65761" w:rsidRPr="00E97C6A" w:rsidRDefault="00E65761" w:rsidP="00530383">
            <w:pPr>
              <w:spacing w:after="0" w:line="240" w:lineRule="auto"/>
              <w:rPr>
                <w:rFonts w:ascii="Times New Roman" w:eastAsia="Times New Roman" w:hAnsi="Times New Roman"/>
                <w:bCs/>
                <w:color w:val="000000"/>
                <w:sz w:val="18"/>
                <w:szCs w:val="18"/>
              </w:rPr>
            </w:pP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 xml:space="preserve"> Бюджетные отношения</w:t>
            </w:r>
          </w:p>
        </w:tc>
        <w:tc>
          <w:tcPr>
            <w:tcW w:w="5940"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1.Объем консолидированного бюджета </w:t>
            </w:r>
            <w:r w:rsidR="00E97C6A">
              <w:rPr>
                <w:rFonts w:ascii="Times New Roman" w:eastAsia="Times New Roman" w:hAnsi="Times New Roman"/>
                <w:bCs/>
                <w:color w:val="000000"/>
                <w:sz w:val="18"/>
                <w:szCs w:val="18"/>
              </w:rPr>
              <w:t>Бардымского</w:t>
            </w:r>
            <w:r w:rsidRPr="00E97C6A">
              <w:rPr>
                <w:rFonts w:ascii="Times New Roman" w:eastAsia="Times New Roman" w:hAnsi="Times New Roman"/>
                <w:bCs/>
                <w:color w:val="000000"/>
                <w:sz w:val="18"/>
                <w:szCs w:val="18"/>
              </w:rPr>
              <w:t xml:space="preserve"> </w:t>
            </w:r>
            <w:r w:rsidRPr="00E97C6A">
              <w:rPr>
                <w:rFonts w:ascii="Times New Roman" w:eastAsia="Times New Roman" w:hAnsi="Times New Roman"/>
                <w:color w:val="000000"/>
                <w:sz w:val="18"/>
                <w:szCs w:val="18"/>
              </w:rPr>
              <w:t xml:space="preserve"> муниципального района, млн. руб.</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2. Собственные доходы консолидированного бюджета </w:t>
            </w:r>
            <w:r w:rsidR="00E97C6A">
              <w:rPr>
                <w:rFonts w:ascii="Times New Roman" w:eastAsia="Times New Roman" w:hAnsi="Times New Roman"/>
                <w:bCs/>
                <w:color w:val="000000"/>
                <w:sz w:val="18"/>
                <w:szCs w:val="18"/>
              </w:rPr>
              <w:t>Бардымского</w:t>
            </w:r>
            <w:r w:rsidRPr="00E97C6A">
              <w:rPr>
                <w:rFonts w:ascii="Times New Roman" w:eastAsia="Times New Roman" w:hAnsi="Times New Roman"/>
                <w:bCs/>
                <w:color w:val="000000"/>
                <w:sz w:val="18"/>
                <w:szCs w:val="18"/>
              </w:rPr>
              <w:t xml:space="preserve"> </w:t>
            </w:r>
            <w:r w:rsidRPr="00E97C6A">
              <w:rPr>
                <w:rFonts w:ascii="Times New Roman" w:eastAsia="Times New Roman" w:hAnsi="Times New Roman"/>
                <w:color w:val="000000"/>
                <w:sz w:val="18"/>
                <w:szCs w:val="18"/>
              </w:rPr>
              <w:t xml:space="preserve"> муниципального района, млн. руб.</w:t>
            </w:r>
          </w:p>
          <w:p w:rsidR="00E65761" w:rsidRPr="00E97C6A" w:rsidRDefault="00E65761" w:rsidP="00530383">
            <w:pPr>
              <w:spacing w:after="0" w:line="240" w:lineRule="auto"/>
              <w:rPr>
                <w:rFonts w:ascii="Times New Roman" w:eastAsia="Times New Roman" w:hAnsi="Times New Roman"/>
                <w:color w:val="000000"/>
                <w:sz w:val="18"/>
                <w:szCs w:val="18"/>
              </w:rPr>
            </w:pPr>
          </w:p>
        </w:tc>
        <w:tc>
          <w:tcPr>
            <w:tcW w:w="6212"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Доля  собственных  налоговых  доходов  бюджета,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2. Доля  собственных  неналоговых  доходов бюджета,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3. Доля безвозмездных поступлений в бюджет </w:t>
            </w:r>
            <w:r w:rsidR="00E97C6A">
              <w:rPr>
                <w:rFonts w:ascii="Times New Roman" w:eastAsia="Times New Roman" w:hAnsi="Times New Roman"/>
                <w:color w:val="000000"/>
                <w:sz w:val="18"/>
                <w:szCs w:val="18"/>
                <w:lang w:bidi="en-US"/>
              </w:rPr>
              <w:t>Бардымского</w:t>
            </w:r>
            <w:r w:rsidRPr="00E97C6A">
              <w:rPr>
                <w:rFonts w:ascii="Times New Roman" w:eastAsia="Times New Roman" w:hAnsi="Times New Roman"/>
                <w:color w:val="000000"/>
                <w:sz w:val="18"/>
                <w:szCs w:val="18"/>
              </w:rPr>
              <w:t xml:space="preserve"> муниципального района из бюджетов других уровней,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4. Доля расходов бюджета муниципального образования на содержание работников органов местного самоуправления в  общем объеме расходов консолидированного бюджета, %.</w:t>
            </w:r>
          </w:p>
        </w:tc>
      </w:tr>
    </w:tbl>
    <w:p w:rsidR="005D24C1" w:rsidRDefault="005D24C1" w:rsidP="005D24C1">
      <w:pPr>
        <w:spacing w:after="0"/>
        <w:ind w:firstLine="709"/>
        <w:rPr>
          <w:rFonts w:eastAsia="Times New Roman" w:cs="Times New Roman"/>
          <w:szCs w:val="24"/>
        </w:rPr>
      </w:pPr>
    </w:p>
    <w:p w:rsidR="005D24C1" w:rsidRDefault="005D24C1" w:rsidP="005D24C1">
      <w:pPr>
        <w:spacing w:after="0"/>
        <w:ind w:firstLine="709"/>
        <w:rPr>
          <w:rFonts w:eastAsia="Times New Roman" w:cs="Times New Roman"/>
          <w:szCs w:val="24"/>
        </w:rPr>
      </w:pPr>
    </w:p>
    <w:p w:rsidR="00424AF3" w:rsidRDefault="00424AF3" w:rsidP="00F805FA">
      <w:pPr>
        <w:spacing w:after="0"/>
        <w:ind w:firstLine="709"/>
        <w:jc w:val="right"/>
        <w:rPr>
          <w:rFonts w:ascii="Times New Roman" w:hAnsi="Times New Roman" w:cs="Times New Roman"/>
          <w:sz w:val="28"/>
          <w:szCs w:val="28"/>
        </w:rPr>
        <w:sectPr w:rsidR="00424AF3" w:rsidSect="005D24C1">
          <w:footerReference w:type="default" r:id="rId135"/>
          <w:pgSz w:w="16838" w:h="11906" w:orient="landscape"/>
          <w:pgMar w:top="1418" w:right="851" w:bottom="567" w:left="851" w:header="709" w:footer="709" w:gutter="0"/>
          <w:cols w:space="708"/>
          <w:docGrid w:linePitch="360"/>
        </w:sectPr>
      </w:pPr>
    </w:p>
    <w:p w:rsidR="00153E07" w:rsidRPr="00ED6628" w:rsidRDefault="00153E07" w:rsidP="00F805FA">
      <w:pPr>
        <w:spacing w:after="0"/>
        <w:ind w:firstLine="709"/>
        <w:jc w:val="right"/>
        <w:rPr>
          <w:rFonts w:ascii="Times New Roman" w:hAnsi="Times New Roman" w:cs="Times New Roman"/>
          <w:b/>
          <w:sz w:val="28"/>
          <w:szCs w:val="28"/>
        </w:rPr>
      </w:pPr>
      <w:r w:rsidRPr="00ED6628">
        <w:rPr>
          <w:rFonts w:ascii="Times New Roman" w:hAnsi="Times New Roman" w:cs="Times New Roman"/>
          <w:b/>
          <w:sz w:val="28"/>
          <w:szCs w:val="28"/>
        </w:rPr>
        <w:lastRenderedPageBreak/>
        <w:t>Приложение</w:t>
      </w:r>
      <w:r w:rsidR="00424AF3" w:rsidRPr="00ED6628">
        <w:rPr>
          <w:rFonts w:ascii="Times New Roman" w:hAnsi="Times New Roman" w:cs="Times New Roman"/>
          <w:b/>
          <w:sz w:val="28"/>
          <w:szCs w:val="28"/>
        </w:rPr>
        <w:t xml:space="preserve"> 5</w:t>
      </w:r>
    </w:p>
    <w:p w:rsidR="00810A0F" w:rsidRPr="00ED6628" w:rsidRDefault="00810A0F" w:rsidP="00810A0F">
      <w:pPr>
        <w:spacing w:after="0"/>
        <w:jc w:val="center"/>
        <w:rPr>
          <w:rFonts w:ascii="Times New Roman" w:hAnsi="Times New Roman" w:cs="Times New Roman"/>
          <w:b/>
          <w:sz w:val="28"/>
          <w:szCs w:val="28"/>
        </w:rPr>
      </w:pPr>
      <w:r w:rsidRPr="00ED6628">
        <w:rPr>
          <w:rFonts w:ascii="Times New Roman" w:hAnsi="Times New Roman" w:cs="Times New Roman"/>
          <w:b/>
          <w:sz w:val="28"/>
          <w:szCs w:val="28"/>
        </w:rPr>
        <w:t>Инновационный прогноз социально-экономического развития Бардымского муниципального района Пермского края на 2018-2030 годы</w:t>
      </w:r>
    </w:p>
    <w:tbl>
      <w:tblPr>
        <w:tblW w:w="5000" w:type="pct"/>
        <w:tblLayout w:type="fixed"/>
        <w:tblLook w:val="04A0"/>
      </w:tblPr>
      <w:tblGrid>
        <w:gridCol w:w="1663"/>
        <w:gridCol w:w="2878"/>
        <w:gridCol w:w="931"/>
        <w:gridCol w:w="845"/>
        <w:gridCol w:w="764"/>
        <w:gridCol w:w="764"/>
        <w:gridCol w:w="764"/>
        <w:gridCol w:w="764"/>
        <w:gridCol w:w="764"/>
      </w:tblGrid>
      <w:tr w:rsidR="00810A0F" w:rsidRPr="00BF5CCA" w:rsidTr="00810A0F">
        <w:trPr>
          <w:trHeight w:val="600"/>
        </w:trPr>
        <w:tc>
          <w:tcPr>
            <w:tcW w:w="8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Сфера</w:t>
            </w:r>
          </w:p>
        </w:tc>
        <w:tc>
          <w:tcPr>
            <w:tcW w:w="14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Показатели</w:t>
            </w:r>
          </w:p>
        </w:tc>
        <w:tc>
          <w:tcPr>
            <w:tcW w:w="459" w:type="pct"/>
            <w:tcBorders>
              <w:top w:val="single" w:sz="4" w:space="0" w:color="auto"/>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Базовый период</w:t>
            </w:r>
          </w:p>
        </w:tc>
        <w:tc>
          <w:tcPr>
            <w:tcW w:w="417" w:type="pct"/>
            <w:tcBorders>
              <w:top w:val="single" w:sz="4" w:space="0" w:color="auto"/>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Оценка</w:t>
            </w:r>
          </w:p>
        </w:tc>
        <w:tc>
          <w:tcPr>
            <w:tcW w:w="1884" w:type="pct"/>
            <w:gridSpan w:val="5"/>
            <w:tcBorders>
              <w:top w:val="single" w:sz="4" w:space="0" w:color="auto"/>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Прогноз</w:t>
            </w:r>
          </w:p>
        </w:tc>
      </w:tr>
      <w:tr w:rsidR="00810A0F" w:rsidRPr="00BF5CCA" w:rsidTr="00810A0F">
        <w:trPr>
          <w:trHeight w:val="300"/>
        </w:trPr>
        <w:tc>
          <w:tcPr>
            <w:tcW w:w="820" w:type="pct"/>
            <w:vMerge/>
            <w:tcBorders>
              <w:top w:val="single" w:sz="4" w:space="0" w:color="auto"/>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1419" w:type="pct"/>
            <w:vMerge/>
            <w:tcBorders>
              <w:top w:val="single" w:sz="4" w:space="0" w:color="auto"/>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45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2016</w:t>
            </w:r>
          </w:p>
        </w:tc>
        <w:tc>
          <w:tcPr>
            <w:tcW w:w="417"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2017</w:t>
            </w:r>
          </w:p>
        </w:tc>
        <w:tc>
          <w:tcPr>
            <w:tcW w:w="377"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2018</w:t>
            </w:r>
          </w:p>
        </w:tc>
        <w:tc>
          <w:tcPr>
            <w:tcW w:w="377"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2019</w:t>
            </w:r>
          </w:p>
        </w:tc>
        <w:tc>
          <w:tcPr>
            <w:tcW w:w="377"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2020</w:t>
            </w:r>
          </w:p>
        </w:tc>
        <w:tc>
          <w:tcPr>
            <w:tcW w:w="377"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2025</w:t>
            </w:r>
          </w:p>
        </w:tc>
        <w:tc>
          <w:tcPr>
            <w:tcW w:w="377"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2030</w:t>
            </w:r>
          </w:p>
        </w:tc>
      </w:tr>
      <w:tr w:rsidR="00810A0F" w:rsidRPr="00BF5CCA" w:rsidTr="00810A0F">
        <w:trPr>
          <w:trHeight w:val="300"/>
        </w:trPr>
        <w:tc>
          <w:tcPr>
            <w:tcW w:w="820" w:type="pct"/>
            <w:tcBorders>
              <w:top w:val="nil"/>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Демография</w:t>
            </w: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Численность постоянного населения, чел.</w:t>
            </w:r>
          </w:p>
        </w:tc>
        <w:tc>
          <w:tcPr>
            <w:tcW w:w="45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25291</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25202</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25114</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25010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24946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26524</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33221</w:t>
            </w:r>
          </w:p>
        </w:tc>
      </w:tr>
      <w:tr w:rsidR="00810A0F" w:rsidRPr="00BF5CCA" w:rsidTr="00810A0F">
        <w:trPr>
          <w:trHeight w:val="600"/>
        </w:trPr>
        <w:tc>
          <w:tcPr>
            <w:tcW w:w="820" w:type="pct"/>
            <w:tcBorders>
              <w:top w:val="nil"/>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Инфраструктура</w:t>
            </w: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Ввод жилья на душу населения (за период с начала года, кв.м. на 1000 чел. населения)</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564,1</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542,88</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532,16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521,71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515,22</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556,34</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603,49</w:t>
            </w:r>
          </w:p>
        </w:tc>
      </w:tr>
      <w:tr w:rsidR="00810A0F" w:rsidRPr="00BF5CCA" w:rsidTr="00810A0F">
        <w:trPr>
          <w:trHeight w:val="900"/>
        </w:trPr>
        <w:tc>
          <w:tcPr>
            <w:tcW w:w="820" w:type="pct"/>
            <w:vMerge w:val="restart"/>
            <w:tcBorders>
              <w:top w:val="nil"/>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Экономика</w:t>
            </w: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промышленного производства (за период с начала года в % к соответствующему периоду прошлого года)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101,26</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135,22</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141,21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147,06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150,69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167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172</w:t>
            </w:r>
          </w:p>
        </w:tc>
      </w:tr>
      <w:tr w:rsidR="00810A0F" w:rsidRPr="00BF5CCA" w:rsidTr="00810A0F">
        <w:trPr>
          <w:trHeight w:val="9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числа субъектов малого предпринимательства (за период с начала года в % к соответствующему периоду прошлого года)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103,6</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94,19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89,78</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85,48</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82,81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99,73</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119,12</w:t>
            </w:r>
          </w:p>
        </w:tc>
      </w:tr>
      <w:tr w:rsidR="00810A0F" w:rsidRPr="00BF5CCA" w:rsidTr="00810A0F">
        <w:trPr>
          <w:trHeight w:val="12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производства продукции сельского хозяйства (за период с начала года в % к соответствующему периоду прошлого года, квартальный показатель)</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100,6</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86,6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73,45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65,27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117,06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176,42</w:t>
            </w:r>
          </w:p>
        </w:tc>
      </w:tr>
      <w:tr w:rsidR="00810A0F" w:rsidRPr="00BF5CCA" w:rsidTr="00810A0F">
        <w:trPr>
          <w:trHeight w:val="6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Объем отгруженных товаров на душу населения (за период с начала года, тыс.руб. на человека)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2,73</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2,83</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2,19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w:t>
            </w:r>
          </w:p>
        </w:tc>
      </w:tr>
      <w:tr w:rsidR="00810A0F" w:rsidRPr="00BF5CCA" w:rsidTr="00810A0F">
        <w:trPr>
          <w:trHeight w:val="15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задолженности предприятий по платежам в бюджет и внебюджетные фонды в общей сумме кредиторской задолженности (за период с начала года в % к соответствующему периоду прошлого года)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3,4</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8,73</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8,56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8,39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8,29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8,95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9,71</w:t>
            </w:r>
          </w:p>
        </w:tc>
      </w:tr>
      <w:tr w:rsidR="00810A0F" w:rsidRPr="00BF5CCA" w:rsidTr="00810A0F">
        <w:trPr>
          <w:trHeight w:val="15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задолженности по кредитам, предоставленным юридическим лицам и индивидуальным предпринимателям (объем на начало отчетного месяца в % к началу соответствующего месяца предыдущего года)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146,89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180,72</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213,7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234,2</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104,37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w:t>
            </w:r>
          </w:p>
        </w:tc>
      </w:tr>
      <w:tr w:rsidR="00810A0F" w:rsidRPr="00BF5CCA" w:rsidTr="00810A0F">
        <w:trPr>
          <w:trHeight w:val="9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оборота розничной торговли (за период с начала года в % к соответствующему периоду прошлого года, в сопоставимых ценах)</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100,02</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100,02</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100,02</w:t>
            </w:r>
          </w:p>
        </w:tc>
      </w:tr>
      <w:tr w:rsidR="00810A0F" w:rsidRPr="00BF5CCA" w:rsidTr="00810A0F">
        <w:trPr>
          <w:trHeight w:val="9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объема платных услуг населению (за период с начала года в % к соответствующему периоду прошлого года, в сопоставимых ценах)</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r>
      <w:tr w:rsidR="00810A0F" w:rsidRPr="00BF5CCA" w:rsidTr="00810A0F">
        <w:trPr>
          <w:trHeight w:val="9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Объем инвестиций в основной капитал на душу населения (за период с начала года, тыс. руб. на человека, квартальный показатель)</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1,05</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1,12</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1,18</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1,21</w:t>
            </w:r>
          </w:p>
        </w:tc>
      </w:tr>
      <w:tr w:rsidR="00810A0F" w:rsidRPr="00BF5CCA" w:rsidTr="00810A0F">
        <w:trPr>
          <w:trHeight w:val="9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физического объема инвестиций в основной капитал (за период с начала года в % к соответствующему периоду прошлого года)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64,8</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98,24</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79,86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61,95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50,81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121,33</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202,18</w:t>
            </w:r>
          </w:p>
        </w:tc>
      </w:tr>
      <w:tr w:rsidR="00810A0F" w:rsidRPr="00BF5CCA" w:rsidTr="00810A0F">
        <w:trPr>
          <w:trHeight w:val="9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Объем работ, выполненных по ВЭД «Строительство» на душу населения (за период с начала года, тыс.руб. на человека)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r>
      <w:tr w:rsidR="00810A0F" w:rsidRPr="00BF5CCA" w:rsidTr="00810A0F">
        <w:trPr>
          <w:trHeight w:val="12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физического объема работ, выполненных по ВЭД «Строительство» (за период с начала года в % к соответствующему периоду прошлого года)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r>
      <w:tr w:rsidR="00810A0F" w:rsidRPr="00BF5CCA" w:rsidTr="00810A0F">
        <w:trPr>
          <w:trHeight w:val="6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прибыльных предприятий (за период с начала года, %, лаг - 1 месяц)</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66,7</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25,83</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16,35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1,35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37,75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79,48</w:t>
            </w:r>
          </w:p>
        </w:tc>
      </w:tr>
      <w:tr w:rsidR="00810A0F" w:rsidRPr="00BF5CCA" w:rsidTr="00810A0F">
        <w:trPr>
          <w:trHeight w:val="600"/>
        </w:trPr>
        <w:tc>
          <w:tcPr>
            <w:tcW w:w="820" w:type="pct"/>
            <w:vMerge w:val="restart"/>
            <w:tcBorders>
              <w:top w:val="nil"/>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Социальная</w:t>
            </w: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потребительских цен (в % к декабрю прошлого года)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1,0044</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1,05</w:t>
            </w:r>
          </w:p>
        </w:tc>
      </w:tr>
      <w:tr w:rsidR="00810A0F" w:rsidRPr="00BF5CCA" w:rsidTr="00810A0F">
        <w:trPr>
          <w:trHeight w:val="12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Динамика начисленной заработной платы работников предприятий и организаций (за период с начала года в % к соответствующему периоду прошлого года, лаг - 1 месяц)</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108,9</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108,36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109,84</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111,28</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112,17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w:t>
            </w:r>
          </w:p>
        </w:tc>
      </w:tr>
      <w:tr w:rsidR="00810A0F" w:rsidRPr="00BF5CCA" w:rsidTr="00810A0F">
        <w:trPr>
          <w:trHeight w:val="9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Отношение среднемесячной зарплаты к стоимости фиксированного набора товаров и услуг (в разах, лаг - 1 месяц)</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1,88</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1,87</w:t>
            </w:r>
          </w:p>
        </w:tc>
      </w:tr>
      <w:tr w:rsidR="00810A0F" w:rsidRPr="00BF5CCA" w:rsidTr="00810A0F">
        <w:trPr>
          <w:trHeight w:val="6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трудоспособного населения в общей численности населения (на отчетный период, в %)</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51,9</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53,54</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53,21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52,89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52,69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53,95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55,41</w:t>
            </w:r>
          </w:p>
        </w:tc>
      </w:tr>
      <w:tr w:rsidR="00810A0F" w:rsidRPr="00BF5CCA" w:rsidTr="00810A0F">
        <w:trPr>
          <w:trHeight w:val="6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Число безработных на 1 вакантное место (на отчетный период, человек)</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1,5</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6,19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8,38</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4,8</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3,44</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2,2</w:t>
            </w:r>
          </w:p>
        </w:tc>
      </w:tr>
      <w:tr w:rsidR="00810A0F" w:rsidRPr="00BF5CCA" w:rsidTr="00810A0F">
        <w:trPr>
          <w:trHeight w:val="12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Покупательная способность заработной платы по отношению к прожиточному минимуму (объем на начало отчетного месяца в % к началу соответствующего месяца предыдущего года)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319,6</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300,97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302,19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303,37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304,11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321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352</w:t>
            </w:r>
          </w:p>
        </w:tc>
      </w:tr>
      <w:tr w:rsidR="00810A0F" w:rsidRPr="00BF5CCA" w:rsidTr="00810A0F">
        <w:trPr>
          <w:trHeight w:val="6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Уровень зарегистрированной безработицы (на отчетный период, в %)</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3,4</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4,47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4,77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5,06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4,24</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4,09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2,76</w:t>
            </w:r>
          </w:p>
        </w:tc>
      </w:tr>
      <w:tr w:rsidR="00810A0F" w:rsidRPr="00BF5CCA" w:rsidTr="00810A0F">
        <w:trPr>
          <w:trHeight w:val="900"/>
        </w:trPr>
        <w:tc>
          <w:tcPr>
            <w:tcW w:w="820" w:type="pct"/>
            <w:vMerge w:val="restart"/>
            <w:tcBorders>
              <w:top w:val="nil"/>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Муниципальное управление</w:t>
            </w: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Доходы консолидированного бюджета Бардымского МР на душу населения (за период с начала года, тыс.руб. на человека)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30,4</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31,3</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30,75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30,22</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29,89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31,98</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34,37</w:t>
            </w:r>
          </w:p>
        </w:tc>
      </w:tr>
      <w:tr w:rsidR="00810A0F" w:rsidRPr="00BF5CCA" w:rsidTr="00810A0F">
        <w:trPr>
          <w:trHeight w:val="18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Отношение поступлений по налогу на доходы физических лиц, единому налогу на вмененный доход, единому сельскохозяйственному налогу, земельному и транспортному налогам к расходам консолидированного бюджета Бардымского МР (за период с начала года, %)</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14,8</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11,89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12,32</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12,73</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12,99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11,35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19,47</w:t>
            </w:r>
          </w:p>
        </w:tc>
      </w:tr>
      <w:tr w:rsidR="00810A0F" w:rsidRPr="00BF5CCA" w:rsidTr="00810A0F">
        <w:trPr>
          <w:trHeight w:val="12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налоговых и неналоговых доходов консолидированного бюджета Бардымского МР (за период с начала года в % к соответствующему периоду прошлого года)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113,3</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98,28</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90,39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102,7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105,3</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108,19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142,9</w:t>
            </w:r>
          </w:p>
        </w:tc>
      </w:tr>
      <w:tr w:rsidR="00810A0F" w:rsidRPr="00BF5CCA" w:rsidTr="00810A0F">
        <w:trPr>
          <w:trHeight w:val="15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расходов на социальное развитие (образование, здравоохранение, культуру, спорт, социальную сферу в общем объеме расходов консолидированного бюджета Бардымского МР (за период с начала года, в %)</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73,1</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70,8</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71,33</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71,85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72,17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70,14</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77,81</w:t>
            </w:r>
          </w:p>
        </w:tc>
      </w:tr>
    </w:tbl>
    <w:p w:rsidR="00810A0F" w:rsidRDefault="00810A0F" w:rsidP="00810A0F">
      <w:pPr>
        <w:spacing w:after="0"/>
        <w:ind w:firstLine="709"/>
        <w:jc w:val="right"/>
        <w:rPr>
          <w:rFonts w:ascii="Times New Roman" w:hAnsi="Times New Roman" w:cs="Times New Roman"/>
          <w:sz w:val="28"/>
          <w:szCs w:val="28"/>
        </w:rPr>
      </w:pPr>
    </w:p>
    <w:p w:rsidR="00810A0F" w:rsidRPr="00153E07" w:rsidRDefault="00810A0F" w:rsidP="00810A0F">
      <w:pPr>
        <w:spacing w:after="160" w:line="259" w:lineRule="auto"/>
        <w:jc w:val="both"/>
        <w:rPr>
          <w:rFonts w:ascii="Times New Roman" w:hAnsi="Times New Roman" w:cs="Times New Roman"/>
          <w:sz w:val="28"/>
          <w:szCs w:val="28"/>
        </w:rPr>
      </w:pPr>
      <w:r w:rsidRPr="00153E07">
        <w:rPr>
          <w:rFonts w:ascii="Times New Roman" w:hAnsi="Times New Roman" w:cs="Times New Roman"/>
          <w:sz w:val="28"/>
          <w:szCs w:val="28"/>
        </w:rPr>
        <w:br w:type="page"/>
      </w:r>
    </w:p>
    <w:p w:rsidR="00810A0F" w:rsidRPr="00ED6628" w:rsidRDefault="00810A0F" w:rsidP="00810A0F">
      <w:pPr>
        <w:spacing w:after="0"/>
        <w:ind w:firstLine="709"/>
        <w:jc w:val="right"/>
        <w:rPr>
          <w:rFonts w:ascii="Times New Roman" w:hAnsi="Times New Roman" w:cs="Times New Roman"/>
          <w:b/>
          <w:sz w:val="28"/>
          <w:szCs w:val="28"/>
        </w:rPr>
      </w:pPr>
      <w:r w:rsidRPr="00ED6628">
        <w:rPr>
          <w:rFonts w:ascii="Times New Roman" w:hAnsi="Times New Roman" w:cs="Times New Roman"/>
          <w:b/>
          <w:sz w:val="28"/>
          <w:szCs w:val="28"/>
        </w:rPr>
        <w:lastRenderedPageBreak/>
        <w:t>Приложение 6</w:t>
      </w:r>
    </w:p>
    <w:p w:rsidR="00810A0F" w:rsidRPr="00ED6628" w:rsidRDefault="00810A0F" w:rsidP="00810A0F">
      <w:pPr>
        <w:spacing w:after="0"/>
        <w:jc w:val="center"/>
        <w:rPr>
          <w:rFonts w:ascii="Times New Roman" w:hAnsi="Times New Roman" w:cs="Times New Roman"/>
          <w:b/>
          <w:sz w:val="28"/>
          <w:szCs w:val="28"/>
        </w:rPr>
      </w:pPr>
      <w:r w:rsidRPr="00ED6628">
        <w:rPr>
          <w:rFonts w:ascii="Times New Roman" w:hAnsi="Times New Roman" w:cs="Times New Roman"/>
          <w:b/>
          <w:sz w:val="28"/>
          <w:szCs w:val="28"/>
        </w:rPr>
        <w:t>Оптимальный прогноз социально-экономического развития Бардымского муниципального района Пермского края на 2018-2030 годы</w:t>
      </w:r>
    </w:p>
    <w:tbl>
      <w:tblPr>
        <w:tblW w:w="5000" w:type="pct"/>
        <w:tblLayout w:type="fixed"/>
        <w:tblLook w:val="04A0"/>
      </w:tblPr>
      <w:tblGrid>
        <w:gridCol w:w="1807"/>
        <w:gridCol w:w="2421"/>
        <w:gridCol w:w="1129"/>
        <w:gridCol w:w="847"/>
        <w:gridCol w:w="787"/>
        <w:gridCol w:w="787"/>
        <w:gridCol w:w="787"/>
        <w:gridCol w:w="787"/>
        <w:gridCol w:w="785"/>
      </w:tblGrid>
      <w:tr w:rsidR="00810A0F" w:rsidRPr="00E97C6A" w:rsidTr="00810A0F">
        <w:trPr>
          <w:trHeight w:val="300"/>
        </w:trPr>
        <w:tc>
          <w:tcPr>
            <w:tcW w:w="8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Сфера</w:t>
            </w:r>
          </w:p>
        </w:tc>
        <w:tc>
          <w:tcPr>
            <w:tcW w:w="11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Показатели</w:t>
            </w: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Базовый период</w:t>
            </w:r>
          </w:p>
        </w:tc>
        <w:tc>
          <w:tcPr>
            <w:tcW w:w="418" w:type="pct"/>
            <w:tcBorders>
              <w:top w:val="single" w:sz="4" w:space="0" w:color="auto"/>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Оценка</w:t>
            </w:r>
          </w:p>
        </w:tc>
        <w:tc>
          <w:tcPr>
            <w:tcW w:w="1939" w:type="pct"/>
            <w:gridSpan w:val="5"/>
            <w:tcBorders>
              <w:top w:val="single" w:sz="4" w:space="0" w:color="auto"/>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Прогноз</w:t>
            </w:r>
          </w:p>
        </w:tc>
      </w:tr>
      <w:tr w:rsidR="00810A0F" w:rsidRPr="00E97C6A" w:rsidTr="00810A0F">
        <w:trPr>
          <w:trHeight w:val="300"/>
        </w:trPr>
        <w:tc>
          <w:tcPr>
            <w:tcW w:w="892" w:type="pct"/>
            <w:vMerge/>
            <w:tcBorders>
              <w:top w:val="single" w:sz="4" w:space="0" w:color="auto"/>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1194" w:type="pct"/>
            <w:vMerge/>
            <w:tcBorders>
              <w:top w:val="single" w:sz="4" w:space="0" w:color="auto"/>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557"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2016</w:t>
            </w:r>
          </w:p>
        </w:tc>
        <w:tc>
          <w:tcPr>
            <w:tcW w:w="41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2017</w:t>
            </w:r>
          </w:p>
        </w:tc>
        <w:tc>
          <w:tcPr>
            <w:tcW w:w="38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2018</w:t>
            </w:r>
          </w:p>
        </w:tc>
        <w:tc>
          <w:tcPr>
            <w:tcW w:w="38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2019</w:t>
            </w:r>
          </w:p>
        </w:tc>
        <w:tc>
          <w:tcPr>
            <w:tcW w:w="38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2020</w:t>
            </w:r>
          </w:p>
        </w:tc>
        <w:tc>
          <w:tcPr>
            <w:tcW w:w="38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2025</w:t>
            </w:r>
          </w:p>
        </w:tc>
        <w:tc>
          <w:tcPr>
            <w:tcW w:w="38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2030</w:t>
            </w:r>
          </w:p>
        </w:tc>
      </w:tr>
      <w:tr w:rsidR="00810A0F" w:rsidRPr="00E97C6A" w:rsidTr="00810A0F">
        <w:trPr>
          <w:trHeight w:val="600"/>
        </w:trPr>
        <w:tc>
          <w:tcPr>
            <w:tcW w:w="892" w:type="pct"/>
            <w:tcBorders>
              <w:top w:val="nil"/>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Демография</w:t>
            </w: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Численность постоянного населения, тыс.чел.</w:t>
            </w:r>
          </w:p>
        </w:tc>
        <w:tc>
          <w:tcPr>
            <w:tcW w:w="557"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25291</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25202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25232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25133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24989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24800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24568</w:t>
            </w:r>
          </w:p>
        </w:tc>
      </w:tr>
      <w:tr w:rsidR="00810A0F" w:rsidRPr="00E97C6A" w:rsidTr="00810A0F">
        <w:trPr>
          <w:trHeight w:val="600"/>
        </w:trPr>
        <w:tc>
          <w:tcPr>
            <w:tcW w:w="892" w:type="pct"/>
            <w:tcBorders>
              <w:top w:val="nil"/>
              <w:left w:val="single" w:sz="4" w:space="0" w:color="auto"/>
              <w:bottom w:val="single" w:sz="4" w:space="0" w:color="auto"/>
              <w:right w:val="single" w:sz="4" w:space="0" w:color="auto"/>
            </w:tcBorders>
            <w:shd w:val="clear" w:color="auto" w:fill="auto"/>
            <w:noWrap/>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Инфраструктура</w:t>
            </w: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Ввод жилья на душу населения (за период с начала года, кв.м. на 1000 чел. населения)</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564,1</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542,88</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544,14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534,15</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519,55</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500,42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676,62</w:t>
            </w:r>
          </w:p>
        </w:tc>
      </w:tr>
      <w:tr w:rsidR="00810A0F" w:rsidRPr="00E97C6A" w:rsidTr="00810A0F">
        <w:trPr>
          <w:trHeight w:val="900"/>
        </w:trPr>
        <w:tc>
          <w:tcPr>
            <w:tcW w:w="8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Экономика</w:t>
            </w: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промышленного производства (за период с начала года в % к соответствующему периоду прошлого года)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101,26</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135,22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130,97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135,87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143,03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152,42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163,97</w:t>
            </w:r>
          </w:p>
        </w:tc>
      </w:tr>
      <w:tr w:rsidR="00810A0F" w:rsidRPr="00E97C6A" w:rsidTr="00810A0F">
        <w:trPr>
          <w:trHeight w:val="12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числа субъектов малого предпринимательства (за период с начала года в % к соответствующему периоду прошлого года)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103,6</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94,19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94,71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90,6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84,59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76,72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67,03</w:t>
            </w:r>
          </w:p>
        </w:tc>
      </w:tr>
      <w:tr w:rsidR="00810A0F" w:rsidRPr="00E97C6A" w:rsidTr="00810A0F">
        <w:trPr>
          <w:trHeight w:val="12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производства продукции сельского хозяйства (за период с начала года в % к соответствующему периоду прошлого года, квартальный показатель)</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100,6</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101,69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89,11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70,72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76,63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79,36</w:t>
            </w:r>
          </w:p>
        </w:tc>
      </w:tr>
      <w:tr w:rsidR="00810A0F" w:rsidRPr="00E97C6A" w:rsidTr="00810A0F">
        <w:trPr>
          <w:trHeight w:val="9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Объем отгруженных товаров на душу населения (за период с начала года, тыс.руб. на человека)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2,38</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2,77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3,44</w:t>
            </w:r>
          </w:p>
        </w:tc>
      </w:tr>
      <w:tr w:rsidR="00810A0F" w:rsidRPr="00E97C6A" w:rsidTr="00810A0F">
        <w:trPr>
          <w:trHeight w:val="1485"/>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задолженности предприятий по платежам в бюджет и внебюджетные фонды в общей сумме кредиторской задолженности (за период с начала года в % к соответствующему периоду прошлого года)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3,4</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8,73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8,76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8,59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8,36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8,05</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7,67</w:t>
            </w:r>
          </w:p>
        </w:tc>
      </w:tr>
      <w:tr w:rsidR="00810A0F" w:rsidRPr="00E97C6A" w:rsidTr="00810A0F">
        <w:trPr>
          <w:trHeight w:val="434"/>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задолженности по кредитам, предоставленным юридическим лицам и индивидуальным предпринимателям (объем на начало отчетного месяца в % к началу соответствующего месяца предыдущего года)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146,89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142,89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174,44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220,54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280,93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355,28</w:t>
            </w:r>
          </w:p>
        </w:tc>
      </w:tr>
      <w:tr w:rsidR="00810A0F" w:rsidRPr="00E97C6A" w:rsidTr="00810A0F">
        <w:trPr>
          <w:trHeight w:val="12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оборота розничной торговли (за период с начала года в % к соответствующему периоду прошлого года, в сопоставимых ценах)</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100,01</w:t>
            </w:r>
          </w:p>
        </w:tc>
      </w:tr>
      <w:tr w:rsidR="00810A0F" w:rsidRPr="00E97C6A" w:rsidTr="00810A0F">
        <w:trPr>
          <w:trHeight w:val="12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объема платных услуг населению (за период с начала года в % к соответствующему периоду прошлого года, в сопоставимых ценах)</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r>
      <w:tr w:rsidR="00810A0F" w:rsidRPr="00E97C6A" w:rsidTr="00810A0F">
        <w:trPr>
          <w:trHeight w:val="12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Объем инвестиций в основной капитал на душу населения (за период с начала года, тыс. руб. на человека, квартальный показатель)</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1,05</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0,78</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0,77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0,76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0,74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0,72</w:t>
            </w:r>
          </w:p>
        </w:tc>
      </w:tr>
      <w:tr w:rsidR="00810A0F" w:rsidRPr="00E97C6A" w:rsidTr="00810A0F">
        <w:trPr>
          <w:trHeight w:val="12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физического объема инвестиций в основной капитал (за период с начала года в % к соответствующему периоду прошлого года)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64,8</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98,24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100,41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83,27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69,23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72,83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105,87</w:t>
            </w:r>
          </w:p>
        </w:tc>
      </w:tr>
      <w:tr w:rsidR="00810A0F" w:rsidRPr="00E97C6A" w:rsidTr="00810A0F">
        <w:trPr>
          <w:trHeight w:val="9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Объем работ, выполненных по ВЭД «Строительство» на душу населения (за период с начала года, тыс.руб. на человека)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r>
      <w:tr w:rsidR="00810A0F" w:rsidRPr="00E97C6A" w:rsidTr="00810A0F">
        <w:trPr>
          <w:trHeight w:val="12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физического объема работ, выполненных по ВЭД «Строительство» (за период с начала года в % к соответствующему периоду прошлого года)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r>
      <w:tr w:rsidR="00810A0F" w:rsidRPr="00E97C6A" w:rsidTr="00810A0F">
        <w:trPr>
          <w:trHeight w:val="6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прибыльных предприятий (за период с начала года, %)</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66,7</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25,83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26,96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28,11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39,74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75,16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61,05</w:t>
            </w:r>
          </w:p>
        </w:tc>
      </w:tr>
      <w:tr w:rsidR="00810A0F" w:rsidRPr="00E97C6A" w:rsidTr="00810A0F">
        <w:trPr>
          <w:trHeight w:val="600"/>
        </w:trPr>
        <w:tc>
          <w:tcPr>
            <w:tcW w:w="8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Социальная</w:t>
            </w: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потребительских цен (в % к декабрю прошлого года)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1,0044</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r>
      <w:tr w:rsidR="00810A0F" w:rsidRPr="00E97C6A" w:rsidTr="00810A0F">
        <w:trPr>
          <w:trHeight w:val="12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Динамика начисленной заработной платы работников предприятий и организаций (за период с начала года в % к соответствующему периоду прошлого года)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108,9</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108,36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108,18</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109,56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111,58</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114,21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117,46</w:t>
            </w:r>
          </w:p>
        </w:tc>
      </w:tr>
      <w:tr w:rsidR="00810A0F" w:rsidRPr="00E97C6A" w:rsidTr="00810A0F">
        <w:trPr>
          <w:trHeight w:val="9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Отношение среднемесячной зарплаты к стоимости фиксированного набора товаров и услуг (в разах)</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1,88</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1,92</w:t>
            </w:r>
          </w:p>
        </w:tc>
      </w:tr>
      <w:tr w:rsidR="00810A0F" w:rsidRPr="00E97C6A" w:rsidTr="00810A0F">
        <w:trPr>
          <w:trHeight w:val="9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трудоспособного населения в общей численности населения (на отчетный период, в %)</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51,9</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53,54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53,58</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53,27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52,82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52,23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51,5</w:t>
            </w:r>
          </w:p>
        </w:tc>
      </w:tr>
      <w:tr w:rsidR="00810A0F" w:rsidRPr="00E97C6A" w:rsidTr="00810A0F">
        <w:trPr>
          <w:trHeight w:val="6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Число безработных на 1 вакантное место (на отчетный период, человек)</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1,5</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6,19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5,93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7,97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10,96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14,87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19,68</w:t>
            </w:r>
          </w:p>
        </w:tc>
      </w:tr>
      <w:tr w:rsidR="00810A0F" w:rsidRPr="00E97C6A" w:rsidTr="00810A0F">
        <w:trPr>
          <w:trHeight w:val="15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Покупательная способность заработной платы по отношению к прожиточному минимуму (объем на начало отчетного месяца в % к началу соответствующего месяца предыдущего года)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319,6</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300,97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300,82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301,96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303,62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305,8</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308,47</w:t>
            </w:r>
          </w:p>
        </w:tc>
      </w:tr>
      <w:tr w:rsidR="00810A0F" w:rsidRPr="00E97C6A" w:rsidTr="00810A0F">
        <w:trPr>
          <w:trHeight w:val="6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Уровень зарегистрированной безработицы (на отчетный период, в %)</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3,4</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4,47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4,43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4,71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5,12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5,66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6,32</w:t>
            </w:r>
          </w:p>
        </w:tc>
      </w:tr>
      <w:tr w:rsidR="00810A0F" w:rsidRPr="00E97C6A" w:rsidTr="00810A0F">
        <w:trPr>
          <w:trHeight w:val="900"/>
        </w:trPr>
        <w:tc>
          <w:tcPr>
            <w:tcW w:w="8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Муниципальное управление</w:t>
            </w: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Доходы консолидированного бюджета Бардымского МР на душу населения (за период с начала года, тыс.руб. на человека)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30,4</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31,36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30,85</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30,11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29,15</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27,95</w:t>
            </w:r>
          </w:p>
        </w:tc>
      </w:tr>
      <w:tr w:rsidR="00810A0F" w:rsidRPr="00E97C6A" w:rsidTr="00810A0F">
        <w:trPr>
          <w:trHeight w:val="21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Отношение поступлений по налогу на доходы физических лиц, единому налогу на вмененный доход, единому сельскохозяйственному налогу, земельному и транспортному налогам к расходам консолидированного бюджета Бардымского МР (за период с начала года, %)</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14,8</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11,89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11,84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12,24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12,82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13,58</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14,52</w:t>
            </w:r>
          </w:p>
        </w:tc>
      </w:tr>
      <w:tr w:rsidR="00810A0F" w:rsidRPr="00E97C6A" w:rsidTr="00810A0F">
        <w:trPr>
          <w:trHeight w:val="15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налоговых и неналоговых доходов консолидированного бюджета Бардымского МР (за период с начала года в % к соответствующему периоду прошлого года)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113,3</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98,28</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99,21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91,85</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81,1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107,2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100,05</w:t>
            </w:r>
          </w:p>
        </w:tc>
      </w:tr>
      <w:tr w:rsidR="00810A0F" w:rsidRPr="00E97C6A" w:rsidTr="00810A0F">
        <w:trPr>
          <w:trHeight w:val="292"/>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расходов на социальное развитие (образование, здравоохранение, культуру, спорт, социальную сферу в общем объеме расходов консолидированного бюджета Бардымского МР (за период с начала года, в %)</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73,1</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70,8</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70,74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71,24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71,96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72,9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74,06</w:t>
            </w:r>
          </w:p>
        </w:tc>
      </w:tr>
    </w:tbl>
    <w:p w:rsidR="00810A0F" w:rsidRDefault="00810A0F" w:rsidP="00810A0F">
      <w:pPr>
        <w:spacing w:after="0"/>
        <w:jc w:val="center"/>
        <w:rPr>
          <w:rFonts w:ascii="Times New Roman" w:hAnsi="Times New Roman" w:cs="Times New Roman"/>
          <w:b/>
          <w:sz w:val="28"/>
          <w:szCs w:val="28"/>
        </w:rPr>
      </w:pPr>
    </w:p>
    <w:p w:rsidR="00810A0F" w:rsidRPr="00ED6628" w:rsidRDefault="00810A0F" w:rsidP="00810A0F">
      <w:pPr>
        <w:spacing w:after="160" w:line="259" w:lineRule="auto"/>
        <w:jc w:val="right"/>
        <w:rPr>
          <w:rFonts w:ascii="Times New Roman" w:hAnsi="Times New Roman" w:cs="Times New Roman"/>
          <w:b/>
          <w:sz w:val="28"/>
          <w:szCs w:val="28"/>
        </w:rPr>
      </w:pPr>
      <w:r w:rsidRPr="00153E07">
        <w:rPr>
          <w:rFonts w:ascii="Times New Roman" w:hAnsi="Times New Roman" w:cs="Times New Roman"/>
          <w:sz w:val="28"/>
          <w:szCs w:val="28"/>
        </w:rPr>
        <w:br w:type="page"/>
      </w:r>
      <w:r w:rsidRPr="00ED6628">
        <w:rPr>
          <w:rFonts w:ascii="Times New Roman" w:hAnsi="Times New Roman" w:cs="Times New Roman"/>
          <w:b/>
          <w:sz w:val="28"/>
          <w:szCs w:val="28"/>
        </w:rPr>
        <w:lastRenderedPageBreak/>
        <w:t>Приложение 7</w:t>
      </w:r>
    </w:p>
    <w:p w:rsidR="00810A0F" w:rsidRPr="00ED6628" w:rsidRDefault="00810A0F" w:rsidP="00810A0F">
      <w:pPr>
        <w:spacing w:after="0"/>
        <w:jc w:val="center"/>
        <w:rPr>
          <w:rFonts w:ascii="Times New Roman" w:hAnsi="Times New Roman" w:cs="Times New Roman"/>
          <w:b/>
          <w:sz w:val="28"/>
          <w:szCs w:val="28"/>
        </w:rPr>
      </w:pPr>
      <w:r w:rsidRPr="00ED6628">
        <w:rPr>
          <w:rFonts w:ascii="Times New Roman" w:hAnsi="Times New Roman" w:cs="Times New Roman"/>
          <w:b/>
          <w:sz w:val="28"/>
          <w:szCs w:val="28"/>
        </w:rPr>
        <w:t>Пессимистический прогноз социально-экономического развития Бардымского муниципального района Пермского края на 2018-2030 годы</w:t>
      </w:r>
    </w:p>
    <w:tbl>
      <w:tblPr>
        <w:tblW w:w="4998" w:type="pct"/>
        <w:tblLayout w:type="fixed"/>
        <w:tblLook w:val="04A0"/>
      </w:tblPr>
      <w:tblGrid>
        <w:gridCol w:w="1670"/>
        <w:gridCol w:w="2691"/>
        <w:gridCol w:w="991"/>
        <w:gridCol w:w="849"/>
        <w:gridCol w:w="815"/>
        <w:gridCol w:w="742"/>
        <w:gridCol w:w="711"/>
        <w:gridCol w:w="849"/>
        <w:gridCol w:w="815"/>
      </w:tblGrid>
      <w:tr w:rsidR="00810A0F" w:rsidRPr="00ED6628" w:rsidTr="00810A0F">
        <w:trPr>
          <w:trHeight w:val="600"/>
        </w:trPr>
        <w:tc>
          <w:tcPr>
            <w:tcW w:w="8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Сфера</w:t>
            </w:r>
          </w:p>
        </w:tc>
        <w:tc>
          <w:tcPr>
            <w:tcW w:w="13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Показатели</w:t>
            </w: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Базовый период</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Оценка</w:t>
            </w:r>
          </w:p>
        </w:tc>
        <w:tc>
          <w:tcPr>
            <w:tcW w:w="1940" w:type="pct"/>
            <w:gridSpan w:val="5"/>
            <w:tcBorders>
              <w:top w:val="single" w:sz="4" w:space="0" w:color="auto"/>
              <w:left w:val="nil"/>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Прогноз</w:t>
            </w:r>
          </w:p>
        </w:tc>
      </w:tr>
      <w:tr w:rsidR="00810A0F" w:rsidRPr="00ED6628" w:rsidTr="00810A0F">
        <w:trPr>
          <w:trHeight w:val="300"/>
        </w:trPr>
        <w:tc>
          <w:tcPr>
            <w:tcW w:w="824" w:type="pct"/>
            <w:vMerge/>
            <w:tcBorders>
              <w:top w:val="single" w:sz="4" w:space="0" w:color="auto"/>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1328" w:type="pct"/>
            <w:vMerge/>
            <w:tcBorders>
              <w:top w:val="single" w:sz="4" w:space="0" w:color="auto"/>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489" w:type="pct"/>
            <w:tcBorders>
              <w:top w:val="nil"/>
              <w:left w:val="nil"/>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2016</w:t>
            </w:r>
          </w:p>
        </w:tc>
        <w:tc>
          <w:tcPr>
            <w:tcW w:w="419" w:type="pct"/>
            <w:tcBorders>
              <w:top w:val="nil"/>
              <w:left w:val="nil"/>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2017</w:t>
            </w:r>
          </w:p>
        </w:tc>
        <w:tc>
          <w:tcPr>
            <w:tcW w:w="402" w:type="pct"/>
            <w:tcBorders>
              <w:top w:val="nil"/>
              <w:left w:val="nil"/>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2018</w:t>
            </w:r>
          </w:p>
        </w:tc>
        <w:tc>
          <w:tcPr>
            <w:tcW w:w="366" w:type="pct"/>
            <w:tcBorders>
              <w:top w:val="nil"/>
              <w:left w:val="nil"/>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2019</w:t>
            </w:r>
          </w:p>
        </w:tc>
        <w:tc>
          <w:tcPr>
            <w:tcW w:w="351" w:type="pct"/>
            <w:tcBorders>
              <w:top w:val="nil"/>
              <w:left w:val="nil"/>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2020</w:t>
            </w:r>
          </w:p>
        </w:tc>
        <w:tc>
          <w:tcPr>
            <w:tcW w:w="419" w:type="pct"/>
            <w:tcBorders>
              <w:top w:val="nil"/>
              <w:left w:val="nil"/>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2025</w:t>
            </w:r>
          </w:p>
        </w:tc>
        <w:tc>
          <w:tcPr>
            <w:tcW w:w="403" w:type="pct"/>
            <w:tcBorders>
              <w:top w:val="nil"/>
              <w:left w:val="nil"/>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2030</w:t>
            </w:r>
          </w:p>
        </w:tc>
      </w:tr>
      <w:tr w:rsidR="00810A0F" w:rsidRPr="00ED6628" w:rsidTr="00810A0F">
        <w:trPr>
          <w:trHeight w:val="300"/>
        </w:trPr>
        <w:tc>
          <w:tcPr>
            <w:tcW w:w="824" w:type="pct"/>
            <w:tcBorders>
              <w:top w:val="nil"/>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Демография</w:t>
            </w: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Численность постоянного населения, чел.</w:t>
            </w:r>
          </w:p>
        </w:tc>
        <w:tc>
          <w:tcPr>
            <w:tcW w:w="48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25291</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25202</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25186</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24995</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24716</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24349</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23901</w:t>
            </w:r>
          </w:p>
        </w:tc>
      </w:tr>
      <w:tr w:rsidR="00810A0F" w:rsidRPr="00ED6628" w:rsidTr="00810A0F">
        <w:trPr>
          <w:trHeight w:val="60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Инфраструктура</w:t>
            </w: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Ввод жилья на душу населения (за период с начала года, кв.м. на 1000 чел. населения)</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564,1</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542,88</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539,46</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520,18</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491,85</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454,77</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409,35</w:t>
            </w:r>
          </w:p>
        </w:tc>
      </w:tr>
      <w:tr w:rsidR="00810A0F" w:rsidRPr="00ED6628" w:rsidTr="00810A0F">
        <w:trPr>
          <w:trHeight w:val="600"/>
        </w:trPr>
        <w:tc>
          <w:tcPr>
            <w:tcW w:w="82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Экономика</w:t>
            </w: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промышленного производства (за период с начала года в % к соответствующему периоду прошлого года)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101,26</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135,22</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137,12</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147,91</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163,76</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184,51</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209,92</w:t>
            </w:r>
          </w:p>
        </w:tc>
      </w:tr>
      <w:tr w:rsidR="00810A0F" w:rsidRPr="00ED6628" w:rsidTr="00810A0F">
        <w:trPr>
          <w:trHeight w:val="9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числа субъектов малого предпринимательства (за период с начала года в % к соответствующему периоду прошлого года)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103,6</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94,19</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92,78</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84,85</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73,2</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77,95</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87,82</w:t>
            </w:r>
          </w:p>
        </w:tc>
      </w:tr>
      <w:tr w:rsidR="00810A0F" w:rsidRPr="00ED6628" w:rsidTr="00810A0F">
        <w:trPr>
          <w:trHeight w:val="9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производства продукции сельского хозяйства (за период с начала года в % к соответствующему периоду прошлого года, квартальный показатель)</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100,6</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100,09</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95,8</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71,52</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65,85</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69,26</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72,66</w:t>
            </w:r>
          </w:p>
        </w:tc>
      </w:tr>
      <w:tr w:rsidR="00810A0F" w:rsidRPr="00ED6628" w:rsidTr="00810A0F">
        <w:trPr>
          <w:trHeight w:val="6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Объем отгруженных товаров на душу населения (за период с начала года, тыс.руб. на человека)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2,45</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2,76</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3,2</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3,79</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4,5</w:t>
            </w:r>
          </w:p>
        </w:tc>
      </w:tr>
      <w:tr w:rsidR="00810A0F" w:rsidRPr="00ED6628" w:rsidTr="00810A0F">
        <w:trPr>
          <w:trHeight w:val="12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задолженности предприятий по платежам в бюджет и внебюджетные фонды в общей сумме кредиторской задолженности (за период с начала года в % к соответствующему периоду прошлого года)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3,4</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8,73</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8,68</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8,37</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7,91</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7,31</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6,58</w:t>
            </w:r>
          </w:p>
        </w:tc>
      </w:tr>
      <w:tr w:rsidR="00810A0F" w:rsidRPr="00ED6628" w:rsidTr="00810A0F">
        <w:trPr>
          <w:trHeight w:val="12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задолженности по кредитам, предоставленным юридическим лицам и индивидуальным предпринимателям (объем на начало отчетного месяца в % к началу соответствующего месяца предыдущего года)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146,89</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157,67</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218,53</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307,97</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425,02</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568,41</w:t>
            </w:r>
          </w:p>
        </w:tc>
      </w:tr>
      <w:tr w:rsidR="00810A0F" w:rsidRPr="00ED6628" w:rsidTr="00810A0F">
        <w:trPr>
          <w:trHeight w:val="9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оборота розничной торговли (за период с начала года в % к соответствующему периоду прошлого года, в сопоставимых ценах)</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100,02</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100,02</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100,01</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100,01</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w:t>
            </w:r>
          </w:p>
        </w:tc>
      </w:tr>
      <w:tr w:rsidR="00810A0F" w:rsidRPr="00ED6628" w:rsidTr="00810A0F">
        <w:trPr>
          <w:trHeight w:val="434"/>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объема платных услуг населению (за период с начала года в % к соответствующему периоду прошлого года, в сопоставимых ценах)</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r>
      <w:tr w:rsidR="00810A0F" w:rsidRPr="00ED6628" w:rsidTr="00810A0F">
        <w:trPr>
          <w:trHeight w:val="9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Объем инвестиций в основной капитал на душу населения (за период с начала года, тыс. руб. на человека, квартальный показатель)</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1,05</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1,07</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0,77</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0,76</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0,73</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0,71</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0,67</w:t>
            </w:r>
          </w:p>
        </w:tc>
      </w:tr>
      <w:tr w:rsidR="00810A0F" w:rsidRPr="00ED6628" w:rsidTr="00810A0F">
        <w:trPr>
          <w:trHeight w:val="9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физического объема инвестиций в основной капитал (за период с начала года в % к соответствующему периоду прошлого года)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64,8</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98,24</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92,38</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59,33</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60,74</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62,72</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78,02</w:t>
            </w:r>
          </w:p>
        </w:tc>
      </w:tr>
      <w:tr w:rsidR="00810A0F" w:rsidRPr="00ED6628" w:rsidTr="00810A0F">
        <w:trPr>
          <w:trHeight w:val="6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Объем работ, выполненных по ВЭД «Строительство» на душу населения (за период с начала года, тыс.руб. на человека)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r>
      <w:tr w:rsidR="00810A0F" w:rsidRPr="00ED6628" w:rsidTr="00810A0F">
        <w:trPr>
          <w:trHeight w:val="9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физического объема работ, выполненных по ВЭД «Строительство» (за период с начала года в % к соответствующему периоду прошлого года)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r>
      <w:tr w:rsidR="00810A0F" w:rsidRPr="00ED6628" w:rsidTr="00810A0F">
        <w:trPr>
          <w:trHeight w:val="6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прибыльных предприятий (за период с начала года, %, лаг - 1 месяц)</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66,7</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25,83</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22,81</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5,75</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19,33</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42,26</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56,32</w:t>
            </w:r>
          </w:p>
        </w:tc>
      </w:tr>
      <w:tr w:rsidR="00810A0F" w:rsidRPr="00ED6628" w:rsidTr="00810A0F">
        <w:trPr>
          <w:trHeight w:val="300"/>
        </w:trPr>
        <w:tc>
          <w:tcPr>
            <w:tcW w:w="82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Социальная</w:t>
            </w: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потребительских цен (в % к декабрю прошлого года)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1,0044</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r>
      <w:tr w:rsidR="00810A0F" w:rsidRPr="00ED6628" w:rsidTr="00810A0F">
        <w:trPr>
          <w:trHeight w:val="9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Динамика начисленной заработной платы работников предприятий и организаций (за период с начала года в % к соответствующему периоду прошлого года, лаг - 1 месяц)</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108,9</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108,36</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108,83</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111,49</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115,39</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120,51</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126,77</w:t>
            </w:r>
          </w:p>
        </w:tc>
      </w:tr>
      <w:tr w:rsidR="00810A0F" w:rsidRPr="00ED6628" w:rsidTr="00810A0F">
        <w:trPr>
          <w:trHeight w:val="9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Отношение среднемесячной зарплаты к стоимости фиксированного набора товаров и услуг (в разах, лаг - 1 месяц)</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1,88</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1,89</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1,89</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1,92</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1,93</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1,95</w:t>
            </w:r>
          </w:p>
        </w:tc>
      </w:tr>
      <w:tr w:rsidR="00810A0F" w:rsidRPr="00ED6628" w:rsidTr="00810A0F">
        <w:trPr>
          <w:trHeight w:val="6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трудоспособного населения в общей численности населения (на отчетный период, в %)</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51,9</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53,54</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53,43</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52,84</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51,97</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50,82</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49,42</w:t>
            </w:r>
          </w:p>
        </w:tc>
      </w:tr>
      <w:tr w:rsidR="00810A0F" w:rsidRPr="00ED6628" w:rsidTr="00810A0F">
        <w:trPr>
          <w:trHeight w:val="6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Число безработных на 1 вакантное место (на отчетный период, человек)</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1,5</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6,19</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6,89</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10,83</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16,62</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24,19</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33,47</w:t>
            </w:r>
          </w:p>
        </w:tc>
      </w:tr>
      <w:tr w:rsidR="00810A0F" w:rsidRPr="00ED6628" w:rsidTr="00810A0F">
        <w:trPr>
          <w:trHeight w:val="12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Покупательная способность заработной платы по отношению к прожиточному минимуму (объем на начало отчетного месяца в % к началу соответствующего месяца предыдущего года)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319,6</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300,97</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301,36</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303,55</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306,77</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310,99</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316,15</w:t>
            </w:r>
          </w:p>
        </w:tc>
      </w:tr>
      <w:tr w:rsidR="00810A0F" w:rsidRPr="00ED6628" w:rsidTr="00810A0F">
        <w:trPr>
          <w:trHeight w:val="6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Уровень зарегистрированной безработицы (на отчетный период, в %)</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3,4</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4,47</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4,56</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5,1</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5,9</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6,94</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8,21</w:t>
            </w:r>
          </w:p>
        </w:tc>
      </w:tr>
      <w:tr w:rsidR="00810A0F" w:rsidRPr="00ED6628" w:rsidTr="00810A0F">
        <w:trPr>
          <w:trHeight w:val="900"/>
        </w:trPr>
        <w:tc>
          <w:tcPr>
            <w:tcW w:w="82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Муниципальное управление</w:t>
            </w: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Доходы консолидированного бюджета Бардымского МР на душу населения (за период с начала года, тыс.руб. на человека)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30,4</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31,3</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31,12</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30,15</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28,71</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26,83</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24,53</w:t>
            </w:r>
          </w:p>
        </w:tc>
      </w:tr>
      <w:tr w:rsidR="00810A0F" w:rsidRPr="00ED6628" w:rsidTr="00810A0F">
        <w:trPr>
          <w:trHeight w:val="15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Отношение поступлений по налогу на доходы физических лиц, единому налогу на вмененный доход, единому сельскохозяйственному налогу, земельному и транспортному налогам к расходам консолидированного бюджета Бардымского МР (за период с начала года, %)</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14,8</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11,89</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12,02</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12,79</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13,92</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15,4</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17,21</w:t>
            </w:r>
          </w:p>
        </w:tc>
      </w:tr>
      <w:tr w:rsidR="00810A0F" w:rsidRPr="00ED6628" w:rsidTr="00810A0F">
        <w:trPr>
          <w:trHeight w:val="15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 xml:space="preserve">Темп роста налоговых и неналоговых доходов консолидированного бюджета Бардымского МР (за период с начала года в % к соответствующему периоду </w:t>
            </w:r>
            <w:r w:rsidRPr="00ED6628">
              <w:rPr>
                <w:rFonts w:ascii="Times New Roman" w:eastAsia="Times New Roman" w:hAnsi="Times New Roman" w:cs="Times New Roman"/>
                <w:color w:val="000000"/>
                <w:sz w:val="18"/>
                <w:szCs w:val="18"/>
              </w:rPr>
              <w:lastRenderedPageBreak/>
              <w:t>прошлого года)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lastRenderedPageBreak/>
              <w:t>113,3</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98,28</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95,76</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81,57</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60,71</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73,42</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77,2</w:t>
            </w:r>
          </w:p>
        </w:tc>
      </w:tr>
      <w:tr w:rsidR="00810A0F" w:rsidRPr="00ED6628" w:rsidTr="00810A0F">
        <w:trPr>
          <w:trHeight w:val="12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расходов на социальное развитие (образование, здравоохранение, культуру, спорт, социальную сферу в общем объеме расходов консолидированного бюджета Бардымского МР (за период с начала года, в %)</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73,1</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70,8</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70,97</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71,92</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73,32</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75,15</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77,39</w:t>
            </w:r>
          </w:p>
        </w:tc>
      </w:tr>
    </w:tbl>
    <w:p w:rsidR="00BF5CCA" w:rsidRPr="00CF5485" w:rsidRDefault="00153E07" w:rsidP="00543488">
      <w:pPr>
        <w:spacing w:after="160" w:line="259" w:lineRule="auto"/>
        <w:jc w:val="center"/>
        <w:rPr>
          <w:rFonts w:ascii="Times New Roman" w:hAnsi="Times New Roman" w:cs="Times New Roman"/>
          <w:b/>
          <w:sz w:val="28"/>
          <w:szCs w:val="28"/>
        </w:rPr>
      </w:pPr>
      <w:r w:rsidRPr="00153E07">
        <w:rPr>
          <w:rFonts w:ascii="Times New Roman" w:hAnsi="Times New Roman" w:cs="Times New Roman"/>
          <w:sz w:val="28"/>
          <w:szCs w:val="28"/>
        </w:rPr>
        <w:br w:type="page"/>
      </w:r>
      <w:bookmarkEnd w:id="12"/>
      <w:r w:rsidR="00543488" w:rsidRPr="00CF5485">
        <w:rPr>
          <w:rFonts w:ascii="Times New Roman" w:hAnsi="Times New Roman" w:cs="Times New Roman"/>
          <w:b/>
          <w:sz w:val="28"/>
          <w:szCs w:val="28"/>
        </w:rPr>
        <w:lastRenderedPageBreak/>
        <w:t>Оглавление</w:t>
      </w:r>
    </w:p>
    <w:p w:rsidR="00870C51" w:rsidRPr="00BF6E5D" w:rsidRDefault="00870C51" w:rsidP="00BF6E5D">
      <w:pPr>
        <w:pStyle w:val="1"/>
        <w:spacing w:line="240" w:lineRule="auto"/>
        <w:rPr>
          <w:b w:val="0"/>
          <w:sz w:val="24"/>
          <w:szCs w:val="24"/>
        </w:rPr>
      </w:pPr>
      <w:r w:rsidRPr="00BF6E5D">
        <w:rPr>
          <w:b w:val="0"/>
          <w:sz w:val="24"/>
          <w:szCs w:val="24"/>
        </w:rPr>
        <w:t xml:space="preserve">1. Оценка социально-экономического развития Бардымского муниципального района </w:t>
      </w:r>
      <w:r w:rsidR="005A3CFC">
        <w:rPr>
          <w:b w:val="0"/>
          <w:sz w:val="24"/>
          <w:szCs w:val="24"/>
        </w:rPr>
        <w:t xml:space="preserve">               </w:t>
      </w:r>
      <w:r w:rsidR="00E73204">
        <w:rPr>
          <w:b w:val="0"/>
          <w:sz w:val="24"/>
          <w:szCs w:val="24"/>
        </w:rPr>
        <w:t>2</w:t>
      </w:r>
    </w:p>
    <w:p w:rsidR="00870C51" w:rsidRPr="00BF6E5D" w:rsidRDefault="00870C51" w:rsidP="00BF6E5D">
      <w:pPr>
        <w:pStyle w:val="1"/>
        <w:spacing w:line="240" w:lineRule="auto"/>
        <w:rPr>
          <w:b w:val="0"/>
          <w:sz w:val="24"/>
          <w:szCs w:val="24"/>
        </w:rPr>
      </w:pPr>
      <w:r w:rsidRPr="00BF6E5D">
        <w:rPr>
          <w:b w:val="0"/>
          <w:sz w:val="24"/>
          <w:szCs w:val="24"/>
        </w:rPr>
        <w:t xml:space="preserve">     1.1. Бардымский муниципальный район (общая информация) </w:t>
      </w:r>
      <w:r w:rsidR="005A3CFC">
        <w:rPr>
          <w:b w:val="0"/>
          <w:sz w:val="24"/>
          <w:szCs w:val="24"/>
        </w:rPr>
        <w:t xml:space="preserve">                     </w:t>
      </w:r>
      <w:r w:rsidR="00E73204">
        <w:rPr>
          <w:b w:val="0"/>
          <w:sz w:val="24"/>
          <w:szCs w:val="24"/>
        </w:rPr>
        <w:t xml:space="preserve">                               2</w:t>
      </w:r>
    </w:p>
    <w:p w:rsidR="00870C51" w:rsidRPr="00BF6E5D" w:rsidRDefault="00870C51" w:rsidP="00BF6E5D">
      <w:pPr>
        <w:pStyle w:val="1"/>
        <w:spacing w:line="240" w:lineRule="auto"/>
        <w:rPr>
          <w:b w:val="0"/>
          <w:sz w:val="24"/>
          <w:szCs w:val="24"/>
        </w:rPr>
      </w:pPr>
      <w:r w:rsidRPr="00BF6E5D">
        <w:rPr>
          <w:b w:val="0"/>
          <w:sz w:val="24"/>
          <w:szCs w:val="24"/>
        </w:rPr>
        <w:t xml:space="preserve">     1.1.1. Краткая информация </w:t>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t xml:space="preserve">         2</w:t>
      </w:r>
    </w:p>
    <w:p w:rsidR="00870C51" w:rsidRPr="00BF6E5D" w:rsidRDefault="00870C51"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1.1.2. Географическое расположение Бардымского муниципального района</w:t>
      </w:r>
      <w:r w:rsidR="00E73204">
        <w:rPr>
          <w:rFonts w:ascii="Times New Roman" w:hAnsi="Times New Roman" w:cs="Times New Roman"/>
          <w:sz w:val="24"/>
          <w:szCs w:val="24"/>
        </w:rPr>
        <w:tab/>
      </w:r>
      <w:r w:rsidR="00E73204">
        <w:rPr>
          <w:rFonts w:ascii="Times New Roman" w:hAnsi="Times New Roman" w:cs="Times New Roman"/>
          <w:sz w:val="24"/>
          <w:szCs w:val="24"/>
        </w:rPr>
        <w:tab/>
        <w:t xml:space="preserve">         </w:t>
      </w:r>
      <w:r w:rsidR="00333885">
        <w:rPr>
          <w:rFonts w:ascii="Times New Roman" w:hAnsi="Times New Roman" w:cs="Times New Roman"/>
          <w:sz w:val="24"/>
          <w:szCs w:val="24"/>
        </w:rPr>
        <w:t>3</w:t>
      </w:r>
    </w:p>
    <w:p w:rsidR="00870C51" w:rsidRPr="00BF6E5D" w:rsidRDefault="00870C51"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1.1.3 Природные условия Бардымского муниципального района</w:t>
      </w:r>
      <w:r w:rsidR="005A3CFC">
        <w:rPr>
          <w:rFonts w:ascii="Times New Roman" w:hAnsi="Times New Roman" w:cs="Times New Roman"/>
          <w:sz w:val="24"/>
          <w:szCs w:val="24"/>
        </w:rPr>
        <w:tab/>
      </w:r>
      <w:r w:rsidR="005A3CFC">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t xml:space="preserve">         </w:t>
      </w:r>
      <w:r w:rsidR="00333885">
        <w:rPr>
          <w:rFonts w:ascii="Times New Roman" w:hAnsi="Times New Roman" w:cs="Times New Roman"/>
          <w:sz w:val="24"/>
          <w:szCs w:val="24"/>
        </w:rPr>
        <w:t>3</w:t>
      </w:r>
    </w:p>
    <w:p w:rsidR="00870C51" w:rsidRPr="00BF6E5D" w:rsidRDefault="00870C51" w:rsidP="00BF6E5D">
      <w:pPr>
        <w:pStyle w:val="1"/>
        <w:spacing w:line="240" w:lineRule="auto"/>
        <w:rPr>
          <w:b w:val="0"/>
          <w:sz w:val="24"/>
          <w:szCs w:val="24"/>
        </w:rPr>
      </w:pPr>
      <w:r w:rsidRPr="00BF6E5D">
        <w:rPr>
          <w:b w:val="0"/>
          <w:sz w:val="24"/>
          <w:szCs w:val="24"/>
        </w:rPr>
        <w:t xml:space="preserve">     1.1.4 Основные показатели социально-экономического развития Бардымского муниципального района</w:t>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t xml:space="preserve">         4</w:t>
      </w:r>
    </w:p>
    <w:p w:rsidR="00870C51" w:rsidRPr="00BF6E5D" w:rsidRDefault="00870C51" w:rsidP="00BF6E5D">
      <w:pPr>
        <w:pStyle w:val="1"/>
        <w:spacing w:line="240" w:lineRule="auto"/>
        <w:rPr>
          <w:b w:val="0"/>
          <w:sz w:val="24"/>
          <w:szCs w:val="24"/>
        </w:rPr>
      </w:pPr>
      <w:r w:rsidRPr="00BF6E5D">
        <w:rPr>
          <w:b w:val="0"/>
          <w:sz w:val="24"/>
          <w:szCs w:val="24"/>
        </w:rPr>
        <w:t>1.2. Социально-экономическое развитие Бардымского муниципального района</w:t>
      </w:r>
      <w:r w:rsidR="00E73204">
        <w:rPr>
          <w:b w:val="0"/>
          <w:sz w:val="24"/>
          <w:szCs w:val="24"/>
        </w:rPr>
        <w:tab/>
      </w:r>
      <w:r w:rsidR="00E73204">
        <w:rPr>
          <w:b w:val="0"/>
          <w:sz w:val="24"/>
          <w:szCs w:val="24"/>
        </w:rPr>
        <w:tab/>
        <w:t xml:space="preserve">    </w:t>
      </w:r>
      <w:r w:rsidR="00333885">
        <w:rPr>
          <w:b w:val="0"/>
          <w:sz w:val="24"/>
          <w:szCs w:val="24"/>
        </w:rPr>
        <w:t xml:space="preserve"> </w:t>
      </w:r>
      <w:r w:rsidR="00E73204">
        <w:rPr>
          <w:b w:val="0"/>
          <w:sz w:val="24"/>
          <w:szCs w:val="24"/>
        </w:rPr>
        <w:t xml:space="preserve">    8</w:t>
      </w:r>
    </w:p>
    <w:p w:rsidR="00870C51" w:rsidRPr="00BF6E5D" w:rsidRDefault="00870C51" w:rsidP="00BF6E5D">
      <w:pPr>
        <w:pStyle w:val="1"/>
        <w:spacing w:line="240" w:lineRule="auto"/>
        <w:rPr>
          <w:b w:val="0"/>
          <w:sz w:val="24"/>
          <w:szCs w:val="24"/>
        </w:rPr>
      </w:pPr>
      <w:r w:rsidRPr="00BF6E5D">
        <w:rPr>
          <w:b w:val="0"/>
          <w:sz w:val="24"/>
          <w:szCs w:val="24"/>
        </w:rPr>
        <w:t xml:space="preserve">     1.2.1 Демография</w:t>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t xml:space="preserve">        </w:t>
      </w:r>
      <w:r w:rsidR="00E73204">
        <w:rPr>
          <w:b w:val="0"/>
          <w:sz w:val="24"/>
          <w:szCs w:val="24"/>
        </w:rPr>
        <w:t xml:space="preserve"> 8</w:t>
      </w:r>
    </w:p>
    <w:p w:rsidR="00870C51" w:rsidRPr="00BF6E5D" w:rsidRDefault="00870C51" w:rsidP="00BF6E5D">
      <w:pPr>
        <w:pStyle w:val="1"/>
        <w:spacing w:line="240" w:lineRule="auto"/>
        <w:rPr>
          <w:b w:val="0"/>
          <w:sz w:val="24"/>
          <w:szCs w:val="24"/>
        </w:rPr>
      </w:pPr>
      <w:r w:rsidRPr="00BF6E5D">
        <w:rPr>
          <w:b w:val="0"/>
          <w:sz w:val="24"/>
          <w:szCs w:val="24"/>
        </w:rPr>
        <w:t xml:space="preserve">     1.2.2 Социальная сфера</w:t>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t xml:space="preserve">       12</w:t>
      </w:r>
    </w:p>
    <w:p w:rsidR="00870C51" w:rsidRPr="00BF6E5D" w:rsidRDefault="00870C51"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1.2.3 Здравоохранение</w:t>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t xml:space="preserve">       14</w:t>
      </w:r>
    </w:p>
    <w:p w:rsidR="00870C51" w:rsidRPr="00BF6E5D" w:rsidRDefault="00870C51"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1.2.4 Культура. Досуг. Физкультура и туризм</w:t>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t xml:space="preserve">       21</w:t>
      </w:r>
    </w:p>
    <w:p w:rsidR="00870C51" w:rsidRPr="00BF6E5D" w:rsidRDefault="00870C51"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w:t>
      </w:r>
      <w:r w:rsidRPr="00BF6E5D">
        <w:rPr>
          <w:b/>
          <w:sz w:val="24"/>
          <w:szCs w:val="24"/>
        </w:rPr>
        <w:t xml:space="preserve">    </w:t>
      </w:r>
      <w:r w:rsidRPr="00BF6E5D">
        <w:rPr>
          <w:rFonts w:ascii="Times New Roman" w:hAnsi="Times New Roman" w:cs="Times New Roman"/>
          <w:sz w:val="24"/>
          <w:szCs w:val="24"/>
        </w:rPr>
        <w:t>1.2.5 Социальная защита населения</w:t>
      </w:r>
      <w:r w:rsidR="00333885">
        <w:rPr>
          <w:rFonts w:ascii="Times New Roman" w:hAnsi="Times New Roman" w:cs="Times New Roman"/>
          <w:sz w:val="24"/>
          <w:szCs w:val="24"/>
        </w:rPr>
        <w:tab/>
      </w:r>
      <w:r w:rsidR="00333885">
        <w:rPr>
          <w:rFonts w:ascii="Times New Roman" w:hAnsi="Times New Roman" w:cs="Times New Roman"/>
          <w:sz w:val="24"/>
          <w:szCs w:val="24"/>
        </w:rPr>
        <w:tab/>
      </w:r>
      <w:r w:rsidR="00333885">
        <w:rPr>
          <w:rFonts w:ascii="Times New Roman" w:hAnsi="Times New Roman" w:cs="Times New Roman"/>
          <w:sz w:val="24"/>
          <w:szCs w:val="24"/>
        </w:rPr>
        <w:tab/>
      </w:r>
      <w:r w:rsidR="00333885">
        <w:rPr>
          <w:rFonts w:ascii="Times New Roman" w:hAnsi="Times New Roman" w:cs="Times New Roman"/>
          <w:sz w:val="24"/>
          <w:szCs w:val="24"/>
        </w:rPr>
        <w:tab/>
      </w:r>
      <w:r w:rsidR="00333885">
        <w:rPr>
          <w:rFonts w:ascii="Times New Roman" w:hAnsi="Times New Roman" w:cs="Times New Roman"/>
          <w:sz w:val="24"/>
          <w:szCs w:val="24"/>
        </w:rPr>
        <w:tab/>
      </w:r>
      <w:r w:rsidR="00333885">
        <w:rPr>
          <w:rFonts w:ascii="Times New Roman" w:hAnsi="Times New Roman" w:cs="Times New Roman"/>
          <w:sz w:val="24"/>
          <w:szCs w:val="24"/>
        </w:rPr>
        <w:tab/>
      </w:r>
      <w:r w:rsidR="00333885">
        <w:rPr>
          <w:rFonts w:ascii="Times New Roman" w:hAnsi="Times New Roman" w:cs="Times New Roman"/>
          <w:sz w:val="24"/>
          <w:szCs w:val="24"/>
        </w:rPr>
        <w:tab/>
      </w:r>
      <w:r w:rsidR="00333885">
        <w:rPr>
          <w:rFonts w:ascii="Times New Roman" w:hAnsi="Times New Roman" w:cs="Times New Roman"/>
          <w:sz w:val="24"/>
          <w:szCs w:val="24"/>
        </w:rPr>
        <w:tab/>
        <w:t xml:space="preserve">       24</w:t>
      </w:r>
    </w:p>
    <w:p w:rsidR="00870C51" w:rsidRPr="00BF6E5D" w:rsidRDefault="00870C51"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w:t>
      </w:r>
      <w:r w:rsidRPr="00BF6E5D">
        <w:rPr>
          <w:b/>
          <w:sz w:val="24"/>
          <w:szCs w:val="24"/>
        </w:rPr>
        <w:t xml:space="preserve">    </w:t>
      </w:r>
      <w:r w:rsidRPr="00BF6E5D">
        <w:rPr>
          <w:rFonts w:ascii="Times New Roman" w:hAnsi="Times New Roman" w:cs="Times New Roman"/>
          <w:sz w:val="24"/>
          <w:szCs w:val="24"/>
        </w:rPr>
        <w:t>1.2.6 Общественная безопасность</w:t>
      </w:r>
      <w:r w:rsidR="005A3CFC">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r>
      <w:r w:rsidR="00E73204">
        <w:rPr>
          <w:rFonts w:ascii="Times New Roman" w:hAnsi="Times New Roman" w:cs="Times New Roman"/>
          <w:sz w:val="24"/>
          <w:szCs w:val="24"/>
        </w:rPr>
        <w:tab/>
        <w:t xml:space="preserve">      </w:t>
      </w:r>
      <w:r w:rsidR="00333885">
        <w:rPr>
          <w:rFonts w:ascii="Times New Roman" w:hAnsi="Times New Roman" w:cs="Times New Roman"/>
          <w:sz w:val="24"/>
          <w:szCs w:val="24"/>
        </w:rPr>
        <w:t xml:space="preserve"> 26</w:t>
      </w:r>
    </w:p>
    <w:p w:rsidR="00870C51" w:rsidRPr="00BF6E5D" w:rsidRDefault="00870C51"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w:t>
      </w:r>
      <w:r w:rsidRPr="00BF6E5D">
        <w:rPr>
          <w:b/>
          <w:sz w:val="24"/>
          <w:szCs w:val="24"/>
        </w:rPr>
        <w:t xml:space="preserve">    </w:t>
      </w:r>
      <w:r w:rsidRPr="00BF6E5D">
        <w:rPr>
          <w:rFonts w:ascii="Times New Roman" w:hAnsi="Times New Roman" w:cs="Times New Roman"/>
          <w:sz w:val="24"/>
          <w:szCs w:val="24"/>
        </w:rPr>
        <w:t>1.2.7 Инфраструктурная сфера. Транспортная инфраструктура</w:t>
      </w:r>
      <w:r w:rsidR="00333885">
        <w:rPr>
          <w:rFonts w:ascii="Times New Roman" w:hAnsi="Times New Roman" w:cs="Times New Roman"/>
          <w:sz w:val="24"/>
          <w:szCs w:val="24"/>
        </w:rPr>
        <w:tab/>
      </w:r>
      <w:r w:rsidR="00333885">
        <w:rPr>
          <w:rFonts w:ascii="Times New Roman" w:hAnsi="Times New Roman" w:cs="Times New Roman"/>
          <w:sz w:val="24"/>
          <w:szCs w:val="24"/>
        </w:rPr>
        <w:tab/>
      </w:r>
      <w:r w:rsidR="00333885">
        <w:rPr>
          <w:rFonts w:ascii="Times New Roman" w:hAnsi="Times New Roman" w:cs="Times New Roman"/>
          <w:sz w:val="24"/>
          <w:szCs w:val="24"/>
        </w:rPr>
        <w:tab/>
      </w:r>
      <w:r w:rsidR="00333885">
        <w:rPr>
          <w:rFonts w:ascii="Times New Roman" w:hAnsi="Times New Roman" w:cs="Times New Roman"/>
          <w:sz w:val="24"/>
          <w:szCs w:val="24"/>
        </w:rPr>
        <w:tab/>
        <w:t xml:space="preserve">       28</w:t>
      </w:r>
    </w:p>
    <w:p w:rsidR="00870C51" w:rsidRPr="00BF6E5D" w:rsidRDefault="00870C51"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w:t>
      </w:r>
      <w:r w:rsidRPr="00BF6E5D">
        <w:rPr>
          <w:b/>
          <w:sz w:val="24"/>
          <w:szCs w:val="24"/>
        </w:rPr>
        <w:t xml:space="preserve">    </w:t>
      </w:r>
      <w:r w:rsidRPr="00BF6E5D">
        <w:rPr>
          <w:rFonts w:ascii="Times New Roman" w:hAnsi="Times New Roman" w:cs="Times New Roman"/>
          <w:sz w:val="24"/>
          <w:szCs w:val="24"/>
        </w:rPr>
        <w:t>1.2.8 Градостроительство. Инженерная инфраструктура</w:t>
      </w:r>
      <w:r w:rsidR="00333885">
        <w:rPr>
          <w:rFonts w:ascii="Times New Roman" w:hAnsi="Times New Roman" w:cs="Times New Roman"/>
          <w:sz w:val="24"/>
          <w:szCs w:val="24"/>
        </w:rPr>
        <w:tab/>
      </w:r>
      <w:r w:rsidR="00333885">
        <w:rPr>
          <w:rFonts w:ascii="Times New Roman" w:hAnsi="Times New Roman" w:cs="Times New Roman"/>
          <w:sz w:val="24"/>
          <w:szCs w:val="24"/>
        </w:rPr>
        <w:tab/>
      </w:r>
      <w:r w:rsidR="00333885">
        <w:rPr>
          <w:rFonts w:ascii="Times New Roman" w:hAnsi="Times New Roman" w:cs="Times New Roman"/>
          <w:sz w:val="24"/>
          <w:szCs w:val="24"/>
        </w:rPr>
        <w:tab/>
      </w:r>
      <w:r w:rsidR="00333885">
        <w:rPr>
          <w:rFonts w:ascii="Times New Roman" w:hAnsi="Times New Roman" w:cs="Times New Roman"/>
          <w:sz w:val="24"/>
          <w:szCs w:val="24"/>
        </w:rPr>
        <w:tab/>
      </w:r>
      <w:r w:rsidR="00333885">
        <w:rPr>
          <w:rFonts w:ascii="Times New Roman" w:hAnsi="Times New Roman" w:cs="Times New Roman"/>
          <w:sz w:val="24"/>
          <w:szCs w:val="24"/>
        </w:rPr>
        <w:tab/>
        <w:t xml:space="preserve">       29</w:t>
      </w:r>
    </w:p>
    <w:p w:rsidR="00870C51" w:rsidRPr="00BF6E5D" w:rsidRDefault="00870C51" w:rsidP="00BF6E5D">
      <w:pPr>
        <w:pStyle w:val="1"/>
        <w:spacing w:line="240" w:lineRule="auto"/>
        <w:rPr>
          <w:b w:val="0"/>
          <w:sz w:val="24"/>
          <w:szCs w:val="24"/>
        </w:rPr>
      </w:pPr>
      <w:r w:rsidRPr="00BF6E5D">
        <w:rPr>
          <w:b w:val="0"/>
          <w:sz w:val="24"/>
          <w:szCs w:val="24"/>
        </w:rPr>
        <w:t xml:space="preserve">     1.2.9 Экология. Охрана окружающей среды</w:t>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t xml:space="preserve">       32</w:t>
      </w:r>
    </w:p>
    <w:p w:rsidR="00870C51" w:rsidRPr="00BF6E5D" w:rsidRDefault="00870C51" w:rsidP="00BF6E5D">
      <w:pPr>
        <w:pStyle w:val="1"/>
        <w:spacing w:line="240" w:lineRule="auto"/>
        <w:rPr>
          <w:b w:val="0"/>
          <w:sz w:val="24"/>
          <w:szCs w:val="24"/>
        </w:rPr>
      </w:pPr>
      <w:r w:rsidRPr="00BF6E5D">
        <w:rPr>
          <w:b w:val="0"/>
          <w:sz w:val="24"/>
          <w:szCs w:val="24"/>
        </w:rPr>
        <w:t xml:space="preserve">     1.2.10 Имущественные и земельные отношения</w:t>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333885">
        <w:rPr>
          <w:b w:val="0"/>
          <w:sz w:val="24"/>
          <w:szCs w:val="24"/>
        </w:rPr>
        <w:t xml:space="preserve">       34</w:t>
      </w:r>
    </w:p>
    <w:p w:rsidR="00870C51" w:rsidRPr="00BF6E5D" w:rsidRDefault="00870C51" w:rsidP="00BF6E5D">
      <w:pPr>
        <w:pStyle w:val="1"/>
        <w:spacing w:line="240" w:lineRule="auto"/>
        <w:rPr>
          <w:b w:val="0"/>
          <w:sz w:val="24"/>
          <w:szCs w:val="24"/>
        </w:rPr>
      </w:pPr>
      <w:r w:rsidRPr="00BF6E5D">
        <w:rPr>
          <w:b w:val="0"/>
          <w:sz w:val="24"/>
          <w:szCs w:val="24"/>
        </w:rPr>
        <w:t xml:space="preserve">     1.2.11 Финансовая деятельность</w:t>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t xml:space="preserve">       35</w:t>
      </w:r>
    </w:p>
    <w:p w:rsidR="00870C51" w:rsidRPr="00BF6E5D" w:rsidRDefault="00870C51" w:rsidP="00BF6E5D">
      <w:pPr>
        <w:pStyle w:val="1"/>
        <w:spacing w:line="240" w:lineRule="auto"/>
        <w:rPr>
          <w:b w:val="0"/>
          <w:sz w:val="24"/>
          <w:szCs w:val="24"/>
        </w:rPr>
      </w:pPr>
      <w:r w:rsidRPr="00BF6E5D">
        <w:rPr>
          <w:b w:val="0"/>
          <w:sz w:val="24"/>
          <w:szCs w:val="24"/>
        </w:rPr>
        <w:t xml:space="preserve">     1.2.12 Инвестиции в основной капитал</w:t>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t xml:space="preserve">       40</w:t>
      </w:r>
    </w:p>
    <w:p w:rsidR="00870C51" w:rsidRPr="00BF6E5D" w:rsidRDefault="00870C51" w:rsidP="00BF6E5D">
      <w:pPr>
        <w:pStyle w:val="1"/>
        <w:spacing w:line="240" w:lineRule="auto"/>
        <w:rPr>
          <w:b w:val="0"/>
          <w:sz w:val="24"/>
          <w:szCs w:val="24"/>
        </w:rPr>
      </w:pPr>
      <w:r w:rsidRPr="00BF6E5D">
        <w:rPr>
          <w:b w:val="0"/>
          <w:sz w:val="24"/>
          <w:szCs w:val="24"/>
        </w:rPr>
        <w:t xml:space="preserve">     1.2.13 Малый бизнес</w:t>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t xml:space="preserve">       40</w:t>
      </w:r>
    </w:p>
    <w:p w:rsidR="00870C51" w:rsidRPr="00BF6E5D" w:rsidRDefault="00870C51" w:rsidP="00BF6E5D">
      <w:pPr>
        <w:pStyle w:val="1"/>
        <w:spacing w:line="240" w:lineRule="auto"/>
        <w:rPr>
          <w:b w:val="0"/>
          <w:sz w:val="24"/>
          <w:szCs w:val="24"/>
        </w:rPr>
      </w:pPr>
      <w:r w:rsidRPr="00BF6E5D">
        <w:rPr>
          <w:b w:val="0"/>
          <w:sz w:val="24"/>
          <w:szCs w:val="24"/>
        </w:rPr>
        <w:t xml:space="preserve">     1.2.14 Сельское хозяйство</w:t>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t xml:space="preserve">       42</w:t>
      </w:r>
    </w:p>
    <w:p w:rsidR="00870C51" w:rsidRPr="00BF6E5D" w:rsidRDefault="00870C51" w:rsidP="00BF6E5D">
      <w:pPr>
        <w:pStyle w:val="1"/>
        <w:spacing w:line="240" w:lineRule="auto"/>
        <w:rPr>
          <w:b w:val="0"/>
          <w:bCs w:val="0"/>
          <w:sz w:val="24"/>
          <w:szCs w:val="24"/>
        </w:rPr>
      </w:pPr>
      <w:r w:rsidRPr="00BF6E5D">
        <w:rPr>
          <w:b w:val="0"/>
          <w:bCs w:val="0"/>
          <w:sz w:val="24"/>
          <w:szCs w:val="24"/>
        </w:rPr>
        <w:t xml:space="preserve">     1.2.15 Трудовые показатели</w:t>
      </w:r>
      <w:r w:rsidR="00333885">
        <w:rPr>
          <w:b w:val="0"/>
          <w:bCs w:val="0"/>
          <w:sz w:val="24"/>
          <w:szCs w:val="24"/>
        </w:rPr>
        <w:tab/>
      </w:r>
      <w:r w:rsidR="00333885">
        <w:rPr>
          <w:b w:val="0"/>
          <w:bCs w:val="0"/>
          <w:sz w:val="24"/>
          <w:szCs w:val="24"/>
        </w:rPr>
        <w:tab/>
      </w:r>
      <w:r w:rsidR="00333885">
        <w:rPr>
          <w:b w:val="0"/>
          <w:bCs w:val="0"/>
          <w:sz w:val="24"/>
          <w:szCs w:val="24"/>
        </w:rPr>
        <w:tab/>
      </w:r>
      <w:r w:rsidR="00333885">
        <w:rPr>
          <w:b w:val="0"/>
          <w:bCs w:val="0"/>
          <w:sz w:val="24"/>
          <w:szCs w:val="24"/>
        </w:rPr>
        <w:tab/>
      </w:r>
      <w:r w:rsidR="00333885">
        <w:rPr>
          <w:b w:val="0"/>
          <w:bCs w:val="0"/>
          <w:sz w:val="24"/>
          <w:szCs w:val="24"/>
        </w:rPr>
        <w:tab/>
      </w:r>
      <w:r w:rsidR="00333885">
        <w:rPr>
          <w:b w:val="0"/>
          <w:bCs w:val="0"/>
          <w:sz w:val="24"/>
          <w:szCs w:val="24"/>
        </w:rPr>
        <w:tab/>
      </w:r>
      <w:r w:rsidR="00333885">
        <w:rPr>
          <w:b w:val="0"/>
          <w:bCs w:val="0"/>
          <w:sz w:val="24"/>
          <w:szCs w:val="24"/>
        </w:rPr>
        <w:tab/>
      </w:r>
      <w:r w:rsidR="00333885">
        <w:rPr>
          <w:b w:val="0"/>
          <w:bCs w:val="0"/>
          <w:sz w:val="24"/>
          <w:szCs w:val="24"/>
        </w:rPr>
        <w:tab/>
      </w:r>
      <w:r w:rsidR="00333885">
        <w:rPr>
          <w:b w:val="0"/>
          <w:bCs w:val="0"/>
          <w:sz w:val="24"/>
          <w:szCs w:val="24"/>
        </w:rPr>
        <w:tab/>
        <w:t xml:space="preserve">       45</w:t>
      </w:r>
    </w:p>
    <w:p w:rsidR="00870C51" w:rsidRPr="00BF6E5D" w:rsidRDefault="00870C51" w:rsidP="00BF6E5D">
      <w:pPr>
        <w:pStyle w:val="1"/>
        <w:spacing w:line="240" w:lineRule="auto"/>
        <w:rPr>
          <w:b w:val="0"/>
          <w:bCs w:val="0"/>
          <w:sz w:val="24"/>
          <w:szCs w:val="24"/>
        </w:rPr>
      </w:pPr>
      <w:r w:rsidRPr="00BF6E5D">
        <w:rPr>
          <w:b w:val="0"/>
          <w:bCs w:val="0"/>
          <w:sz w:val="24"/>
          <w:szCs w:val="24"/>
        </w:rPr>
        <w:t xml:space="preserve">     1.2.16 Бюджет Бардымского муниципального района </w:t>
      </w:r>
      <w:r w:rsidR="00333885">
        <w:rPr>
          <w:b w:val="0"/>
          <w:bCs w:val="0"/>
          <w:sz w:val="24"/>
          <w:szCs w:val="24"/>
        </w:rPr>
        <w:tab/>
      </w:r>
      <w:r w:rsidR="00333885">
        <w:rPr>
          <w:b w:val="0"/>
          <w:bCs w:val="0"/>
          <w:sz w:val="24"/>
          <w:szCs w:val="24"/>
        </w:rPr>
        <w:tab/>
      </w:r>
      <w:r w:rsidR="00333885">
        <w:rPr>
          <w:b w:val="0"/>
          <w:bCs w:val="0"/>
          <w:sz w:val="24"/>
          <w:szCs w:val="24"/>
        </w:rPr>
        <w:tab/>
      </w:r>
      <w:r w:rsidR="00333885">
        <w:rPr>
          <w:b w:val="0"/>
          <w:bCs w:val="0"/>
          <w:sz w:val="24"/>
          <w:szCs w:val="24"/>
        </w:rPr>
        <w:tab/>
      </w:r>
      <w:r w:rsidR="00333885">
        <w:rPr>
          <w:b w:val="0"/>
          <w:bCs w:val="0"/>
          <w:sz w:val="24"/>
          <w:szCs w:val="24"/>
        </w:rPr>
        <w:tab/>
        <w:t xml:space="preserve">       51</w:t>
      </w:r>
    </w:p>
    <w:p w:rsidR="00870C51" w:rsidRPr="00BF6E5D" w:rsidRDefault="00870C51" w:rsidP="00BF6E5D">
      <w:pPr>
        <w:pStyle w:val="1"/>
        <w:spacing w:line="240" w:lineRule="auto"/>
        <w:rPr>
          <w:b w:val="0"/>
          <w:bCs w:val="0"/>
          <w:sz w:val="24"/>
          <w:szCs w:val="24"/>
        </w:rPr>
      </w:pPr>
      <w:r w:rsidRPr="00BF6E5D">
        <w:rPr>
          <w:b w:val="0"/>
          <w:bCs w:val="0"/>
          <w:sz w:val="24"/>
          <w:szCs w:val="24"/>
        </w:rPr>
        <w:t xml:space="preserve">     1.2.17 Историко-культурные и туристские ресурсы</w:t>
      </w:r>
      <w:r w:rsidR="00333885">
        <w:rPr>
          <w:b w:val="0"/>
          <w:bCs w:val="0"/>
          <w:sz w:val="24"/>
          <w:szCs w:val="24"/>
        </w:rPr>
        <w:tab/>
      </w:r>
      <w:r w:rsidR="00333885">
        <w:rPr>
          <w:b w:val="0"/>
          <w:bCs w:val="0"/>
          <w:sz w:val="24"/>
          <w:szCs w:val="24"/>
        </w:rPr>
        <w:tab/>
      </w:r>
      <w:r w:rsidR="00333885">
        <w:rPr>
          <w:b w:val="0"/>
          <w:bCs w:val="0"/>
          <w:sz w:val="24"/>
          <w:szCs w:val="24"/>
        </w:rPr>
        <w:tab/>
      </w:r>
      <w:r w:rsidR="00333885">
        <w:rPr>
          <w:b w:val="0"/>
          <w:bCs w:val="0"/>
          <w:sz w:val="24"/>
          <w:szCs w:val="24"/>
        </w:rPr>
        <w:tab/>
      </w:r>
      <w:r w:rsidR="00333885">
        <w:rPr>
          <w:b w:val="0"/>
          <w:bCs w:val="0"/>
          <w:sz w:val="24"/>
          <w:szCs w:val="24"/>
        </w:rPr>
        <w:tab/>
      </w:r>
      <w:r w:rsidR="00333885">
        <w:rPr>
          <w:b w:val="0"/>
          <w:bCs w:val="0"/>
          <w:sz w:val="24"/>
          <w:szCs w:val="24"/>
        </w:rPr>
        <w:tab/>
        <w:t xml:space="preserve">       75</w:t>
      </w:r>
    </w:p>
    <w:p w:rsidR="00870C51" w:rsidRPr="00BF6E5D" w:rsidRDefault="00870C51" w:rsidP="00BF6E5D">
      <w:pPr>
        <w:pStyle w:val="1"/>
        <w:spacing w:line="240" w:lineRule="auto"/>
        <w:rPr>
          <w:b w:val="0"/>
          <w:bCs w:val="0"/>
          <w:sz w:val="24"/>
          <w:szCs w:val="24"/>
        </w:rPr>
      </w:pPr>
      <w:r w:rsidRPr="00BF6E5D">
        <w:rPr>
          <w:b w:val="0"/>
          <w:bCs w:val="0"/>
          <w:sz w:val="24"/>
          <w:szCs w:val="24"/>
        </w:rPr>
        <w:t xml:space="preserve">1.3. </w:t>
      </w:r>
      <w:r w:rsidRPr="00BF6E5D">
        <w:rPr>
          <w:b w:val="0"/>
          <w:sz w:val="24"/>
          <w:szCs w:val="24"/>
        </w:rPr>
        <w:t>Роль и место Бардымского муниципального района в региональной экономике</w:t>
      </w:r>
      <w:r w:rsidR="00333885">
        <w:rPr>
          <w:b w:val="0"/>
          <w:sz w:val="24"/>
          <w:szCs w:val="24"/>
        </w:rPr>
        <w:t xml:space="preserve">                   76</w:t>
      </w:r>
    </w:p>
    <w:p w:rsidR="00870C51" w:rsidRPr="00BF6E5D" w:rsidRDefault="00870C51" w:rsidP="00BF6E5D">
      <w:pPr>
        <w:pStyle w:val="1"/>
        <w:spacing w:line="240" w:lineRule="auto"/>
        <w:rPr>
          <w:b w:val="0"/>
          <w:sz w:val="24"/>
          <w:szCs w:val="24"/>
        </w:rPr>
      </w:pPr>
      <w:r w:rsidRPr="00BF6E5D">
        <w:rPr>
          <w:b w:val="0"/>
          <w:sz w:val="24"/>
          <w:szCs w:val="24"/>
        </w:rPr>
        <w:t>1.4. Типология городских и сельских поселений Бардымского муниципального района</w:t>
      </w:r>
      <w:r w:rsidR="00E73204">
        <w:rPr>
          <w:b w:val="0"/>
          <w:sz w:val="24"/>
          <w:szCs w:val="24"/>
        </w:rPr>
        <w:t xml:space="preserve">             85</w:t>
      </w:r>
    </w:p>
    <w:p w:rsidR="00870C51" w:rsidRPr="00BF6E5D" w:rsidRDefault="00870C51" w:rsidP="00BF6E5D">
      <w:pPr>
        <w:pStyle w:val="1"/>
        <w:spacing w:line="240" w:lineRule="auto"/>
        <w:rPr>
          <w:b w:val="0"/>
          <w:bCs w:val="0"/>
          <w:sz w:val="24"/>
          <w:szCs w:val="24"/>
        </w:rPr>
      </w:pPr>
      <w:r w:rsidRPr="00BF6E5D">
        <w:rPr>
          <w:b w:val="0"/>
          <w:sz w:val="24"/>
          <w:szCs w:val="24"/>
        </w:rPr>
        <w:t xml:space="preserve">     </w:t>
      </w:r>
      <w:r w:rsidRPr="00BF6E5D">
        <w:rPr>
          <w:rFonts w:eastAsia="Times New Roman"/>
          <w:b w:val="0"/>
          <w:sz w:val="24"/>
          <w:szCs w:val="24"/>
        </w:rPr>
        <w:t>1.4.1 Типология населенных пунктов Бардымского муниципального района</w:t>
      </w:r>
      <w:r w:rsidR="00333885">
        <w:rPr>
          <w:rFonts w:eastAsia="Times New Roman"/>
          <w:b w:val="0"/>
          <w:sz w:val="24"/>
          <w:szCs w:val="24"/>
        </w:rPr>
        <w:t xml:space="preserve">                          87</w:t>
      </w:r>
    </w:p>
    <w:p w:rsidR="00870C51" w:rsidRPr="00BF6E5D" w:rsidRDefault="00870C51" w:rsidP="00BF6E5D">
      <w:pPr>
        <w:pStyle w:val="1"/>
        <w:spacing w:line="240" w:lineRule="auto"/>
        <w:rPr>
          <w:b w:val="0"/>
          <w:sz w:val="24"/>
          <w:szCs w:val="24"/>
        </w:rPr>
      </w:pPr>
      <w:r w:rsidRPr="00BF6E5D">
        <w:rPr>
          <w:b w:val="0"/>
          <w:sz w:val="24"/>
          <w:szCs w:val="24"/>
        </w:rPr>
        <w:t>2 Предпосылки формирования Стратегии социально-экономического развития Бардымского муниципального района на 2018-2030 годы в условиях современных угроз и ограничений</w:t>
      </w:r>
      <w:r w:rsidR="00333885">
        <w:rPr>
          <w:b w:val="0"/>
          <w:sz w:val="24"/>
          <w:szCs w:val="24"/>
        </w:rPr>
        <w:t xml:space="preserve">       92</w:t>
      </w:r>
    </w:p>
    <w:p w:rsidR="00870C51" w:rsidRPr="00BF6E5D" w:rsidRDefault="00870C51" w:rsidP="00BF6E5D">
      <w:pPr>
        <w:pStyle w:val="1"/>
        <w:spacing w:line="240" w:lineRule="auto"/>
        <w:rPr>
          <w:b w:val="0"/>
          <w:sz w:val="24"/>
          <w:szCs w:val="24"/>
        </w:rPr>
      </w:pPr>
      <w:r w:rsidRPr="00BF6E5D">
        <w:rPr>
          <w:b w:val="0"/>
          <w:sz w:val="24"/>
          <w:szCs w:val="24"/>
        </w:rPr>
        <w:t xml:space="preserve">     2.1. Общемировые и общероссийские тенденции социально-экономического развития до 2030 года</w:t>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t xml:space="preserve">       92</w:t>
      </w:r>
    </w:p>
    <w:p w:rsidR="00870C51" w:rsidRPr="00BF6E5D" w:rsidRDefault="00870C51" w:rsidP="00BF6E5D">
      <w:pPr>
        <w:pStyle w:val="1"/>
        <w:spacing w:line="240" w:lineRule="auto"/>
        <w:rPr>
          <w:b w:val="0"/>
          <w:sz w:val="24"/>
          <w:szCs w:val="24"/>
        </w:rPr>
      </w:pPr>
      <w:r w:rsidRPr="00BF6E5D">
        <w:rPr>
          <w:b w:val="0"/>
          <w:sz w:val="24"/>
          <w:szCs w:val="24"/>
        </w:rPr>
        <w:t xml:space="preserve">     2.2. Основные принципы формирования Стратегии социально-экономического развития Бардымского муниципального района на период 2018-2030 годы</w:t>
      </w:r>
      <w:r w:rsidR="00333885">
        <w:rPr>
          <w:b w:val="0"/>
          <w:sz w:val="24"/>
          <w:szCs w:val="24"/>
        </w:rPr>
        <w:tab/>
      </w:r>
      <w:r w:rsidR="00333885">
        <w:rPr>
          <w:b w:val="0"/>
          <w:sz w:val="24"/>
          <w:szCs w:val="24"/>
        </w:rPr>
        <w:tab/>
      </w:r>
      <w:r w:rsidR="00333885">
        <w:rPr>
          <w:b w:val="0"/>
          <w:sz w:val="24"/>
          <w:szCs w:val="24"/>
        </w:rPr>
        <w:tab/>
      </w:r>
      <w:r w:rsidR="00333885">
        <w:rPr>
          <w:b w:val="0"/>
          <w:sz w:val="24"/>
          <w:szCs w:val="24"/>
        </w:rPr>
        <w:tab/>
        <w:t xml:space="preserve">       94</w:t>
      </w:r>
    </w:p>
    <w:p w:rsidR="00870C51" w:rsidRPr="00BF6E5D" w:rsidRDefault="00870C51" w:rsidP="00BF6E5D">
      <w:pPr>
        <w:pStyle w:val="1"/>
        <w:spacing w:line="240" w:lineRule="auto"/>
        <w:rPr>
          <w:b w:val="0"/>
          <w:sz w:val="24"/>
          <w:szCs w:val="24"/>
        </w:rPr>
      </w:pPr>
      <w:r w:rsidRPr="00BF6E5D">
        <w:rPr>
          <w:b w:val="0"/>
          <w:sz w:val="24"/>
          <w:szCs w:val="24"/>
        </w:rPr>
        <w:t xml:space="preserve">        2.2.1. Агломерационный подход при формировании системы пространственной организации и Стратегии социально-экономического развития Бардымского муниципального района</w:t>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r>
      <w:r w:rsidR="00333885">
        <w:rPr>
          <w:b w:val="0"/>
          <w:sz w:val="24"/>
          <w:szCs w:val="24"/>
        </w:rPr>
        <w:tab/>
        <w:t xml:space="preserve">       95</w:t>
      </w:r>
    </w:p>
    <w:p w:rsidR="00870C51" w:rsidRPr="00BF6E5D" w:rsidRDefault="00870C51"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2.2.2. Факторы экономического роста</w:t>
      </w:r>
      <w:r w:rsidR="00333885">
        <w:rPr>
          <w:rFonts w:ascii="Times New Roman" w:hAnsi="Times New Roman" w:cs="Times New Roman"/>
          <w:sz w:val="24"/>
          <w:szCs w:val="24"/>
        </w:rPr>
        <w:tab/>
      </w:r>
      <w:r w:rsidR="00333885">
        <w:rPr>
          <w:rFonts w:ascii="Times New Roman" w:hAnsi="Times New Roman" w:cs="Times New Roman"/>
          <w:sz w:val="24"/>
          <w:szCs w:val="24"/>
        </w:rPr>
        <w:tab/>
      </w:r>
      <w:r w:rsidR="00333885">
        <w:rPr>
          <w:rFonts w:ascii="Times New Roman" w:hAnsi="Times New Roman" w:cs="Times New Roman"/>
          <w:sz w:val="24"/>
          <w:szCs w:val="24"/>
        </w:rPr>
        <w:tab/>
      </w:r>
      <w:r w:rsidR="00333885">
        <w:rPr>
          <w:rFonts w:ascii="Times New Roman" w:hAnsi="Times New Roman" w:cs="Times New Roman"/>
          <w:sz w:val="24"/>
          <w:szCs w:val="24"/>
        </w:rPr>
        <w:tab/>
      </w:r>
      <w:r w:rsidR="00333885">
        <w:rPr>
          <w:rFonts w:ascii="Times New Roman" w:hAnsi="Times New Roman" w:cs="Times New Roman"/>
          <w:sz w:val="24"/>
          <w:szCs w:val="24"/>
        </w:rPr>
        <w:tab/>
      </w:r>
      <w:r w:rsidR="00333885">
        <w:rPr>
          <w:rFonts w:ascii="Times New Roman" w:hAnsi="Times New Roman" w:cs="Times New Roman"/>
          <w:sz w:val="24"/>
          <w:szCs w:val="24"/>
        </w:rPr>
        <w:tab/>
      </w:r>
      <w:r w:rsidR="00333885">
        <w:rPr>
          <w:rFonts w:ascii="Times New Roman" w:hAnsi="Times New Roman" w:cs="Times New Roman"/>
          <w:sz w:val="24"/>
          <w:szCs w:val="24"/>
        </w:rPr>
        <w:tab/>
        <w:t xml:space="preserve">     100</w:t>
      </w:r>
    </w:p>
    <w:p w:rsidR="00870C51" w:rsidRPr="00BF6E5D" w:rsidRDefault="00870C51"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2.2.3. Принципы формирования Стратегии социально-экономического развития Бардымского муниципального района на 2018-2030 годы</w:t>
      </w:r>
      <w:r w:rsidR="005420A6">
        <w:rPr>
          <w:rFonts w:ascii="Times New Roman" w:hAnsi="Times New Roman" w:cs="Times New Roman"/>
          <w:sz w:val="24"/>
          <w:szCs w:val="24"/>
        </w:rPr>
        <w:tab/>
      </w:r>
      <w:r w:rsidR="005420A6">
        <w:rPr>
          <w:rFonts w:ascii="Times New Roman" w:hAnsi="Times New Roman" w:cs="Times New Roman"/>
          <w:sz w:val="24"/>
          <w:szCs w:val="24"/>
        </w:rPr>
        <w:tab/>
      </w:r>
      <w:r w:rsidR="005420A6">
        <w:rPr>
          <w:rFonts w:ascii="Times New Roman" w:hAnsi="Times New Roman" w:cs="Times New Roman"/>
          <w:sz w:val="24"/>
          <w:szCs w:val="24"/>
        </w:rPr>
        <w:tab/>
      </w:r>
      <w:r w:rsidR="005420A6">
        <w:rPr>
          <w:rFonts w:ascii="Times New Roman" w:hAnsi="Times New Roman" w:cs="Times New Roman"/>
          <w:sz w:val="24"/>
          <w:szCs w:val="24"/>
        </w:rPr>
        <w:tab/>
      </w:r>
      <w:r w:rsidR="005420A6">
        <w:rPr>
          <w:rFonts w:ascii="Times New Roman" w:hAnsi="Times New Roman" w:cs="Times New Roman"/>
          <w:sz w:val="24"/>
          <w:szCs w:val="24"/>
        </w:rPr>
        <w:tab/>
        <w:t xml:space="preserve">     10</w:t>
      </w:r>
      <w:r w:rsidR="003867F5">
        <w:rPr>
          <w:rFonts w:ascii="Times New Roman" w:hAnsi="Times New Roman" w:cs="Times New Roman"/>
          <w:sz w:val="24"/>
          <w:szCs w:val="24"/>
        </w:rPr>
        <w:t>4</w:t>
      </w:r>
    </w:p>
    <w:p w:rsidR="00BF6E5D" w:rsidRPr="00BF6E5D" w:rsidRDefault="00BF6E5D" w:rsidP="00BF6E5D">
      <w:pPr>
        <w:pStyle w:val="1"/>
        <w:spacing w:line="240" w:lineRule="auto"/>
        <w:rPr>
          <w:b w:val="0"/>
          <w:sz w:val="24"/>
          <w:szCs w:val="24"/>
        </w:rPr>
      </w:pPr>
      <w:r w:rsidRPr="00BF6E5D">
        <w:rPr>
          <w:b w:val="0"/>
          <w:sz w:val="24"/>
          <w:szCs w:val="24"/>
        </w:rPr>
        <w:t>3</w:t>
      </w:r>
      <w:r w:rsidR="005420A6">
        <w:rPr>
          <w:b w:val="0"/>
          <w:sz w:val="24"/>
          <w:szCs w:val="24"/>
        </w:rPr>
        <w:t>.</w:t>
      </w:r>
      <w:r w:rsidRPr="00BF6E5D">
        <w:rPr>
          <w:b w:val="0"/>
          <w:sz w:val="24"/>
          <w:szCs w:val="24"/>
        </w:rPr>
        <w:t xml:space="preserve"> Стратегия социально-экономического развития Бардымского муниципального района </w:t>
      </w:r>
      <w:r w:rsidR="00664AF8">
        <w:rPr>
          <w:b w:val="0"/>
          <w:sz w:val="24"/>
          <w:szCs w:val="24"/>
        </w:rPr>
        <w:t xml:space="preserve">       10</w:t>
      </w:r>
      <w:r w:rsidR="003867F5">
        <w:rPr>
          <w:b w:val="0"/>
          <w:sz w:val="24"/>
          <w:szCs w:val="24"/>
        </w:rPr>
        <w:t>6</w:t>
      </w:r>
    </w:p>
    <w:p w:rsidR="00BF6E5D" w:rsidRPr="00BF6E5D" w:rsidRDefault="00BF6E5D" w:rsidP="00BF6E5D">
      <w:pPr>
        <w:pStyle w:val="1"/>
        <w:spacing w:line="240" w:lineRule="auto"/>
        <w:rPr>
          <w:b w:val="0"/>
          <w:sz w:val="24"/>
          <w:szCs w:val="24"/>
        </w:rPr>
      </w:pPr>
      <w:r w:rsidRPr="00BF6E5D">
        <w:rPr>
          <w:b w:val="0"/>
          <w:sz w:val="24"/>
          <w:szCs w:val="24"/>
        </w:rPr>
        <w:t xml:space="preserve">     3.1. Анализ сложившихся тенденций и проблем в экономике и социальной и демографической сфере Бардымского муниципального района</w:t>
      </w:r>
      <w:r w:rsidR="00664AF8">
        <w:rPr>
          <w:b w:val="0"/>
          <w:sz w:val="24"/>
          <w:szCs w:val="24"/>
        </w:rPr>
        <w:t xml:space="preserve">                       </w:t>
      </w:r>
      <w:r w:rsidR="003867F5">
        <w:rPr>
          <w:b w:val="0"/>
          <w:sz w:val="24"/>
          <w:szCs w:val="24"/>
        </w:rPr>
        <w:t xml:space="preserve">                             106</w:t>
      </w:r>
      <w:r w:rsidR="00664AF8">
        <w:rPr>
          <w:b w:val="0"/>
          <w:sz w:val="24"/>
          <w:szCs w:val="24"/>
        </w:rPr>
        <w:t xml:space="preserve"> </w:t>
      </w:r>
    </w:p>
    <w:p w:rsidR="00BF6E5D" w:rsidRPr="00BF6E5D" w:rsidRDefault="00BF6E5D"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3.2. Риски и ограничения развития Бардымского муниципального района</w:t>
      </w:r>
      <w:r w:rsidR="003867F5">
        <w:rPr>
          <w:rFonts w:ascii="Times New Roman" w:hAnsi="Times New Roman" w:cs="Times New Roman"/>
          <w:sz w:val="24"/>
          <w:szCs w:val="24"/>
        </w:rPr>
        <w:tab/>
      </w:r>
      <w:r w:rsidR="003867F5">
        <w:rPr>
          <w:rFonts w:ascii="Times New Roman" w:hAnsi="Times New Roman" w:cs="Times New Roman"/>
          <w:sz w:val="24"/>
          <w:szCs w:val="24"/>
        </w:rPr>
        <w:tab/>
        <w:t xml:space="preserve">     109</w:t>
      </w:r>
    </w:p>
    <w:p w:rsidR="00BF6E5D" w:rsidRPr="00BF6E5D" w:rsidRDefault="00BF6E5D"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3.3. Факторы, определяющие развитие экономики Бардымского муниципального района</w:t>
      </w:r>
      <w:r w:rsidR="00E73204">
        <w:rPr>
          <w:rFonts w:ascii="Times New Roman" w:hAnsi="Times New Roman" w:cs="Times New Roman"/>
          <w:sz w:val="24"/>
          <w:szCs w:val="24"/>
        </w:rPr>
        <w:t xml:space="preserve">  1</w:t>
      </w:r>
      <w:r w:rsidR="003867F5">
        <w:rPr>
          <w:rFonts w:ascii="Times New Roman" w:hAnsi="Times New Roman" w:cs="Times New Roman"/>
          <w:sz w:val="24"/>
          <w:szCs w:val="24"/>
        </w:rPr>
        <w:t>10</w:t>
      </w:r>
    </w:p>
    <w:p w:rsidR="00BF6E5D" w:rsidRPr="00BF6E5D" w:rsidRDefault="00BF6E5D"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3.4. Основные итоги анализа социально-экономического развития Бардымского муниципального района с использованием метода свод-анализ</w:t>
      </w:r>
      <w:r w:rsidR="003867F5">
        <w:rPr>
          <w:rFonts w:ascii="Times New Roman" w:hAnsi="Times New Roman" w:cs="Times New Roman"/>
          <w:sz w:val="24"/>
          <w:szCs w:val="24"/>
        </w:rPr>
        <w:tab/>
      </w:r>
      <w:r w:rsidR="003867F5">
        <w:rPr>
          <w:rFonts w:ascii="Times New Roman" w:hAnsi="Times New Roman" w:cs="Times New Roman"/>
          <w:sz w:val="24"/>
          <w:szCs w:val="24"/>
        </w:rPr>
        <w:tab/>
      </w:r>
      <w:r w:rsidR="003867F5">
        <w:rPr>
          <w:rFonts w:ascii="Times New Roman" w:hAnsi="Times New Roman" w:cs="Times New Roman"/>
          <w:sz w:val="24"/>
          <w:szCs w:val="24"/>
        </w:rPr>
        <w:tab/>
      </w:r>
      <w:r w:rsidR="003867F5">
        <w:rPr>
          <w:rFonts w:ascii="Times New Roman" w:hAnsi="Times New Roman" w:cs="Times New Roman"/>
          <w:sz w:val="24"/>
          <w:szCs w:val="24"/>
        </w:rPr>
        <w:tab/>
        <w:t xml:space="preserve">     117</w:t>
      </w:r>
    </w:p>
    <w:p w:rsidR="00BF6E5D" w:rsidRPr="00BF6E5D" w:rsidRDefault="00BF6E5D"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3.5. Предложения по развитию Бардымского муниципального района, как конкурентоспособного муниципального образования Пермского края</w:t>
      </w:r>
      <w:r w:rsidR="00664AF8">
        <w:rPr>
          <w:rFonts w:ascii="Times New Roman" w:hAnsi="Times New Roman" w:cs="Times New Roman"/>
          <w:sz w:val="24"/>
          <w:szCs w:val="24"/>
        </w:rPr>
        <w:t xml:space="preserve">          </w:t>
      </w:r>
      <w:r w:rsidR="003867F5">
        <w:rPr>
          <w:rFonts w:ascii="Times New Roman" w:hAnsi="Times New Roman" w:cs="Times New Roman"/>
          <w:sz w:val="24"/>
          <w:szCs w:val="24"/>
        </w:rPr>
        <w:t xml:space="preserve">                             133</w:t>
      </w:r>
    </w:p>
    <w:p w:rsidR="00BF6E5D" w:rsidRPr="00BF6E5D" w:rsidRDefault="00BF6E5D"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3.5.1. Миссия Бардымского муниципального района</w:t>
      </w:r>
      <w:r w:rsidR="003867F5">
        <w:rPr>
          <w:rFonts w:ascii="Times New Roman" w:hAnsi="Times New Roman" w:cs="Times New Roman"/>
          <w:sz w:val="24"/>
          <w:szCs w:val="24"/>
        </w:rPr>
        <w:tab/>
      </w:r>
      <w:r w:rsidR="003867F5">
        <w:rPr>
          <w:rFonts w:ascii="Times New Roman" w:hAnsi="Times New Roman" w:cs="Times New Roman"/>
          <w:sz w:val="24"/>
          <w:szCs w:val="24"/>
        </w:rPr>
        <w:tab/>
      </w:r>
      <w:r w:rsidR="003867F5">
        <w:rPr>
          <w:rFonts w:ascii="Times New Roman" w:hAnsi="Times New Roman" w:cs="Times New Roman"/>
          <w:sz w:val="24"/>
          <w:szCs w:val="24"/>
        </w:rPr>
        <w:tab/>
      </w:r>
      <w:r w:rsidR="003867F5">
        <w:rPr>
          <w:rFonts w:ascii="Times New Roman" w:hAnsi="Times New Roman" w:cs="Times New Roman"/>
          <w:sz w:val="24"/>
          <w:szCs w:val="24"/>
        </w:rPr>
        <w:tab/>
      </w:r>
      <w:r w:rsidR="003867F5">
        <w:rPr>
          <w:rFonts w:ascii="Times New Roman" w:hAnsi="Times New Roman" w:cs="Times New Roman"/>
          <w:sz w:val="24"/>
          <w:szCs w:val="24"/>
        </w:rPr>
        <w:tab/>
        <w:t xml:space="preserve">     133</w:t>
      </w:r>
    </w:p>
    <w:p w:rsidR="00BF6E5D" w:rsidRPr="00BF6E5D" w:rsidRDefault="00BF6E5D"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lastRenderedPageBreak/>
        <w:t xml:space="preserve">        3.5.2. Приоритетные направления социально-экономического развития Бардымского муниципального района</w:t>
      </w:r>
      <w:r w:rsidR="003867F5">
        <w:rPr>
          <w:rFonts w:ascii="Times New Roman" w:hAnsi="Times New Roman" w:cs="Times New Roman"/>
          <w:sz w:val="24"/>
          <w:szCs w:val="24"/>
        </w:rPr>
        <w:tab/>
      </w:r>
      <w:r w:rsidR="003867F5">
        <w:rPr>
          <w:rFonts w:ascii="Times New Roman" w:hAnsi="Times New Roman" w:cs="Times New Roman"/>
          <w:sz w:val="24"/>
          <w:szCs w:val="24"/>
        </w:rPr>
        <w:tab/>
      </w:r>
      <w:r w:rsidR="003867F5">
        <w:rPr>
          <w:rFonts w:ascii="Times New Roman" w:hAnsi="Times New Roman" w:cs="Times New Roman"/>
          <w:sz w:val="24"/>
          <w:szCs w:val="24"/>
        </w:rPr>
        <w:tab/>
      </w:r>
      <w:r w:rsidR="003867F5">
        <w:rPr>
          <w:rFonts w:ascii="Times New Roman" w:hAnsi="Times New Roman" w:cs="Times New Roman"/>
          <w:sz w:val="24"/>
          <w:szCs w:val="24"/>
        </w:rPr>
        <w:tab/>
      </w:r>
      <w:r w:rsidR="003867F5">
        <w:rPr>
          <w:rFonts w:ascii="Times New Roman" w:hAnsi="Times New Roman" w:cs="Times New Roman"/>
          <w:sz w:val="24"/>
          <w:szCs w:val="24"/>
        </w:rPr>
        <w:tab/>
      </w:r>
      <w:r w:rsidR="003867F5">
        <w:rPr>
          <w:rFonts w:ascii="Times New Roman" w:hAnsi="Times New Roman" w:cs="Times New Roman"/>
          <w:sz w:val="24"/>
          <w:szCs w:val="24"/>
        </w:rPr>
        <w:tab/>
      </w:r>
      <w:r w:rsidR="003867F5">
        <w:rPr>
          <w:rFonts w:ascii="Times New Roman" w:hAnsi="Times New Roman" w:cs="Times New Roman"/>
          <w:sz w:val="24"/>
          <w:szCs w:val="24"/>
        </w:rPr>
        <w:tab/>
      </w:r>
      <w:r w:rsidR="003867F5">
        <w:rPr>
          <w:rFonts w:ascii="Times New Roman" w:hAnsi="Times New Roman" w:cs="Times New Roman"/>
          <w:sz w:val="24"/>
          <w:szCs w:val="24"/>
        </w:rPr>
        <w:tab/>
      </w:r>
      <w:r w:rsidR="003867F5">
        <w:rPr>
          <w:rFonts w:ascii="Times New Roman" w:hAnsi="Times New Roman" w:cs="Times New Roman"/>
          <w:sz w:val="24"/>
          <w:szCs w:val="24"/>
        </w:rPr>
        <w:tab/>
      </w:r>
      <w:r w:rsidR="003867F5">
        <w:rPr>
          <w:rFonts w:ascii="Times New Roman" w:hAnsi="Times New Roman" w:cs="Times New Roman"/>
          <w:sz w:val="24"/>
          <w:szCs w:val="24"/>
        </w:rPr>
        <w:tab/>
        <w:t xml:space="preserve">     133</w:t>
      </w:r>
    </w:p>
    <w:p w:rsidR="00BF6E5D" w:rsidRPr="00BF6E5D" w:rsidRDefault="00BF6E5D" w:rsidP="00BF6E5D">
      <w:pPr>
        <w:pStyle w:val="1"/>
        <w:spacing w:line="240" w:lineRule="auto"/>
        <w:rPr>
          <w:b w:val="0"/>
          <w:sz w:val="24"/>
          <w:szCs w:val="24"/>
        </w:rPr>
      </w:pPr>
      <w:r w:rsidRPr="00BF6E5D">
        <w:rPr>
          <w:b w:val="0"/>
          <w:sz w:val="24"/>
          <w:szCs w:val="24"/>
        </w:rPr>
        <w:t xml:space="preserve">        3.5.3. Система стратегических целей по приоритетным направлениям социально-экономического развития Бардымского муниципального района</w:t>
      </w:r>
      <w:r w:rsidR="00664AF8">
        <w:rPr>
          <w:b w:val="0"/>
          <w:sz w:val="24"/>
          <w:szCs w:val="24"/>
        </w:rPr>
        <w:tab/>
      </w:r>
      <w:r w:rsidR="003867F5">
        <w:rPr>
          <w:b w:val="0"/>
          <w:sz w:val="24"/>
          <w:szCs w:val="24"/>
        </w:rPr>
        <w:tab/>
      </w:r>
      <w:r w:rsidR="003867F5">
        <w:rPr>
          <w:b w:val="0"/>
          <w:sz w:val="24"/>
          <w:szCs w:val="24"/>
        </w:rPr>
        <w:tab/>
      </w:r>
      <w:r w:rsidR="003867F5">
        <w:rPr>
          <w:b w:val="0"/>
          <w:sz w:val="24"/>
          <w:szCs w:val="24"/>
        </w:rPr>
        <w:tab/>
        <w:t xml:space="preserve">     138</w:t>
      </w:r>
    </w:p>
    <w:p w:rsidR="00BF6E5D" w:rsidRPr="00BF6E5D" w:rsidRDefault="00BF6E5D" w:rsidP="00BF6E5D">
      <w:pPr>
        <w:pStyle w:val="1"/>
        <w:spacing w:line="240" w:lineRule="auto"/>
        <w:rPr>
          <w:b w:val="0"/>
          <w:sz w:val="24"/>
          <w:szCs w:val="24"/>
        </w:rPr>
      </w:pPr>
      <w:r w:rsidRPr="00BF6E5D">
        <w:rPr>
          <w:b w:val="0"/>
          <w:sz w:val="24"/>
          <w:szCs w:val="24"/>
        </w:rPr>
        <w:t xml:space="preserve">        3.5.4. Система ключевых показателей и индикаторов Стратегии социально-экономического развития Бардымского муниципального района на период 2018-2030 годы</w:t>
      </w:r>
      <w:r w:rsidR="003867F5">
        <w:rPr>
          <w:b w:val="0"/>
          <w:sz w:val="24"/>
          <w:szCs w:val="24"/>
        </w:rPr>
        <w:tab/>
      </w:r>
      <w:r w:rsidR="003867F5">
        <w:rPr>
          <w:b w:val="0"/>
          <w:sz w:val="24"/>
          <w:szCs w:val="24"/>
        </w:rPr>
        <w:tab/>
      </w:r>
      <w:r w:rsidR="003867F5">
        <w:rPr>
          <w:b w:val="0"/>
          <w:sz w:val="24"/>
          <w:szCs w:val="24"/>
        </w:rPr>
        <w:tab/>
        <w:t xml:space="preserve">     140</w:t>
      </w:r>
    </w:p>
    <w:p w:rsidR="00BF6E5D" w:rsidRPr="00BF6E5D" w:rsidRDefault="00BF6E5D" w:rsidP="00BF6E5D">
      <w:pPr>
        <w:pStyle w:val="1"/>
        <w:spacing w:line="240" w:lineRule="auto"/>
        <w:rPr>
          <w:b w:val="0"/>
          <w:sz w:val="24"/>
          <w:szCs w:val="24"/>
        </w:rPr>
      </w:pPr>
      <w:r w:rsidRPr="00BF6E5D">
        <w:rPr>
          <w:b w:val="0"/>
          <w:sz w:val="24"/>
          <w:szCs w:val="24"/>
        </w:rPr>
        <w:t xml:space="preserve">     3.6. Прогноз основных показателей социально-экономического развития Бардымского муниципального района до 2030 года</w:t>
      </w:r>
      <w:r w:rsidR="003867F5">
        <w:rPr>
          <w:b w:val="0"/>
          <w:sz w:val="24"/>
          <w:szCs w:val="24"/>
        </w:rPr>
        <w:tab/>
      </w:r>
      <w:r w:rsidR="003867F5">
        <w:rPr>
          <w:b w:val="0"/>
          <w:sz w:val="24"/>
          <w:szCs w:val="24"/>
        </w:rPr>
        <w:tab/>
      </w:r>
      <w:r w:rsidR="003867F5">
        <w:rPr>
          <w:b w:val="0"/>
          <w:sz w:val="24"/>
          <w:szCs w:val="24"/>
        </w:rPr>
        <w:tab/>
      </w:r>
      <w:r w:rsidR="003867F5">
        <w:rPr>
          <w:b w:val="0"/>
          <w:sz w:val="24"/>
          <w:szCs w:val="24"/>
        </w:rPr>
        <w:tab/>
      </w:r>
      <w:r w:rsidR="003867F5">
        <w:rPr>
          <w:b w:val="0"/>
          <w:sz w:val="24"/>
          <w:szCs w:val="24"/>
        </w:rPr>
        <w:tab/>
      </w:r>
      <w:r w:rsidR="003867F5">
        <w:rPr>
          <w:b w:val="0"/>
          <w:sz w:val="24"/>
          <w:szCs w:val="24"/>
        </w:rPr>
        <w:tab/>
      </w:r>
      <w:r w:rsidR="003867F5">
        <w:rPr>
          <w:b w:val="0"/>
          <w:sz w:val="24"/>
          <w:szCs w:val="24"/>
        </w:rPr>
        <w:tab/>
      </w:r>
      <w:r w:rsidR="003867F5">
        <w:rPr>
          <w:b w:val="0"/>
          <w:sz w:val="24"/>
          <w:szCs w:val="24"/>
        </w:rPr>
        <w:tab/>
        <w:t xml:space="preserve">     145</w:t>
      </w:r>
    </w:p>
    <w:p w:rsidR="00BF6E5D" w:rsidRPr="00BF6E5D" w:rsidRDefault="00BF6E5D" w:rsidP="00BF6E5D">
      <w:pPr>
        <w:pStyle w:val="1"/>
        <w:spacing w:line="240" w:lineRule="auto"/>
        <w:rPr>
          <w:b w:val="0"/>
          <w:sz w:val="24"/>
          <w:szCs w:val="24"/>
        </w:rPr>
      </w:pPr>
      <w:r w:rsidRPr="00BF6E5D">
        <w:rPr>
          <w:b w:val="0"/>
          <w:sz w:val="24"/>
          <w:szCs w:val="24"/>
        </w:rPr>
        <w:t xml:space="preserve">     3.7. Система оценки и контроля (мониторинга) реализации Стратегии социально-экономического развития Бардымского муниципального района на 2018-2030 годы</w:t>
      </w:r>
      <w:r w:rsidR="00E73204">
        <w:rPr>
          <w:b w:val="0"/>
          <w:sz w:val="24"/>
          <w:szCs w:val="24"/>
        </w:rPr>
        <w:tab/>
        <w:t xml:space="preserve">     147</w:t>
      </w:r>
    </w:p>
    <w:p w:rsidR="00BF6E5D" w:rsidRPr="00BF6E5D" w:rsidRDefault="00BF6E5D" w:rsidP="00BF6E5D">
      <w:pPr>
        <w:pStyle w:val="1"/>
        <w:spacing w:line="240" w:lineRule="auto"/>
        <w:rPr>
          <w:b w:val="0"/>
          <w:sz w:val="24"/>
          <w:szCs w:val="24"/>
        </w:rPr>
      </w:pPr>
      <w:r w:rsidRPr="00BF6E5D">
        <w:rPr>
          <w:b w:val="0"/>
          <w:sz w:val="24"/>
          <w:szCs w:val="24"/>
        </w:rPr>
        <w:t xml:space="preserve">     3.8. Оценка социально-экономических последствий реализации Стратегии социально-экономического развития Бардымского муниципального района на период 2018-2030 годы</w:t>
      </w:r>
      <w:r w:rsidR="00E73204">
        <w:rPr>
          <w:b w:val="0"/>
          <w:sz w:val="24"/>
          <w:szCs w:val="24"/>
        </w:rPr>
        <w:t xml:space="preserve">   149</w:t>
      </w:r>
    </w:p>
    <w:p w:rsidR="00BF6E5D" w:rsidRPr="00BF6E5D" w:rsidRDefault="00BF6E5D" w:rsidP="00BF6E5D">
      <w:pPr>
        <w:pStyle w:val="1"/>
        <w:spacing w:line="240" w:lineRule="auto"/>
        <w:rPr>
          <w:b w:val="0"/>
          <w:sz w:val="24"/>
          <w:szCs w:val="24"/>
        </w:rPr>
      </w:pPr>
      <w:r w:rsidRPr="00BF6E5D">
        <w:rPr>
          <w:b w:val="0"/>
          <w:sz w:val="24"/>
          <w:szCs w:val="24"/>
        </w:rPr>
        <w:t xml:space="preserve">     3.9. Механизмы реализации Стратегии социально-экономического развития Бардымского муниципального района на период 2018-2030 годы</w:t>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t xml:space="preserve">     151</w:t>
      </w:r>
    </w:p>
    <w:p w:rsidR="00BF6E5D" w:rsidRDefault="00BF6E5D" w:rsidP="00BF6E5D">
      <w:pPr>
        <w:pStyle w:val="1"/>
        <w:spacing w:line="240" w:lineRule="auto"/>
        <w:rPr>
          <w:b w:val="0"/>
          <w:sz w:val="24"/>
          <w:szCs w:val="24"/>
        </w:rPr>
      </w:pPr>
      <w:r w:rsidRPr="00BF6E5D">
        <w:rPr>
          <w:b w:val="0"/>
          <w:sz w:val="24"/>
          <w:szCs w:val="24"/>
        </w:rPr>
        <w:t xml:space="preserve">     3.10. Контроль и мониторинг реализации Стратегии</w:t>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r>
      <w:r w:rsidR="00E73204">
        <w:rPr>
          <w:b w:val="0"/>
          <w:sz w:val="24"/>
          <w:szCs w:val="24"/>
        </w:rPr>
        <w:tab/>
        <w:t xml:space="preserve">     153</w:t>
      </w:r>
    </w:p>
    <w:p w:rsidR="00BF6E5D" w:rsidRPr="00BF6E5D" w:rsidRDefault="00BF6E5D" w:rsidP="00BF6E5D">
      <w:pPr>
        <w:jc w:val="both"/>
      </w:pPr>
    </w:p>
    <w:p w:rsidR="00BF6E5D" w:rsidRPr="00664AF8" w:rsidRDefault="00BF6E5D" w:rsidP="00BF6E5D">
      <w:pPr>
        <w:spacing w:line="240" w:lineRule="auto"/>
        <w:jc w:val="both"/>
        <w:rPr>
          <w:rFonts w:ascii="Times New Roman" w:hAnsi="Times New Roman" w:cs="Times New Roman"/>
          <w:szCs w:val="24"/>
        </w:rPr>
      </w:pPr>
      <w:r w:rsidRPr="00664AF8">
        <w:rPr>
          <w:rFonts w:ascii="Times New Roman" w:hAnsi="Times New Roman" w:cs="Times New Roman"/>
          <w:szCs w:val="24"/>
        </w:rPr>
        <w:t xml:space="preserve">Приложение 1. </w:t>
      </w:r>
      <w:r w:rsidRPr="00664AF8">
        <w:rPr>
          <w:rFonts w:ascii="Times New Roman" w:eastAsia="Times New Roman" w:hAnsi="Times New Roman" w:cs="Times New Roman"/>
          <w:szCs w:val="24"/>
        </w:rPr>
        <w:t>Информация о дефиците / профиците бюджетов в разрезе сельских поселений</w:t>
      </w:r>
      <w:r w:rsidR="00E73204">
        <w:rPr>
          <w:rFonts w:ascii="Times New Roman" w:eastAsia="Times New Roman" w:hAnsi="Times New Roman" w:cs="Times New Roman"/>
          <w:szCs w:val="24"/>
        </w:rPr>
        <w:t xml:space="preserve">           165</w:t>
      </w:r>
    </w:p>
    <w:p w:rsidR="00BF6E5D" w:rsidRPr="00664AF8" w:rsidRDefault="00BF6E5D" w:rsidP="00BF6E5D">
      <w:pPr>
        <w:spacing w:line="240" w:lineRule="auto"/>
        <w:jc w:val="both"/>
        <w:rPr>
          <w:rFonts w:ascii="Times New Roman" w:eastAsia="Times New Roman" w:hAnsi="Times New Roman" w:cs="Times New Roman"/>
          <w:szCs w:val="24"/>
        </w:rPr>
      </w:pPr>
      <w:r w:rsidRPr="00664AF8">
        <w:rPr>
          <w:rFonts w:ascii="Times New Roman" w:eastAsia="Times New Roman" w:hAnsi="Times New Roman" w:cs="Times New Roman"/>
          <w:szCs w:val="24"/>
        </w:rPr>
        <w:t>Приложение 2. Коэффициенты корреляции Пирсона, отражающие тесноту взаимосвязи факторов, влияющих на экономический рост Бардымского муниципального района</w:t>
      </w:r>
      <w:r w:rsidR="00E73204">
        <w:rPr>
          <w:rFonts w:ascii="Times New Roman" w:eastAsia="Times New Roman" w:hAnsi="Times New Roman" w:cs="Times New Roman"/>
          <w:szCs w:val="24"/>
        </w:rPr>
        <w:tab/>
      </w:r>
      <w:r w:rsidR="00E73204">
        <w:rPr>
          <w:rFonts w:ascii="Times New Roman" w:eastAsia="Times New Roman" w:hAnsi="Times New Roman" w:cs="Times New Roman"/>
          <w:szCs w:val="24"/>
        </w:rPr>
        <w:tab/>
        <w:t xml:space="preserve">  </w:t>
      </w:r>
      <w:r w:rsidR="00E73204">
        <w:rPr>
          <w:rFonts w:ascii="Times New Roman" w:eastAsia="Times New Roman" w:hAnsi="Times New Roman" w:cs="Times New Roman"/>
          <w:szCs w:val="24"/>
        </w:rPr>
        <w:tab/>
      </w:r>
      <w:r w:rsidR="00E73204">
        <w:rPr>
          <w:rFonts w:ascii="Times New Roman" w:eastAsia="Times New Roman" w:hAnsi="Times New Roman" w:cs="Times New Roman"/>
          <w:szCs w:val="24"/>
        </w:rPr>
        <w:tab/>
        <w:t xml:space="preserve">    175</w:t>
      </w:r>
    </w:p>
    <w:p w:rsidR="00BF6E5D" w:rsidRPr="00664AF8" w:rsidRDefault="00BF6E5D" w:rsidP="00BF6E5D">
      <w:pPr>
        <w:spacing w:line="240" w:lineRule="auto"/>
        <w:jc w:val="both"/>
        <w:rPr>
          <w:rFonts w:ascii="Times New Roman" w:eastAsia="Times New Roman" w:hAnsi="Times New Roman" w:cs="Times New Roman"/>
          <w:szCs w:val="24"/>
        </w:rPr>
      </w:pPr>
      <w:r w:rsidRPr="00664AF8">
        <w:rPr>
          <w:rFonts w:ascii="Times New Roman" w:eastAsia="Times New Roman" w:hAnsi="Times New Roman" w:cs="Times New Roman"/>
          <w:szCs w:val="24"/>
        </w:rPr>
        <w:t>Приложение 3. Характеристика коэффициентов корреляции Пирсона в соответствии с критериями Чеддока</w:t>
      </w:r>
      <w:r w:rsidR="00E73204">
        <w:rPr>
          <w:rFonts w:ascii="Times New Roman" w:eastAsia="Times New Roman" w:hAnsi="Times New Roman" w:cs="Times New Roman"/>
          <w:szCs w:val="24"/>
        </w:rPr>
        <w:tab/>
      </w:r>
      <w:r w:rsidR="00E73204">
        <w:rPr>
          <w:rFonts w:ascii="Times New Roman" w:eastAsia="Times New Roman" w:hAnsi="Times New Roman" w:cs="Times New Roman"/>
          <w:szCs w:val="24"/>
        </w:rPr>
        <w:tab/>
      </w:r>
      <w:r w:rsidR="00E73204">
        <w:rPr>
          <w:rFonts w:ascii="Times New Roman" w:eastAsia="Times New Roman" w:hAnsi="Times New Roman" w:cs="Times New Roman"/>
          <w:szCs w:val="24"/>
        </w:rPr>
        <w:tab/>
      </w:r>
      <w:r w:rsidR="00E73204">
        <w:rPr>
          <w:rFonts w:ascii="Times New Roman" w:eastAsia="Times New Roman" w:hAnsi="Times New Roman" w:cs="Times New Roman"/>
          <w:szCs w:val="24"/>
        </w:rPr>
        <w:tab/>
      </w:r>
      <w:r w:rsidR="00E73204">
        <w:rPr>
          <w:rFonts w:ascii="Times New Roman" w:eastAsia="Times New Roman" w:hAnsi="Times New Roman" w:cs="Times New Roman"/>
          <w:szCs w:val="24"/>
        </w:rPr>
        <w:tab/>
      </w:r>
      <w:r w:rsidR="00E73204">
        <w:rPr>
          <w:rFonts w:ascii="Times New Roman" w:eastAsia="Times New Roman" w:hAnsi="Times New Roman" w:cs="Times New Roman"/>
          <w:szCs w:val="24"/>
        </w:rPr>
        <w:tab/>
      </w:r>
      <w:r w:rsidR="00E73204">
        <w:rPr>
          <w:rFonts w:ascii="Times New Roman" w:eastAsia="Times New Roman" w:hAnsi="Times New Roman" w:cs="Times New Roman"/>
          <w:szCs w:val="24"/>
        </w:rPr>
        <w:tab/>
      </w:r>
      <w:r w:rsidR="00E73204">
        <w:rPr>
          <w:rFonts w:ascii="Times New Roman" w:eastAsia="Times New Roman" w:hAnsi="Times New Roman" w:cs="Times New Roman"/>
          <w:szCs w:val="24"/>
        </w:rPr>
        <w:tab/>
      </w:r>
      <w:r w:rsidR="00E73204">
        <w:rPr>
          <w:rFonts w:ascii="Times New Roman" w:eastAsia="Times New Roman" w:hAnsi="Times New Roman" w:cs="Times New Roman"/>
          <w:szCs w:val="24"/>
        </w:rPr>
        <w:tab/>
      </w:r>
      <w:r w:rsidR="00E73204">
        <w:rPr>
          <w:rFonts w:ascii="Times New Roman" w:eastAsia="Times New Roman" w:hAnsi="Times New Roman" w:cs="Times New Roman"/>
          <w:szCs w:val="24"/>
        </w:rPr>
        <w:tab/>
      </w:r>
      <w:r w:rsidR="00E73204">
        <w:rPr>
          <w:rFonts w:ascii="Times New Roman" w:eastAsia="Times New Roman" w:hAnsi="Times New Roman" w:cs="Times New Roman"/>
          <w:szCs w:val="24"/>
        </w:rPr>
        <w:tab/>
      </w:r>
      <w:r w:rsidR="00E73204">
        <w:rPr>
          <w:rFonts w:ascii="Times New Roman" w:eastAsia="Times New Roman" w:hAnsi="Times New Roman" w:cs="Times New Roman"/>
          <w:szCs w:val="24"/>
        </w:rPr>
        <w:tab/>
        <w:t xml:space="preserve">    177</w:t>
      </w:r>
    </w:p>
    <w:p w:rsidR="00BF6E5D" w:rsidRPr="00664AF8" w:rsidRDefault="00BF6E5D" w:rsidP="00BF6E5D">
      <w:pPr>
        <w:spacing w:line="240" w:lineRule="auto"/>
        <w:jc w:val="both"/>
        <w:rPr>
          <w:rFonts w:ascii="Times New Roman" w:eastAsia="Times New Roman" w:hAnsi="Times New Roman" w:cs="Times New Roman"/>
          <w:szCs w:val="24"/>
        </w:rPr>
      </w:pPr>
      <w:r w:rsidRPr="00664AF8">
        <w:rPr>
          <w:rFonts w:ascii="Times New Roman" w:eastAsia="Times New Roman" w:hAnsi="Times New Roman" w:cs="Times New Roman"/>
          <w:szCs w:val="24"/>
        </w:rPr>
        <w:t>Приложение 4. Система целевых показателей и индикаторов реализации Стратегии социально-экономического развития Бардымского муниципального района на 2017-2030 годы</w:t>
      </w:r>
      <w:r w:rsidR="00E73204">
        <w:rPr>
          <w:rFonts w:ascii="Times New Roman" w:eastAsia="Times New Roman" w:hAnsi="Times New Roman" w:cs="Times New Roman"/>
          <w:szCs w:val="24"/>
        </w:rPr>
        <w:tab/>
      </w:r>
      <w:r w:rsidR="00E73204">
        <w:rPr>
          <w:rFonts w:ascii="Times New Roman" w:eastAsia="Times New Roman" w:hAnsi="Times New Roman" w:cs="Times New Roman"/>
          <w:szCs w:val="24"/>
        </w:rPr>
        <w:tab/>
        <w:t xml:space="preserve">    180</w:t>
      </w:r>
    </w:p>
    <w:p w:rsidR="00BF6E5D" w:rsidRDefault="00BF6E5D" w:rsidP="00810A0F">
      <w:pPr>
        <w:spacing w:after="0"/>
        <w:jc w:val="both"/>
        <w:rPr>
          <w:rFonts w:ascii="Times New Roman" w:hAnsi="Times New Roman" w:cs="Times New Roman"/>
          <w:szCs w:val="24"/>
        </w:rPr>
      </w:pPr>
      <w:r w:rsidRPr="00664AF8">
        <w:rPr>
          <w:rFonts w:ascii="Times New Roman" w:hAnsi="Times New Roman" w:cs="Times New Roman"/>
          <w:szCs w:val="24"/>
        </w:rPr>
        <w:t xml:space="preserve">Приложение 5. </w:t>
      </w:r>
      <w:r w:rsidR="00810A0F" w:rsidRPr="00810A0F">
        <w:rPr>
          <w:rFonts w:ascii="Times New Roman" w:hAnsi="Times New Roman" w:cs="Times New Roman"/>
        </w:rPr>
        <w:t>Инновационный прогноз социально-экономического развития Бардымского муниципального района Пермского края на 2018-2030 годы</w:t>
      </w:r>
      <w:r w:rsidR="00E73204">
        <w:rPr>
          <w:rFonts w:ascii="Times New Roman" w:hAnsi="Times New Roman" w:cs="Times New Roman"/>
          <w:szCs w:val="24"/>
        </w:rPr>
        <w:tab/>
      </w:r>
      <w:r w:rsidR="00E73204">
        <w:rPr>
          <w:rFonts w:ascii="Times New Roman" w:hAnsi="Times New Roman" w:cs="Times New Roman"/>
          <w:szCs w:val="24"/>
        </w:rPr>
        <w:tab/>
      </w:r>
      <w:r w:rsidR="00E73204">
        <w:rPr>
          <w:rFonts w:ascii="Times New Roman" w:hAnsi="Times New Roman" w:cs="Times New Roman"/>
          <w:szCs w:val="24"/>
        </w:rPr>
        <w:tab/>
      </w:r>
      <w:r w:rsidR="00E73204">
        <w:rPr>
          <w:rFonts w:ascii="Times New Roman" w:hAnsi="Times New Roman" w:cs="Times New Roman"/>
          <w:szCs w:val="24"/>
        </w:rPr>
        <w:tab/>
      </w:r>
      <w:r w:rsidR="00E73204">
        <w:rPr>
          <w:rFonts w:ascii="Times New Roman" w:hAnsi="Times New Roman" w:cs="Times New Roman"/>
          <w:szCs w:val="24"/>
        </w:rPr>
        <w:tab/>
      </w:r>
      <w:r w:rsidR="00E73204">
        <w:rPr>
          <w:rFonts w:ascii="Times New Roman" w:hAnsi="Times New Roman" w:cs="Times New Roman"/>
          <w:szCs w:val="24"/>
        </w:rPr>
        <w:tab/>
        <w:t xml:space="preserve">    183</w:t>
      </w:r>
    </w:p>
    <w:p w:rsidR="00055C85" w:rsidRDefault="00055C85" w:rsidP="00810A0F">
      <w:pPr>
        <w:spacing w:after="0"/>
        <w:rPr>
          <w:rFonts w:ascii="Times New Roman" w:hAnsi="Times New Roman" w:cs="Times New Roman"/>
          <w:szCs w:val="24"/>
        </w:rPr>
      </w:pPr>
    </w:p>
    <w:p w:rsidR="00810A0F" w:rsidRDefault="00810A0F" w:rsidP="00810A0F">
      <w:pPr>
        <w:spacing w:after="0"/>
        <w:rPr>
          <w:rFonts w:ascii="Times New Roman" w:hAnsi="Times New Roman" w:cs="Times New Roman"/>
        </w:rPr>
      </w:pPr>
      <w:r>
        <w:rPr>
          <w:rFonts w:ascii="Times New Roman" w:hAnsi="Times New Roman" w:cs="Times New Roman"/>
          <w:szCs w:val="24"/>
        </w:rPr>
        <w:t xml:space="preserve">Приложение 6. </w:t>
      </w:r>
      <w:r w:rsidRPr="00810A0F">
        <w:rPr>
          <w:rFonts w:ascii="Times New Roman" w:hAnsi="Times New Roman" w:cs="Times New Roman"/>
        </w:rPr>
        <w:t>Оптимальный прогноз социально-экономического развития Бардымского</w:t>
      </w:r>
      <w:r>
        <w:rPr>
          <w:rFonts w:ascii="Times New Roman" w:hAnsi="Times New Roman" w:cs="Times New Roman"/>
        </w:rPr>
        <w:t xml:space="preserve"> </w:t>
      </w:r>
      <w:r w:rsidRPr="00810A0F">
        <w:rPr>
          <w:rFonts w:ascii="Times New Roman" w:hAnsi="Times New Roman" w:cs="Times New Roman"/>
        </w:rPr>
        <w:t>муниципального района Пермского края на 2018-2030 годы</w:t>
      </w:r>
      <w:r w:rsidR="00E73204">
        <w:rPr>
          <w:rFonts w:ascii="Times New Roman" w:hAnsi="Times New Roman" w:cs="Times New Roman"/>
        </w:rPr>
        <w:tab/>
      </w:r>
      <w:r w:rsidR="00E73204">
        <w:rPr>
          <w:rFonts w:ascii="Times New Roman" w:hAnsi="Times New Roman" w:cs="Times New Roman"/>
        </w:rPr>
        <w:tab/>
      </w:r>
      <w:r w:rsidR="00E73204">
        <w:rPr>
          <w:rFonts w:ascii="Times New Roman" w:hAnsi="Times New Roman" w:cs="Times New Roman"/>
        </w:rPr>
        <w:tab/>
      </w:r>
      <w:r w:rsidR="00E73204">
        <w:rPr>
          <w:rFonts w:ascii="Times New Roman" w:hAnsi="Times New Roman" w:cs="Times New Roman"/>
        </w:rPr>
        <w:tab/>
      </w:r>
      <w:r w:rsidR="00E73204">
        <w:rPr>
          <w:rFonts w:ascii="Times New Roman" w:hAnsi="Times New Roman" w:cs="Times New Roman"/>
        </w:rPr>
        <w:tab/>
        <w:t xml:space="preserve">                 186</w:t>
      </w:r>
    </w:p>
    <w:p w:rsidR="00055C85" w:rsidRDefault="00055C85" w:rsidP="00810A0F">
      <w:pPr>
        <w:spacing w:after="0"/>
        <w:rPr>
          <w:rFonts w:ascii="Times New Roman" w:hAnsi="Times New Roman" w:cs="Times New Roman"/>
        </w:rPr>
      </w:pPr>
    </w:p>
    <w:p w:rsidR="00CF5485" w:rsidRPr="00CF5485" w:rsidRDefault="00055C85" w:rsidP="00055C85">
      <w:pPr>
        <w:spacing w:after="0"/>
      </w:pPr>
      <w:r>
        <w:rPr>
          <w:rFonts w:ascii="Times New Roman" w:hAnsi="Times New Roman" w:cs="Times New Roman"/>
        </w:rPr>
        <w:t xml:space="preserve">Приложение 7. Пессимистический </w:t>
      </w:r>
      <w:r w:rsidRPr="00810A0F">
        <w:rPr>
          <w:rFonts w:ascii="Times New Roman" w:hAnsi="Times New Roman" w:cs="Times New Roman"/>
        </w:rPr>
        <w:t>прогноз социально-экономического развития Бардымского</w:t>
      </w:r>
      <w:r>
        <w:rPr>
          <w:rFonts w:ascii="Times New Roman" w:hAnsi="Times New Roman" w:cs="Times New Roman"/>
        </w:rPr>
        <w:t xml:space="preserve"> </w:t>
      </w:r>
      <w:r w:rsidRPr="00810A0F">
        <w:rPr>
          <w:rFonts w:ascii="Times New Roman" w:hAnsi="Times New Roman" w:cs="Times New Roman"/>
        </w:rPr>
        <w:t>муниципального района Пермского края на 2018-2030 годы</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1</w:t>
      </w:r>
      <w:r w:rsidR="00E73204">
        <w:rPr>
          <w:rFonts w:ascii="Times New Roman" w:hAnsi="Times New Roman" w:cs="Times New Roman"/>
        </w:rPr>
        <w:t>89</w:t>
      </w:r>
    </w:p>
    <w:sectPr w:rsidR="00CF5485" w:rsidRPr="00CF5485" w:rsidSect="00424AF3">
      <w:pgSz w:w="11906" w:h="16838"/>
      <w:pgMar w:top="851" w:right="567"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04BE" w:rsidRDefault="00F104BE" w:rsidP="00B9076E">
      <w:pPr>
        <w:spacing w:after="0" w:line="240" w:lineRule="auto"/>
      </w:pPr>
      <w:r>
        <w:separator/>
      </w:r>
    </w:p>
  </w:endnote>
  <w:endnote w:type="continuationSeparator" w:id="1">
    <w:p w:rsidR="00F104BE" w:rsidRDefault="00F104BE" w:rsidP="00B907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5995618"/>
    </w:sdtPr>
    <w:sdtContent>
      <w:p w:rsidR="00333885" w:rsidRDefault="00EE5B9E">
        <w:pPr>
          <w:pStyle w:val="a5"/>
          <w:jc w:val="center"/>
        </w:pPr>
        <w:fldSimple w:instr=" PAGE   \* MERGEFORMAT ">
          <w:r w:rsidR="008E3709">
            <w:rPr>
              <w:noProof/>
            </w:rPr>
            <w:t>2</w:t>
          </w:r>
        </w:fldSimple>
      </w:p>
    </w:sdtContent>
  </w:sdt>
  <w:p w:rsidR="00333885" w:rsidRDefault="0033388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7586788"/>
    </w:sdtPr>
    <w:sdtContent>
      <w:p w:rsidR="00333885" w:rsidRDefault="00EE5B9E">
        <w:pPr>
          <w:pStyle w:val="a5"/>
          <w:jc w:val="center"/>
        </w:pPr>
        <w:fldSimple w:instr=" PAGE   \* MERGEFORMAT ">
          <w:r w:rsidR="008E3709">
            <w:rPr>
              <w:noProof/>
            </w:rPr>
            <w:t>74</w:t>
          </w:r>
        </w:fldSimple>
      </w:p>
    </w:sdtContent>
  </w:sdt>
  <w:p w:rsidR="00333885" w:rsidRDefault="00333885">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7586793"/>
    </w:sdtPr>
    <w:sdtContent>
      <w:p w:rsidR="00333885" w:rsidRDefault="00EE5B9E">
        <w:pPr>
          <w:pStyle w:val="a5"/>
          <w:jc w:val="center"/>
        </w:pPr>
        <w:fldSimple w:instr=" PAGE   \* MERGEFORMAT ">
          <w:r w:rsidR="008E3709">
            <w:rPr>
              <w:noProof/>
            </w:rPr>
            <w:t>121</w:t>
          </w:r>
        </w:fldSimple>
      </w:p>
    </w:sdtContent>
  </w:sdt>
  <w:p w:rsidR="00333885" w:rsidRDefault="00333885">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7586794"/>
    </w:sdtPr>
    <w:sdtContent>
      <w:p w:rsidR="00333885" w:rsidRDefault="00EE5B9E">
        <w:pPr>
          <w:pStyle w:val="a5"/>
          <w:jc w:val="center"/>
        </w:pPr>
        <w:fldSimple w:instr=" PAGE   \* MERGEFORMAT ">
          <w:r w:rsidR="008E3709">
            <w:rPr>
              <w:noProof/>
            </w:rPr>
            <w:t>174</w:t>
          </w:r>
        </w:fldSimple>
      </w:p>
    </w:sdtContent>
  </w:sdt>
  <w:p w:rsidR="00333885" w:rsidRDefault="00333885">
    <w:pPr>
      <w:pStyle w:val="a5"/>
    </w:pPr>
  </w:p>
  <w:p w:rsidR="00333885" w:rsidRDefault="00333885"/>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3770619"/>
    </w:sdtPr>
    <w:sdtContent>
      <w:p w:rsidR="00333885" w:rsidRDefault="00EE5B9E">
        <w:pPr>
          <w:pStyle w:val="a5"/>
          <w:jc w:val="center"/>
        </w:pPr>
        <w:fldSimple w:instr=" PAGE   \* MERGEFORMAT ">
          <w:r w:rsidR="008E3709">
            <w:rPr>
              <w:noProof/>
            </w:rPr>
            <w:t>193</w:t>
          </w:r>
        </w:fldSimple>
      </w:p>
    </w:sdtContent>
  </w:sdt>
  <w:p w:rsidR="00333885" w:rsidRDefault="0033388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04BE" w:rsidRDefault="00F104BE" w:rsidP="00B9076E">
      <w:pPr>
        <w:spacing w:after="0" w:line="240" w:lineRule="auto"/>
      </w:pPr>
      <w:r>
        <w:separator/>
      </w:r>
    </w:p>
  </w:footnote>
  <w:footnote w:type="continuationSeparator" w:id="1">
    <w:p w:rsidR="00F104BE" w:rsidRDefault="00F104BE" w:rsidP="00B9076E">
      <w:pPr>
        <w:spacing w:after="0" w:line="240" w:lineRule="auto"/>
      </w:pPr>
      <w:r>
        <w:continuationSeparator/>
      </w:r>
    </w:p>
  </w:footnote>
  <w:footnote w:id="2">
    <w:p w:rsidR="00333885" w:rsidRDefault="00333885" w:rsidP="00153E07">
      <w:pPr>
        <w:pStyle w:val="aff0"/>
      </w:pPr>
      <w:r>
        <w:rPr>
          <w:rStyle w:val="aff2"/>
        </w:rPr>
        <w:footnoteRef/>
      </w:r>
      <w:r w:rsidRPr="00CF0707">
        <w:rPr>
          <w:rFonts w:ascii="Times New Roman" w:hAnsi="Times New Roman" w:cs="Times New Roman"/>
        </w:rPr>
        <w:t xml:space="preserve">Источник: </w:t>
      </w:r>
      <w:r w:rsidRPr="00880680">
        <w:rPr>
          <w:rFonts w:ascii="Times New Roman" w:hAnsi="Times New Roman" w:cs="Times New Roman"/>
        </w:rPr>
        <w:t>ГКУ "Центр занятости населения Бардымского района"</w:t>
      </w:r>
    </w:p>
  </w:footnote>
  <w:footnote w:id="3">
    <w:p w:rsidR="00333885" w:rsidRDefault="00333885" w:rsidP="00153E07">
      <w:pPr>
        <w:pStyle w:val="aff0"/>
      </w:pPr>
      <w:r>
        <w:rPr>
          <w:rStyle w:val="aff2"/>
        </w:rPr>
        <w:footnoteRef/>
      </w:r>
      <w:r w:rsidRPr="00CF0707">
        <w:rPr>
          <w:rFonts w:ascii="Times New Roman" w:eastAsia="Times New Roman" w:hAnsi="Times New Roman" w:cs="Times New Roman"/>
          <w:lang w:eastAsia="ru-RU"/>
        </w:rPr>
        <w:t>Источник: Территориальный орган Федеральной службы государственной статистики по Пермскому краю. http://permstat.gks.ru/</w:t>
      </w:r>
    </w:p>
  </w:footnote>
  <w:footnote w:id="4">
    <w:p w:rsidR="00333885" w:rsidRDefault="00333885" w:rsidP="00153E07">
      <w:pPr>
        <w:pStyle w:val="aff0"/>
        <w:jc w:val="both"/>
      </w:pPr>
      <w:r>
        <w:rPr>
          <w:rStyle w:val="aff2"/>
        </w:rPr>
        <w:footnoteRef/>
      </w:r>
      <w:r w:rsidRPr="00273AE8">
        <w:rPr>
          <w:rFonts w:ascii="Times New Roman" w:eastAsia="Times New Roman" w:hAnsi="Times New Roman" w:cs="Times New Roman"/>
          <w:lang w:eastAsia="ru-RU"/>
        </w:rPr>
        <w:t>СП 42.13330.2016 «СНиП 2.07.01-89</w:t>
      </w:r>
      <w:r>
        <w:rPr>
          <w:rFonts w:ascii="Times New Roman" w:eastAsia="Times New Roman" w:hAnsi="Times New Roman" w:cs="Times New Roman"/>
          <w:lang w:eastAsia="ru-RU"/>
        </w:rPr>
        <w:t>.</w:t>
      </w:r>
      <w:r w:rsidRPr="00273AE8">
        <w:rPr>
          <w:rFonts w:ascii="Times New Roman" w:eastAsia="Times New Roman" w:hAnsi="Times New Roman" w:cs="Times New Roman"/>
          <w:lang w:eastAsia="ru-RU"/>
        </w:rPr>
        <w:t xml:space="preserve"> Градостроительство. Планировка и застройка городских и сельских поселений»</w:t>
      </w:r>
      <w:r>
        <w:rPr>
          <w:rFonts w:ascii="Times New Roman" w:eastAsia="Times New Roman" w:hAnsi="Times New Roman" w:cs="Times New Roman"/>
          <w:lang w:eastAsia="ru-RU"/>
        </w:rPr>
        <w:t xml:space="preserve">. </w:t>
      </w:r>
      <w:r w:rsidRPr="00C433AB">
        <w:rPr>
          <w:rFonts w:ascii="Times New Roman" w:eastAsia="Times New Roman" w:hAnsi="Times New Roman" w:cs="Times New Roman"/>
          <w:lang w:eastAsia="ru-RU"/>
        </w:rPr>
        <w:t>Утвержденприказом Министерства строительства и жилищно-коммунального хозяйства Российской Федерации от 30.12.2016 г. № 1034/при введен в действие с 1.07.2017</w:t>
      </w:r>
      <w:r>
        <w:rPr>
          <w:rFonts w:ascii="Times New Roman" w:eastAsia="Times New Roman" w:hAnsi="Times New Roman" w:cs="Times New Roman"/>
          <w:lang w:eastAsia="ru-RU"/>
        </w:rPr>
        <w:t>г</w:t>
      </w:r>
      <w:r w:rsidRPr="00C433AB">
        <w:rPr>
          <w:rFonts w:ascii="Times New Roman" w:eastAsia="Times New Roman" w:hAnsi="Times New Roman" w:cs="Times New Roman"/>
          <w:lang w:eastAsia="ru-RU"/>
        </w:rPr>
        <w:t>.</w:t>
      </w:r>
    </w:p>
  </w:footnote>
  <w:footnote w:id="5">
    <w:p w:rsidR="00333885" w:rsidRDefault="00333885" w:rsidP="00153E07">
      <w:pPr>
        <w:pStyle w:val="aff0"/>
      </w:pPr>
      <w:r>
        <w:rPr>
          <w:rStyle w:val="aff2"/>
        </w:rPr>
        <w:footnoteRef/>
      </w:r>
      <w:r w:rsidRPr="00CF0707">
        <w:rPr>
          <w:rFonts w:ascii="Times New Roman" w:eastAsia="Times New Roman" w:hAnsi="Times New Roman" w:cs="Times New Roman"/>
          <w:lang w:eastAsia="ru-RU"/>
        </w:rPr>
        <w:t>Источник: Территориальный орган Федеральной службы государственной статистики по Пермскому краю. http://permstat.gks.ru/</w:t>
      </w:r>
    </w:p>
  </w:footnote>
  <w:footnote w:id="6">
    <w:p w:rsidR="00333885" w:rsidRDefault="00333885" w:rsidP="00153E07">
      <w:r>
        <w:rPr>
          <w:rStyle w:val="aff2"/>
        </w:rPr>
        <w:footnoteRef/>
      </w:r>
      <w:r w:rsidRPr="00DE2D0E">
        <w:rPr>
          <w:rFonts w:ascii="Times New Roman" w:eastAsia="Times New Roman" w:hAnsi="Times New Roman" w:cs="Times New Roman"/>
          <w:sz w:val="20"/>
          <w:szCs w:val="20"/>
        </w:rPr>
        <w:t>Федеральный закон № 131-ФЗ от 06.10.2003г. «Об общих принципах организации местного самоуправления в Российской Федерации (в ред. от 26.07.2017г.)</w:t>
      </w:r>
    </w:p>
  </w:footnote>
  <w:footnote w:id="7">
    <w:p w:rsidR="00333885" w:rsidRPr="007130BD" w:rsidRDefault="00333885" w:rsidP="00153E07">
      <w:pPr>
        <w:pStyle w:val="aff0"/>
        <w:jc w:val="both"/>
      </w:pPr>
      <w:r>
        <w:rPr>
          <w:rStyle w:val="aff2"/>
        </w:rPr>
        <w:footnoteRef/>
      </w:r>
      <w:r w:rsidRPr="007130BD">
        <w:rPr>
          <w:rFonts w:ascii="Times New Roman" w:hAnsi="Times New Roman" w:cs="Times New Roman"/>
        </w:rPr>
        <w:t>По данным программ социально-экономического развития сельских поселений Бардымского муниципального района</w:t>
      </w:r>
    </w:p>
  </w:footnote>
  <w:footnote w:id="8">
    <w:p w:rsidR="00333885" w:rsidRPr="002F28A2" w:rsidRDefault="00333885" w:rsidP="00153E07">
      <w:pPr>
        <w:pStyle w:val="aff0"/>
        <w:rPr>
          <w:rFonts w:ascii="Times New Roman" w:hAnsi="Times New Roman" w:cs="Times New Roman"/>
        </w:rPr>
      </w:pPr>
      <w:r>
        <w:rPr>
          <w:rStyle w:val="aff2"/>
        </w:rPr>
        <w:footnoteRef/>
      </w:r>
      <w:r w:rsidRPr="002F28A2">
        <w:rPr>
          <w:rFonts w:ascii="Times New Roman" w:eastAsia="Times New Roman" w:hAnsi="Times New Roman" w:cs="Times New Roman"/>
        </w:rPr>
        <w:t>Федеральный закон № 116 от 22.07.20015г. «Об особых экономических зонах в Российской Федерации»</w:t>
      </w:r>
    </w:p>
  </w:footnote>
  <w:footnote w:id="9">
    <w:p w:rsidR="00333885" w:rsidRDefault="00333885" w:rsidP="00153E07">
      <w:pPr>
        <w:pStyle w:val="aff0"/>
        <w:jc w:val="both"/>
      </w:pPr>
      <w:r>
        <w:rPr>
          <w:rStyle w:val="aff2"/>
        </w:rPr>
        <w:footnoteRef/>
      </w:r>
      <w:r w:rsidRPr="007B4B21">
        <w:rPr>
          <w:rFonts w:ascii="Times New Roman" w:eastAsia="Times New Roman" w:hAnsi="Times New Roman" w:cs="Times New Roman"/>
          <w:bCs/>
        </w:rPr>
        <w:t>Постановление Правительства Российской Федерации № 398 от 26 апреля 2012г. «Об утверждении критериев создания особой экономической зоны»</w:t>
      </w:r>
    </w:p>
  </w:footnote>
  <w:footnote w:id="10">
    <w:p w:rsidR="00333885" w:rsidRPr="0098077F" w:rsidRDefault="00333885" w:rsidP="00153E07">
      <w:pPr>
        <w:tabs>
          <w:tab w:val="left" w:pos="2177"/>
        </w:tabs>
        <w:spacing w:after="0"/>
        <w:rPr>
          <w:rFonts w:eastAsia="Times New Roman" w:cs="Times New Roman"/>
          <w:szCs w:val="24"/>
        </w:rPr>
      </w:pPr>
      <w:r>
        <w:rPr>
          <w:rStyle w:val="aff2"/>
        </w:rPr>
        <w:footnoteRef/>
      </w:r>
      <w:r w:rsidRPr="00796E85">
        <w:rPr>
          <w:rFonts w:ascii="Times New Roman" w:hAnsi="Times New Roman" w:cs="Times New Roman"/>
          <w:sz w:val="20"/>
          <w:szCs w:val="20"/>
        </w:rPr>
        <w:t xml:space="preserve">Источник: </w:t>
      </w:r>
      <w:r w:rsidRPr="00796E85">
        <w:rPr>
          <w:rFonts w:ascii="Times New Roman" w:eastAsia="Times New Roman" w:hAnsi="Times New Roman" w:cs="Times New Roman"/>
          <w:sz w:val="20"/>
          <w:szCs w:val="20"/>
        </w:rPr>
        <w:t>Схема территориального планирования Бардымского муниципального района. Материалы по обоснованию проекта схемы территориального планирования. Том. 2. Книга 2. Барды, 2008г.</w:t>
      </w:r>
    </w:p>
    <w:p w:rsidR="00333885" w:rsidRDefault="00333885" w:rsidP="00153E07">
      <w:pPr>
        <w:pStyle w:val="aff0"/>
      </w:pPr>
    </w:p>
  </w:footnote>
  <w:footnote w:id="11">
    <w:p w:rsidR="00333885" w:rsidRDefault="00333885" w:rsidP="00153E07">
      <w:pPr>
        <w:pStyle w:val="aff0"/>
        <w:jc w:val="both"/>
      </w:pPr>
      <w:r>
        <w:rPr>
          <w:rStyle w:val="aff2"/>
        </w:rPr>
        <w:footnoteRef/>
      </w:r>
      <w:r w:rsidRPr="00985BEF">
        <w:rPr>
          <w:rFonts w:ascii="Times New Roman" w:eastAsia="Times New Roman" w:hAnsi="Times New Roman" w:cs="Times New Roman"/>
          <w:szCs w:val="24"/>
        </w:rPr>
        <w:t>Постановление Правительства РФ от 2 августа 2010 г. № 588 «Об утверждении Порядка разработки, реализации и оценки эффективности государственных программ Российской Федерации»</w:t>
      </w:r>
    </w:p>
  </w:footnote>
  <w:footnote w:id="12">
    <w:p w:rsidR="00333885" w:rsidRDefault="00333885" w:rsidP="00153E07">
      <w:pPr>
        <w:pStyle w:val="aff0"/>
      </w:pPr>
      <w:r>
        <w:rPr>
          <w:rStyle w:val="aff2"/>
        </w:rPr>
        <w:footnoteRef/>
      </w:r>
      <w:r w:rsidRPr="00AA52E8">
        <w:rPr>
          <w:rFonts w:ascii="Times New Roman" w:hAnsi="Times New Roman" w:cs="Times New Roman"/>
        </w:rPr>
        <w:t>Источник:</w:t>
      </w:r>
      <w:r>
        <w:rPr>
          <w:rFonts w:ascii="Times New Roman" w:hAnsi="Times New Roman" w:cs="Times New Roman"/>
        </w:rPr>
        <w:t xml:space="preserve"> </w:t>
      </w:r>
      <w:r w:rsidRPr="005233D6">
        <w:rPr>
          <w:rFonts w:ascii="Times New Roman" w:hAnsi="Times New Roman" w:cs="Times New Roman"/>
        </w:rPr>
        <w:t>Рабаданова А.А. Механизм реализации стратегии социально- экономического развития региона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885" w:rsidRDefault="00333885">
    <w:pPr>
      <w:pStyle w:val="a3"/>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A3C6D"/>
    <w:multiLevelType w:val="hybridMultilevel"/>
    <w:tmpl w:val="DC0E8CFC"/>
    <w:lvl w:ilvl="0" w:tplc="256AB5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4176426"/>
    <w:multiLevelType w:val="hybridMultilevel"/>
    <w:tmpl w:val="82348E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6061D0A"/>
    <w:multiLevelType w:val="hybridMultilevel"/>
    <w:tmpl w:val="7060955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E346E5E"/>
    <w:multiLevelType w:val="multilevel"/>
    <w:tmpl w:val="A996809E"/>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31D1566B"/>
    <w:multiLevelType w:val="hybridMultilevel"/>
    <w:tmpl w:val="0F4E98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1F8387E"/>
    <w:multiLevelType w:val="hybridMultilevel"/>
    <w:tmpl w:val="E064EB70"/>
    <w:lvl w:ilvl="0" w:tplc="182C905E">
      <w:start w:val="2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D651A97"/>
    <w:multiLevelType w:val="hybridMultilevel"/>
    <w:tmpl w:val="AC9C6BB8"/>
    <w:lvl w:ilvl="0" w:tplc="182C905E">
      <w:start w:val="2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97B4380"/>
    <w:multiLevelType w:val="multilevel"/>
    <w:tmpl w:val="7B9446DA"/>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50826273"/>
    <w:multiLevelType w:val="hybridMultilevel"/>
    <w:tmpl w:val="1CC29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19C22E6"/>
    <w:multiLevelType w:val="hybridMultilevel"/>
    <w:tmpl w:val="D5DE247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73317AB"/>
    <w:multiLevelType w:val="hybridMultilevel"/>
    <w:tmpl w:val="05169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91A106F"/>
    <w:multiLevelType w:val="hybridMultilevel"/>
    <w:tmpl w:val="25F2018C"/>
    <w:lvl w:ilvl="0" w:tplc="182C905E">
      <w:start w:val="2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B7A1707"/>
    <w:multiLevelType w:val="hybridMultilevel"/>
    <w:tmpl w:val="3BE8C0FA"/>
    <w:lvl w:ilvl="0" w:tplc="182C905E">
      <w:start w:val="2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1902F53"/>
    <w:multiLevelType w:val="hybridMultilevel"/>
    <w:tmpl w:val="79BEDB74"/>
    <w:lvl w:ilvl="0" w:tplc="182C905E">
      <w:start w:val="2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2291C1B"/>
    <w:multiLevelType w:val="hybridMultilevel"/>
    <w:tmpl w:val="4738B008"/>
    <w:lvl w:ilvl="0" w:tplc="981AC7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F1E2861"/>
    <w:multiLevelType w:val="hybridMultilevel"/>
    <w:tmpl w:val="7DB2A002"/>
    <w:lvl w:ilvl="0" w:tplc="6F8476D6">
      <w:start w:val="1"/>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21141DA"/>
    <w:multiLevelType w:val="hybridMultilevel"/>
    <w:tmpl w:val="3F3C47A4"/>
    <w:lvl w:ilvl="0" w:tplc="72EE97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72225BCD"/>
    <w:multiLevelType w:val="multilevel"/>
    <w:tmpl w:val="58B22C9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76347246"/>
    <w:multiLevelType w:val="hybridMultilevel"/>
    <w:tmpl w:val="7C04474C"/>
    <w:lvl w:ilvl="0" w:tplc="182C905E">
      <w:start w:val="2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4"/>
  </w:num>
  <w:num w:numId="3">
    <w:abstractNumId w:val="15"/>
  </w:num>
  <w:num w:numId="4">
    <w:abstractNumId w:val="9"/>
  </w:num>
  <w:num w:numId="5">
    <w:abstractNumId w:val="0"/>
  </w:num>
  <w:num w:numId="6">
    <w:abstractNumId w:val="2"/>
  </w:num>
  <w:num w:numId="7">
    <w:abstractNumId w:val="7"/>
  </w:num>
  <w:num w:numId="8">
    <w:abstractNumId w:val="16"/>
  </w:num>
  <w:num w:numId="9">
    <w:abstractNumId w:val="13"/>
  </w:num>
  <w:num w:numId="10">
    <w:abstractNumId w:val="6"/>
  </w:num>
  <w:num w:numId="11">
    <w:abstractNumId w:val="1"/>
  </w:num>
  <w:num w:numId="12">
    <w:abstractNumId w:val="10"/>
  </w:num>
  <w:num w:numId="13">
    <w:abstractNumId w:val="8"/>
  </w:num>
  <w:num w:numId="14">
    <w:abstractNumId w:val="14"/>
  </w:num>
  <w:num w:numId="15">
    <w:abstractNumId w:val="18"/>
  </w:num>
  <w:num w:numId="16">
    <w:abstractNumId w:val="12"/>
  </w:num>
  <w:num w:numId="17">
    <w:abstractNumId w:val="17"/>
  </w:num>
  <w:num w:numId="18">
    <w:abstractNumId w:val="5"/>
  </w:num>
  <w:num w:numId="19">
    <w:abstractNumId w:val="11"/>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9076E"/>
    <w:rsid w:val="00007A85"/>
    <w:rsid w:val="000150E8"/>
    <w:rsid w:val="00017A39"/>
    <w:rsid w:val="00021170"/>
    <w:rsid w:val="0002382B"/>
    <w:rsid w:val="000246E8"/>
    <w:rsid w:val="00032276"/>
    <w:rsid w:val="0005031B"/>
    <w:rsid w:val="00052850"/>
    <w:rsid w:val="00055C85"/>
    <w:rsid w:val="00064F30"/>
    <w:rsid w:val="000671CF"/>
    <w:rsid w:val="000771BA"/>
    <w:rsid w:val="000804AC"/>
    <w:rsid w:val="00084278"/>
    <w:rsid w:val="00087F81"/>
    <w:rsid w:val="000A19F4"/>
    <w:rsid w:val="000D32B7"/>
    <w:rsid w:val="000E1DCE"/>
    <w:rsid w:val="000F346B"/>
    <w:rsid w:val="00104BF8"/>
    <w:rsid w:val="001073A9"/>
    <w:rsid w:val="00112206"/>
    <w:rsid w:val="00114C76"/>
    <w:rsid w:val="001241D9"/>
    <w:rsid w:val="00127DAF"/>
    <w:rsid w:val="00133164"/>
    <w:rsid w:val="001346A1"/>
    <w:rsid w:val="00136EC4"/>
    <w:rsid w:val="00140697"/>
    <w:rsid w:val="00146F8A"/>
    <w:rsid w:val="0015080F"/>
    <w:rsid w:val="00153E07"/>
    <w:rsid w:val="0015632F"/>
    <w:rsid w:val="00157F5C"/>
    <w:rsid w:val="00182773"/>
    <w:rsid w:val="0018320F"/>
    <w:rsid w:val="00184B21"/>
    <w:rsid w:val="00191CF3"/>
    <w:rsid w:val="001A05CF"/>
    <w:rsid w:val="001B40D6"/>
    <w:rsid w:val="001B7D8A"/>
    <w:rsid w:val="001C1EB5"/>
    <w:rsid w:val="001C6E74"/>
    <w:rsid w:val="001D3C25"/>
    <w:rsid w:val="001D788E"/>
    <w:rsid w:val="001E1EF4"/>
    <w:rsid w:val="00206289"/>
    <w:rsid w:val="00212777"/>
    <w:rsid w:val="002231FD"/>
    <w:rsid w:val="00227D40"/>
    <w:rsid w:val="002320DD"/>
    <w:rsid w:val="002414F2"/>
    <w:rsid w:val="00243724"/>
    <w:rsid w:val="00254A53"/>
    <w:rsid w:val="002625F2"/>
    <w:rsid w:val="00271455"/>
    <w:rsid w:val="0028575F"/>
    <w:rsid w:val="00297636"/>
    <w:rsid w:val="002A33F1"/>
    <w:rsid w:val="002A61CE"/>
    <w:rsid w:val="002B04CB"/>
    <w:rsid w:val="002C2C4A"/>
    <w:rsid w:val="002C53D6"/>
    <w:rsid w:val="002D1B41"/>
    <w:rsid w:val="002D7431"/>
    <w:rsid w:val="002E0664"/>
    <w:rsid w:val="002E73FF"/>
    <w:rsid w:val="002F6162"/>
    <w:rsid w:val="00304079"/>
    <w:rsid w:val="00306DDD"/>
    <w:rsid w:val="0031634F"/>
    <w:rsid w:val="00321DFC"/>
    <w:rsid w:val="003250B8"/>
    <w:rsid w:val="003264D1"/>
    <w:rsid w:val="00333885"/>
    <w:rsid w:val="003421C8"/>
    <w:rsid w:val="00345860"/>
    <w:rsid w:val="00347C9C"/>
    <w:rsid w:val="003506F9"/>
    <w:rsid w:val="003529A9"/>
    <w:rsid w:val="00354B46"/>
    <w:rsid w:val="003551FB"/>
    <w:rsid w:val="00355F6A"/>
    <w:rsid w:val="0036337E"/>
    <w:rsid w:val="00363899"/>
    <w:rsid w:val="003665B3"/>
    <w:rsid w:val="003867F5"/>
    <w:rsid w:val="003A1EA9"/>
    <w:rsid w:val="003A4F1A"/>
    <w:rsid w:val="003C2685"/>
    <w:rsid w:val="003C4000"/>
    <w:rsid w:val="003D2157"/>
    <w:rsid w:val="003E0362"/>
    <w:rsid w:val="003E7B1C"/>
    <w:rsid w:val="003F03C3"/>
    <w:rsid w:val="0040703A"/>
    <w:rsid w:val="00411017"/>
    <w:rsid w:val="00420773"/>
    <w:rsid w:val="00424AF3"/>
    <w:rsid w:val="004277D3"/>
    <w:rsid w:val="00432B5D"/>
    <w:rsid w:val="00433854"/>
    <w:rsid w:val="00437674"/>
    <w:rsid w:val="00443EEA"/>
    <w:rsid w:val="0044735E"/>
    <w:rsid w:val="00460C45"/>
    <w:rsid w:val="00465C06"/>
    <w:rsid w:val="00472042"/>
    <w:rsid w:val="00480E5D"/>
    <w:rsid w:val="004878A9"/>
    <w:rsid w:val="004939A3"/>
    <w:rsid w:val="004A5294"/>
    <w:rsid w:val="004B1816"/>
    <w:rsid w:val="004C494F"/>
    <w:rsid w:val="004D4D31"/>
    <w:rsid w:val="004E2E6F"/>
    <w:rsid w:val="004F0E83"/>
    <w:rsid w:val="004F3966"/>
    <w:rsid w:val="005006E0"/>
    <w:rsid w:val="00506A22"/>
    <w:rsid w:val="005145F6"/>
    <w:rsid w:val="005265AE"/>
    <w:rsid w:val="00530383"/>
    <w:rsid w:val="00535C86"/>
    <w:rsid w:val="005420A6"/>
    <w:rsid w:val="00543488"/>
    <w:rsid w:val="005535D9"/>
    <w:rsid w:val="00561116"/>
    <w:rsid w:val="00565573"/>
    <w:rsid w:val="00570AAF"/>
    <w:rsid w:val="00577BA6"/>
    <w:rsid w:val="00587831"/>
    <w:rsid w:val="00592655"/>
    <w:rsid w:val="00596AAE"/>
    <w:rsid w:val="00597C74"/>
    <w:rsid w:val="005A3CFC"/>
    <w:rsid w:val="005A7C26"/>
    <w:rsid w:val="005B2A0E"/>
    <w:rsid w:val="005B4D3B"/>
    <w:rsid w:val="005C5F95"/>
    <w:rsid w:val="005C6ADE"/>
    <w:rsid w:val="005D24C1"/>
    <w:rsid w:val="005E128E"/>
    <w:rsid w:val="005E327B"/>
    <w:rsid w:val="005F1909"/>
    <w:rsid w:val="005F1C73"/>
    <w:rsid w:val="005F6168"/>
    <w:rsid w:val="006034AD"/>
    <w:rsid w:val="006177F5"/>
    <w:rsid w:val="00633809"/>
    <w:rsid w:val="00661B3A"/>
    <w:rsid w:val="00662FA8"/>
    <w:rsid w:val="00664AF8"/>
    <w:rsid w:val="00681E8B"/>
    <w:rsid w:val="00691F69"/>
    <w:rsid w:val="00694978"/>
    <w:rsid w:val="006A2635"/>
    <w:rsid w:val="006A7FB3"/>
    <w:rsid w:val="006C019E"/>
    <w:rsid w:val="006C167F"/>
    <w:rsid w:val="006C1763"/>
    <w:rsid w:val="006D01B2"/>
    <w:rsid w:val="006D2568"/>
    <w:rsid w:val="006D396E"/>
    <w:rsid w:val="006D419D"/>
    <w:rsid w:val="006D54FD"/>
    <w:rsid w:val="006F3566"/>
    <w:rsid w:val="00700367"/>
    <w:rsid w:val="0070146D"/>
    <w:rsid w:val="00734ACB"/>
    <w:rsid w:val="00747DEB"/>
    <w:rsid w:val="007555CD"/>
    <w:rsid w:val="0075760E"/>
    <w:rsid w:val="00757EF4"/>
    <w:rsid w:val="0076061C"/>
    <w:rsid w:val="00771E0F"/>
    <w:rsid w:val="00775DDE"/>
    <w:rsid w:val="00777ED4"/>
    <w:rsid w:val="007817DA"/>
    <w:rsid w:val="0078290A"/>
    <w:rsid w:val="00796E85"/>
    <w:rsid w:val="007A0295"/>
    <w:rsid w:val="007A2396"/>
    <w:rsid w:val="007A2AEF"/>
    <w:rsid w:val="007B1EC9"/>
    <w:rsid w:val="007B74F1"/>
    <w:rsid w:val="007C2BC2"/>
    <w:rsid w:val="007C405B"/>
    <w:rsid w:val="007D60E3"/>
    <w:rsid w:val="007D7783"/>
    <w:rsid w:val="007E28AF"/>
    <w:rsid w:val="007E2C94"/>
    <w:rsid w:val="00810A0F"/>
    <w:rsid w:val="0081565B"/>
    <w:rsid w:val="00816D7C"/>
    <w:rsid w:val="00822721"/>
    <w:rsid w:val="00822D2E"/>
    <w:rsid w:val="0085110B"/>
    <w:rsid w:val="00854DB9"/>
    <w:rsid w:val="00854DBB"/>
    <w:rsid w:val="00870C51"/>
    <w:rsid w:val="0087662B"/>
    <w:rsid w:val="00883AB5"/>
    <w:rsid w:val="008842D0"/>
    <w:rsid w:val="00884844"/>
    <w:rsid w:val="00886F09"/>
    <w:rsid w:val="00893941"/>
    <w:rsid w:val="0089518E"/>
    <w:rsid w:val="008A5220"/>
    <w:rsid w:val="008B016E"/>
    <w:rsid w:val="008B24F0"/>
    <w:rsid w:val="008B3F40"/>
    <w:rsid w:val="008B4C8B"/>
    <w:rsid w:val="008C398D"/>
    <w:rsid w:val="008D10E2"/>
    <w:rsid w:val="008D1AC4"/>
    <w:rsid w:val="008E3709"/>
    <w:rsid w:val="00901EFE"/>
    <w:rsid w:val="009063EF"/>
    <w:rsid w:val="00906461"/>
    <w:rsid w:val="00923EC8"/>
    <w:rsid w:val="00926062"/>
    <w:rsid w:val="00944CBC"/>
    <w:rsid w:val="00965ADF"/>
    <w:rsid w:val="0097075C"/>
    <w:rsid w:val="00971D8A"/>
    <w:rsid w:val="009805AF"/>
    <w:rsid w:val="00980ED1"/>
    <w:rsid w:val="009A08B9"/>
    <w:rsid w:val="009B2A83"/>
    <w:rsid w:val="009B61FC"/>
    <w:rsid w:val="009D0B85"/>
    <w:rsid w:val="009D1BBE"/>
    <w:rsid w:val="009F0B4C"/>
    <w:rsid w:val="009F309A"/>
    <w:rsid w:val="00A0306F"/>
    <w:rsid w:val="00A137E5"/>
    <w:rsid w:val="00A13D85"/>
    <w:rsid w:val="00A16FFB"/>
    <w:rsid w:val="00A22137"/>
    <w:rsid w:val="00A22942"/>
    <w:rsid w:val="00A32DD4"/>
    <w:rsid w:val="00A52DCD"/>
    <w:rsid w:val="00A53339"/>
    <w:rsid w:val="00A55453"/>
    <w:rsid w:val="00A55770"/>
    <w:rsid w:val="00A625FC"/>
    <w:rsid w:val="00A725FF"/>
    <w:rsid w:val="00A91B92"/>
    <w:rsid w:val="00A9437A"/>
    <w:rsid w:val="00A97E25"/>
    <w:rsid w:val="00AB49D4"/>
    <w:rsid w:val="00AC37BD"/>
    <w:rsid w:val="00AE04C1"/>
    <w:rsid w:val="00AE33C2"/>
    <w:rsid w:val="00AE52B1"/>
    <w:rsid w:val="00B11329"/>
    <w:rsid w:val="00B15EB8"/>
    <w:rsid w:val="00B320A3"/>
    <w:rsid w:val="00B41D81"/>
    <w:rsid w:val="00B42040"/>
    <w:rsid w:val="00B46799"/>
    <w:rsid w:val="00B51625"/>
    <w:rsid w:val="00B6122F"/>
    <w:rsid w:val="00B64457"/>
    <w:rsid w:val="00B83E96"/>
    <w:rsid w:val="00B86768"/>
    <w:rsid w:val="00B9076E"/>
    <w:rsid w:val="00B93C1C"/>
    <w:rsid w:val="00B979AB"/>
    <w:rsid w:val="00BB5CBC"/>
    <w:rsid w:val="00BC5CC4"/>
    <w:rsid w:val="00BC6F1F"/>
    <w:rsid w:val="00BC765E"/>
    <w:rsid w:val="00BE1E96"/>
    <w:rsid w:val="00BE7256"/>
    <w:rsid w:val="00BE7C22"/>
    <w:rsid w:val="00BF1898"/>
    <w:rsid w:val="00BF5CCA"/>
    <w:rsid w:val="00BF6E5D"/>
    <w:rsid w:val="00C02B4A"/>
    <w:rsid w:val="00C0434E"/>
    <w:rsid w:val="00C05E12"/>
    <w:rsid w:val="00C20228"/>
    <w:rsid w:val="00C313FA"/>
    <w:rsid w:val="00C500AF"/>
    <w:rsid w:val="00C50A68"/>
    <w:rsid w:val="00C52641"/>
    <w:rsid w:val="00C75FBD"/>
    <w:rsid w:val="00C82567"/>
    <w:rsid w:val="00CA2E12"/>
    <w:rsid w:val="00CB02E5"/>
    <w:rsid w:val="00CB03DE"/>
    <w:rsid w:val="00CB7DA8"/>
    <w:rsid w:val="00CC74E1"/>
    <w:rsid w:val="00CD6D5D"/>
    <w:rsid w:val="00CF0551"/>
    <w:rsid w:val="00CF141C"/>
    <w:rsid w:val="00CF5485"/>
    <w:rsid w:val="00CF7FA4"/>
    <w:rsid w:val="00D0535F"/>
    <w:rsid w:val="00D13891"/>
    <w:rsid w:val="00D20407"/>
    <w:rsid w:val="00D23929"/>
    <w:rsid w:val="00D33C56"/>
    <w:rsid w:val="00D4787A"/>
    <w:rsid w:val="00D50542"/>
    <w:rsid w:val="00D50C6A"/>
    <w:rsid w:val="00D527CE"/>
    <w:rsid w:val="00D53C12"/>
    <w:rsid w:val="00D55D20"/>
    <w:rsid w:val="00D5668B"/>
    <w:rsid w:val="00D62734"/>
    <w:rsid w:val="00D75B8C"/>
    <w:rsid w:val="00D804FD"/>
    <w:rsid w:val="00D87773"/>
    <w:rsid w:val="00D922B3"/>
    <w:rsid w:val="00DA02AF"/>
    <w:rsid w:val="00DA30C7"/>
    <w:rsid w:val="00DA5B3C"/>
    <w:rsid w:val="00DC026A"/>
    <w:rsid w:val="00DC3F0E"/>
    <w:rsid w:val="00DD3EEB"/>
    <w:rsid w:val="00DE2D0E"/>
    <w:rsid w:val="00DE336E"/>
    <w:rsid w:val="00DF632F"/>
    <w:rsid w:val="00E15ED6"/>
    <w:rsid w:val="00E162FB"/>
    <w:rsid w:val="00E21B77"/>
    <w:rsid w:val="00E228B1"/>
    <w:rsid w:val="00E3313E"/>
    <w:rsid w:val="00E36F81"/>
    <w:rsid w:val="00E44382"/>
    <w:rsid w:val="00E444CA"/>
    <w:rsid w:val="00E4777D"/>
    <w:rsid w:val="00E50F2F"/>
    <w:rsid w:val="00E52A85"/>
    <w:rsid w:val="00E65761"/>
    <w:rsid w:val="00E73204"/>
    <w:rsid w:val="00E80A8E"/>
    <w:rsid w:val="00E8744B"/>
    <w:rsid w:val="00E92390"/>
    <w:rsid w:val="00E97C6A"/>
    <w:rsid w:val="00EA069D"/>
    <w:rsid w:val="00EB1AE0"/>
    <w:rsid w:val="00EB27DC"/>
    <w:rsid w:val="00EB5017"/>
    <w:rsid w:val="00EB7E2B"/>
    <w:rsid w:val="00EC6A3C"/>
    <w:rsid w:val="00ED2561"/>
    <w:rsid w:val="00ED5023"/>
    <w:rsid w:val="00ED6628"/>
    <w:rsid w:val="00EE2147"/>
    <w:rsid w:val="00EE309F"/>
    <w:rsid w:val="00EE5A09"/>
    <w:rsid w:val="00EE5B9E"/>
    <w:rsid w:val="00EF60E5"/>
    <w:rsid w:val="00EF6379"/>
    <w:rsid w:val="00F00E9D"/>
    <w:rsid w:val="00F07E68"/>
    <w:rsid w:val="00F104BE"/>
    <w:rsid w:val="00F11E5C"/>
    <w:rsid w:val="00F16F8A"/>
    <w:rsid w:val="00F249FA"/>
    <w:rsid w:val="00F25E88"/>
    <w:rsid w:val="00F3151B"/>
    <w:rsid w:val="00F405EC"/>
    <w:rsid w:val="00F441E1"/>
    <w:rsid w:val="00F553E8"/>
    <w:rsid w:val="00F726A9"/>
    <w:rsid w:val="00F72EA5"/>
    <w:rsid w:val="00F772FD"/>
    <w:rsid w:val="00F805FA"/>
    <w:rsid w:val="00F96DD5"/>
    <w:rsid w:val="00FA4B0C"/>
    <w:rsid w:val="00FC1706"/>
    <w:rsid w:val="00FC19C0"/>
    <w:rsid w:val="00FD0291"/>
    <w:rsid w:val="00FD4F43"/>
    <w:rsid w:val="00FF0C59"/>
    <w:rsid w:val="00FF38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6FFB"/>
  </w:style>
  <w:style w:type="paragraph" w:styleId="1">
    <w:name w:val="heading 1"/>
    <w:basedOn w:val="a"/>
    <w:next w:val="a"/>
    <w:link w:val="10"/>
    <w:autoRedefine/>
    <w:uiPriority w:val="9"/>
    <w:qFormat/>
    <w:rsid w:val="00064F30"/>
    <w:pPr>
      <w:keepNext/>
      <w:keepLines/>
      <w:tabs>
        <w:tab w:val="left" w:pos="284"/>
      </w:tabs>
      <w:spacing w:after="0" w:line="360" w:lineRule="auto"/>
      <w:jc w:val="both"/>
      <w:outlineLvl w:val="0"/>
    </w:pPr>
    <w:rPr>
      <w:rFonts w:ascii="Times New Roman" w:eastAsiaTheme="majorEastAsia" w:hAnsi="Times New Roman" w:cs="Times New Roman"/>
      <w:b/>
      <w:bCs/>
      <w:sz w:val="28"/>
      <w:szCs w:val="28"/>
    </w:rPr>
  </w:style>
  <w:style w:type="paragraph" w:styleId="2">
    <w:name w:val="heading 2"/>
    <w:basedOn w:val="a"/>
    <w:next w:val="a"/>
    <w:link w:val="20"/>
    <w:uiPriority w:val="9"/>
    <w:unhideWhenUsed/>
    <w:qFormat/>
    <w:rsid w:val="00064F30"/>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4F30"/>
    <w:rPr>
      <w:rFonts w:ascii="Times New Roman" w:eastAsiaTheme="majorEastAsia" w:hAnsi="Times New Roman" w:cs="Times New Roman"/>
      <w:b/>
      <w:bCs/>
      <w:sz w:val="28"/>
      <w:szCs w:val="28"/>
    </w:rPr>
  </w:style>
  <w:style w:type="character" w:customStyle="1" w:styleId="20">
    <w:name w:val="Заголовок 2 Знак"/>
    <w:basedOn w:val="a0"/>
    <w:link w:val="2"/>
    <w:uiPriority w:val="9"/>
    <w:rsid w:val="00064F30"/>
    <w:rPr>
      <w:rFonts w:asciiTheme="majorHAnsi" w:eastAsiaTheme="majorEastAsia" w:hAnsiTheme="majorHAnsi" w:cstheme="majorBidi"/>
      <w:b/>
      <w:bCs/>
      <w:color w:val="4F81BD" w:themeColor="accent1"/>
      <w:sz w:val="26"/>
      <w:szCs w:val="26"/>
      <w:lang w:eastAsia="en-US"/>
    </w:rPr>
  </w:style>
  <w:style w:type="paragraph" w:styleId="a3">
    <w:name w:val="header"/>
    <w:basedOn w:val="a"/>
    <w:link w:val="a4"/>
    <w:uiPriority w:val="99"/>
    <w:unhideWhenUsed/>
    <w:rsid w:val="00B9076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9076E"/>
  </w:style>
  <w:style w:type="paragraph" w:styleId="a5">
    <w:name w:val="footer"/>
    <w:basedOn w:val="a"/>
    <w:link w:val="a6"/>
    <w:uiPriority w:val="99"/>
    <w:unhideWhenUsed/>
    <w:rsid w:val="00B9076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9076E"/>
  </w:style>
  <w:style w:type="table" w:styleId="a7">
    <w:name w:val="Table Grid"/>
    <w:basedOn w:val="a1"/>
    <w:uiPriority w:val="39"/>
    <w:rsid w:val="00886F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rmal (Web)"/>
    <w:basedOn w:val="a"/>
    <w:link w:val="a9"/>
    <w:uiPriority w:val="99"/>
    <w:unhideWhenUsed/>
    <w:rsid w:val="00886F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9">
    <w:name w:val="Обычный (веб) Знак"/>
    <w:basedOn w:val="a0"/>
    <w:link w:val="a8"/>
    <w:uiPriority w:val="99"/>
    <w:locked/>
    <w:rsid w:val="00886F09"/>
    <w:rPr>
      <w:rFonts w:ascii="Times New Roman" w:eastAsia="Times New Roman" w:hAnsi="Times New Roman" w:cs="Times New Roman"/>
      <w:sz w:val="24"/>
      <w:szCs w:val="24"/>
    </w:rPr>
  </w:style>
  <w:style w:type="paragraph" w:styleId="aa">
    <w:name w:val="Body Text"/>
    <w:basedOn w:val="a"/>
    <w:link w:val="ab"/>
    <w:unhideWhenUsed/>
    <w:rsid w:val="00886F09"/>
    <w:pPr>
      <w:spacing w:after="120"/>
    </w:pPr>
  </w:style>
  <w:style w:type="character" w:customStyle="1" w:styleId="ab">
    <w:name w:val="Основной текст Знак"/>
    <w:basedOn w:val="a0"/>
    <w:link w:val="aa"/>
    <w:rsid w:val="00886F09"/>
  </w:style>
  <w:style w:type="paragraph" w:styleId="ac">
    <w:name w:val="Body Text First Indent"/>
    <w:basedOn w:val="aa"/>
    <w:link w:val="ad"/>
    <w:uiPriority w:val="99"/>
    <w:unhideWhenUsed/>
    <w:rsid w:val="00886F09"/>
    <w:pPr>
      <w:spacing w:after="200"/>
      <w:ind w:firstLine="360"/>
    </w:pPr>
  </w:style>
  <w:style w:type="character" w:customStyle="1" w:styleId="ad">
    <w:name w:val="Красная строка Знак"/>
    <w:basedOn w:val="ab"/>
    <w:link w:val="ac"/>
    <w:uiPriority w:val="99"/>
    <w:rsid w:val="00886F09"/>
  </w:style>
  <w:style w:type="paragraph" w:customStyle="1" w:styleId="ae">
    <w:name w:val="Исполнитель"/>
    <w:basedOn w:val="aa"/>
    <w:rsid w:val="00886F09"/>
    <w:pPr>
      <w:suppressAutoHyphens/>
      <w:spacing w:line="240" w:lineRule="exact"/>
    </w:pPr>
    <w:rPr>
      <w:rFonts w:ascii="Times New Roman" w:eastAsia="Times New Roman" w:hAnsi="Times New Roman" w:cs="Times New Roman"/>
      <w:sz w:val="24"/>
      <w:szCs w:val="20"/>
    </w:rPr>
  </w:style>
  <w:style w:type="paragraph" w:customStyle="1" w:styleId="ConsPlusCell">
    <w:name w:val="ConsPlusCell"/>
    <w:rsid w:val="00886F09"/>
    <w:pPr>
      <w:widowControl w:val="0"/>
      <w:autoSpaceDE w:val="0"/>
      <w:autoSpaceDN w:val="0"/>
      <w:adjustRightInd w:val="0"/>
      <w:spacing w:after="0" w:line="240" w:lineRule="auto"/>
    </w:pPr>
    <w:rPr>
      <w:rFonts w:ascii="Arial" w:eastAsia="Times New Roman" w:hAnsi="Arial" w:cs="Arial"/>
      <w:sz w:val="20"/>
      <w:szCs w:val="20"/>
    </w:rPr>
  </w:style>
  <w:style w:type="paragraph" w:styleId="af">
    <w:name w:val="No Spacing"/>
    <w:link w:val="af0"/>
    <w:uiPriority w:val="1"/>
    <w:qFormat/>
    <w:rsid w:val="00886F09"/>
    <w:pPr>
      <w:spacing w:after="0" w:line="240" w:lineRule="auto"/>
    </w:pPr>
  </w:style>
  <w:style w:type="character" w:customStyle="1" w:styleId="af0">
    <w:name w:val="Без интервала Знак"/>
    <w:basedOn w:val="a0"/>
    <w:link w:val="af"/>
    <w:uiPriority w:val="1"/>
    <w:locked/>
    <w:rsid w:val="00886F09"/>
  </w:style>
  <w:style w:type="paragraph" w:styleId="af1">
    <w:name w:val="List Paragraph"/>
    <w:basedOn w:val="a"/>
    <w:link w:val="af2"/>
    <w:uiPriority w:val="34"/>
    <w:qFormat/>
    <w:rsid w:val="00886F09"/>
    <w:pPr>
      <w:ind w:left="720"/>
      <w:contextualSpacing/>
    </w:pPr>
  </w:style>
  <w:style w:type="character" w:customStyle="1" w:styleId="af2">
    <w:name w:val="Абзац списка Знак"/>
    <w:link w:val="af1"/>
    <w:uiPriority w:val="34"/>
    <w:locked/>
    <w:rsid w:val="00064F30"/>
  </w:style>
  <w:style w:type="paragraph" w:styleId="af3">
    <w:name w:val="Balloon Text"/>
    <w:basedOn w:val="a"/>
    <w:link w:val="af4"/>
    <w:uiPriority w:val="99"/>
    <w:semiHidden/>
    <w:unhideWhenUsed/>
    <w:rsid w:val="00886F0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886F09"/>
    <w:rPr>
      <w:rFonts w:ascii="Tahoma" w:hAnsi="Tahoma" w:cs="Tahoma"/>
      <w:sz w:val="16"/>
      <w:szCs w:val="16"/>
    </w:rPr>
  </w:style>
  <w:style w:type="paragraph" w:styleId="3">
    <w:name w:val="Body Text 3"/>
    <w:basedOn w:val="a"/>
    <w:link w:val="30"/>
    <w:uiPriority w:val="99"/>
    <w:rsid w:val="00886F09"/>
    <w:pPr>
      <w:spacing w:after="0" w:line="240" w:lineRule="auto"/>
      <w:jc w:val="center"/>
    </w:pPr>
    <w:rPr>
      <w:rFonts w:ascii="Times New Roman" w:eastAsia="Times New Roman" w:hAnsi="Times New Roman" w:cs="Times New Roman"/>
      <w:b/>
      <w:sz w:val="28"/>
      <w:szCs w:val="20"/>
    </w:rPr>
  </w:style>
  <w:style w:type="character" w:customStyle="1" w:styleId="30">
    <w:name w:val="Основной текст 3 Знак"/>
    <w:basedOn w:val="a0"/>
    <w:link w:val="3"/>
    <w:uiPriority w:val="99"/>
    <w:rsid w:val="00886F09"/>
    <w:rPr>
      <w:rFonts w:ascii="Times New Roman" w:eastAsia="Times New Roman" w:hAnsi="Times New Roman" w:cs="Times New Roman"/>
      <w:b/>
      <w:sz w:val="28"/>
      <w:szCs w:val="20"/>
    </w:rPr>
  </w:style>
  <w:style w:type="paragraph" w:customStyle="1" w:styleId="ConsPlusNormal">
    <w:name w:val="ConsPlusNormal"/>
    <w:rsid w:val="00886F0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5">
    <w:name w:val="программа"/>
    <w:basedOn w:val="a"/>
    <w:link w:val="af6"/>
    <w:rsid w:val="00886F09"/>
    <w:pPr>
      <w:tabs>
        <w:tab w:val="left" w:pos="567"/>
      </w:tabs>
      <w:spacing w:before="60" w:after="0" w:line="240" w:lineRule="auto"/>
      <w:ind w:firstLine="709"/>
      <w:jc w:val="both"/>
    </w:pPr>
    <w:rPr>
      <w:rFonts w:ascii="Times New Roman" w:eastAsia="Times New Roman" w:hAnsi="Times New Roman" w:cs="Times New Roman"/>
      <w:sz w:val="28"/>
      <w:szCs w:val="28"/>
    </w:rPr>
  </w:style>
  <w:style w:type="character" w:customStyle="1" w:styleId="af6">
    <w:name w:val="программа Знак"/>
    <w:basedOn w:val="a0"/>
    <w:link w:val="af5"/>
    <w:locked/>
    <w:rsid w:val="00886F09"/>
    <w:rPr>
      <w:rFonts w:ascii="Times New Roman" w:eastAsia="Times New Roman" w:hAnsi="Times New Roman" w:cs="Times New Roman"/>
      <w:sz w:val="28"/>
      <w:szCs w:val="28"/>
    </w:rPr>
  </w:style>
  <w:style w:type="character" w:styleId="af7">
    <w:name w:val="Hyperlink"/>
    <w:basedOn w:val="a0"/>
    <w:uiPriority w:val="99"/>
    <w:rsid w:val="00886F09"/>
    <w:rPr>
      <w:rFonts w:cs="Times New Roman"/>
      <w:color w:val="0000FF"/>
      <w:u w:val="single"/>
    </w:rPr>
  </w:style>
  <w:style w:type="paragraph" w:customStyle="1" w:styleId="af8">
    <w:name w:val="Знак"/>
    <w:basedOn w:val="a"/>
    <w:rsid w:val="00886F09"/>
    <w:pPr>
      <w:widowControl w:val="0"/>
      <w:adjustRightInd w:val="0"/>
      <w:spacing w:after="0" w:line="360" w:lineRule="atLeast"/>
      <w:jc w:val="both"/>
    </w:pPr>
    <w:rPr>
      <w:rFonts w:ascii="Verdana" w:eastAsia="Times New Roman" w:hAnsi="Verdana" w:cs="Verdana"/>
      <w:sz w:val="20"/>
      <w:szCs w:val="20"/>
      <w:lang w:val="en-US" w:eastAsia="en-US"/>
    </w:rPr>
  </w:style>
  <w:style w:type="character" w:customStyle="1" w:styleId="21">
    <w:name w:val="Основной текст (2)"/>
    <w:basedOn w:val="a0"/>
    <w:link w:val="210"/>
    <w:locked/>
    <w:rsid w:val="00886F09"/>
    <w:rPr>
      <w:rFonts w:ascii="Times New Roman" w:hAnsi="Times New Roman" w:cs="Times New Roman"/>
      <w:sz w:val="15"/>
      <w:szCs w:val="15"/>
      <w:shd w:val="clear" w:color="auto" w:fill="FFFFFF"/>
    </w:rPr>
  </w:style>
  <w:style w:type="paragraph" w:customStyle="1" w:styleId="210">
    <w:name w:val="Основной текст (2)1"/>
    <w:basedOn w:val="a"/>
    <w:link w:val="21"/>
    <w:uiPriority w:val="99"/>
    <w:rsid w:val="00886F09"/>
    <w:pPr>
      <w:shd w:val="clear" w:color="auto" w:fill="FFFFFF"/>
      <w:spacing w:after="0" w:line="240" w:lineRule="atLeast"/>
    </w:pPr>
    <w:rPr>
      <w:rFonts w:ascii="Times New Roman" w:hAnsi="Times New Roman" w:cs="Times New Roman"/>
      <w:sz w:val="15"/>
      <w:szCs w:val="15"/>
    </w:rPr>
  </w:style>
  <w:style w:type="paragraph" w:customStyle="1" w:styleId="211">
    <w:name w:val="Основной текст 21"/>
    <w:basedOn w:val="a"/>
    <w:rsid w:val="00886F09"/>
    <w:pPr>
      <w:spacing w:after="0" w:line="240" w:lineRule="auto"/>
    </w:pPr>
    <w:rPr>
      <w:rFonts w:ascii="Times New Roman" w:eastAsia="Times New Roman" w:hAnsi="Times New Roman" w:cs="Times New Roman"/>
      <w:sz w:val="28"/>
      <w:szCs w:val="20"/>
    </w:rPr>
  </w:style>
  <w:style w:type="paragraph" w:customStyle="1" w:styleId="ConsNormal">
    <w:name w:val="ConsNormal"/>
    <w:rsid w:val="00886F09"/>
    <w:pPr>
      <w:widowControl w:val="0"/>
      <w:spacing w:after="0" w:line="240" w:lineRule="auto"/>
      <w:ind w:firstLine="720"/>
    </w:pPr>
    <w:rPr>
      <w:rFonts w:ascii="Arial" w:eastAsia="Times New Roman" w:hAnsi="Arial" w:cs="Times New Roman"/>
      <w:snapToGrid w:val="0"/>
      <w:sz w:val="20"/>
      <w:szCs w:val="20"/>
    </w:rPr>
  </w:style>
  <w:style w:type="paragraph" w:customStyle="1" w:styleId="ConsPlusNonformat">
    <w:name w:val="ConsPlusNonformat"/>
    <w:uiPriority w:val="99"/>
    <w:rsid w:val="00886F09"/>
    <w:pPr>
      <w:autoSpaceDE w:val="0"/>
      <w:autoSpaceDN w:val="0"/>
      <w:adjustRightInd w:val="0"/>
      <w:spacing w:after="0" w:line="240" w:lineRule="auto"/>
    </w:pPr>
    <w:rPr>
      <w:rFonts w:ascii="Courier New" w:eastAsia="Times New Roman" w:hAnsi="Courier New" w:cs="Courier New"/>
      <w:sz w:val="20"/>
      <w:szCs w:val="20"/>
    </w:rPr>
  </w:style>
  <w:style w:type="paragraph" w:styleId="af9">
    <w:name w:val="Title"/>
    <w:basedOn w:val="a"/>
    <w:link w:val="afa"/>
    <w:uiPriority w:val="10"/>
    <w:qFormat/>
    <w:rsid w:val="00886F09"/>
    <w:pPr>
      <w:spacing w:after="0" w:line="240" w:lineRule="auto"/>
      <w:jc w:val="center"/>
    </w:pPr>
    <w:rPr>
      <w:rFonts w:ascii="Times New Roman" w:eastAsia="Times New Roman" w:hAnsi="Times New Roman" w:cs="Times New Roman"/>
      <w:sz w:val="28"/>
      <w:szCs w:val="24"/>
    </w:rPr>
  </w:style>
  <w:style w:type="character" w:customStyle="1" w:styleId="afa">
    <w:name w:val="Название Знак"/>
    <w:basedOn w:val="a0"/>
    <w:link w:val="af9"/>
    <w:uiPriority w:val="10"/>
    <w:rsid w:val="00886F09"/>
    <w:rPr>
      <w:rFonts w:ascii="Times New Roman" w:eastAsia="Times New Roman" w:hAnsi="Times New Roman" w:cs="Times New Roman"/>
      <w:sz w:val="28"/>
      <w:szCs w:val="24"/>
    </w:rPr>
  </w:style>
  <w:style w:type="character" w:customStyle="1" w:styleId="afb">
    <w:name w:val="Гипертекстовая ссылка"/>
    <w:basedOn w:val="a0"/>
    <w:uiPriority w:val="99"/>
    <w:rsid w:val="00886F09"/>
    <w:rPr>
      <w:rFonts w:cs="Times New Roman"/>
      <w:color w:val="106BBE"/>
    </w:rPr>
  </w:style>
  <w:style w:type="paragraph" w:customStyle="1" w:styleId="Iauiue">
    <w:name w:val="Iau?iue"/>
    <w:rsid w:val="00886F09"/>
    <w:pPr>
      <w:overflowPunct w:val="0"/>
      <w:autoSpaceDE w:val="0"/>
      <w:autoSpaceDN w:val="0"/>
      <w:adjustRightInd w:val="0"/>
      <w:spacing w:after="0" w:line="240" w:lineRule="auto"/>
    </w:pPr>
    <w:rPr>
      <w:rFonts w:ascii="Times New Roman" w:eastAsia="Times New Roman" w:hAnsi="Times New Roman" w:cs="Times New Roman"/>
      <w:color w:val="000000"/>
      <w:spacing w:val="-4"/>
      <w:sz w:val="28"/>
      <w:szCs w:val="20"/>
    </w:rPr>
  </w:style>
  <w:style w:type="paragraph" w:styleId="afc">
    <w:name w:val="Plain Text"/>
    <w:basedOn w:val="a"/>
    <w:link w:val="afd"/>
    <w:rsid w:val="00886F09"/>
    <w:pPr>
      <w:spacing w:after="0" w:line="240" w:lineRule="auto"/>
    </w:pPr>
    <w:rPr>
      <w:rFonts w:ascii="Courier New" w:eastAsia="Times New Roman" w:hAnsi="Courier New" w:cs="Times New Roman"/>
      <w:sz w:val="20"/>
      <w:szCs w:val="20"/>
    </w:rPr>
  </w:style>
  <w:style w:type="character" w:customStyle="1" w:styleId="afd">
    <w:name w:val="Текст Знак"/>
    <w:basedOn w:val="a0"/>
    <w:link w:val="afc"/>
    <w:rsid w:val="00886F09"/>
    <w:rPr>
      <w:rFonts w:ascii="Courier New" w:eastAsia="Times New Roman" w:hAnsi="Courier New" w:cs="Times New Roman"/>
      <w:sz w:val="20"/>
      <w:szCs w:val="20"/>
    </w:rPr>
  </w:style>
  <w:style w:type="character" w:customStyle="1" w:styleId="apple-converted-space">
    <w:name w:val="apple-converted-space"/>
    <w:basedOn w:val="a0"/>
    <w:rsid w:val="00D13891"/>
  </w:style>
  <w:style w:type="paragraph" w:styleId="afe">
    <w:name w:val="TOC Heading"/>
    <w:basedOn w:val="1"/>
    <w:next w:val="a"/>
    <w:uiPriority w:val="39"/>
    <w:unhideWhenUsed/>
    <w:qFormat/>
    <w:rsid w:val="00064F30"/>
    <w:pPr>
      <w:tabs>
        <w:tab w:val="clear" w:pos="284"/>
      </w:tabs>
      <w:spacing w:after="200"/>
      <w:outlineLvl w:val="9"/>
    </w:pPr>
  </w:style>
  <w:style w:type="paragraph" w:styleId="11">
    <w:name w:val="toc 1"/>
    <w:basedOn w:val="a"/>
    <w:next w:val="a"/>
    <w:autoRedefine/>
    <w:uiPriority w:val="39"/>
    <w:unhideWhenUsed/>
    <w:qFormat/>
    <w:rsid w:val="00064F30"/>
    <w:pPr>
      <w:tabs>
        <w:tab w:val="left" w:pos="7371"/>
        <w:tab w:val="left" w:pos="7513"/>
      </w:tabs>
      <w:spacing w:before="120" w:line="240" w:lineRule="auto"/>
      <w:ind w:right="2266" w:firstLine="709"/>
      <w:jc w:val="both"/>
    </w:pPr>
    <w:rPr>
      <w:rFonts w:ascii="Times New Roman" w:hAnsi="Times New Roman"/>
      <w:bCs/>
      <w:iCs/>
      <w:sz w:val="24"/>
    </w:rPr>
  </w:style>
  <w:style w:type="paragraph" w:customStyle="1" w:styleId="aff">
    <w:name w:val="Таблицы (моноширинный)"/>
    <w:basedOn w:val="a"/>
    <w:next w:val="a"/>
    <w:uiPriority w:val="99"/>
    <w:rsid w:val="00064F30"/>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styleId="22">
    <w:name w:val="toc 2"/>
    <w:basedOn w:val="a"/>
    <w:next w:val="a"/>
    <w:autoRedefine/>
    <w:uiPriority w:val="39"/>
    <w:unhideWhenUsed/>
    <w:rsid w:val="00064F30"/>
    <w:pPr>
      <w:spacing w:after="100" w:line="360" w:lineRule="auto"/>
      <w:ind w:left="220"/>
      <w:jc w:val="both"/>
    </w:pPr>
    <w:rPr>
      <w:rFonts w:ascii="Times New Roman" w:hAnsi="Times New Roman"/>
      <w:sz w:val="24"/>
    </w:rPr>
  </w:style>
  <w:style w:type="paragraph" w:customStyle="1" w:styleId="p">
    <w:name w:val="p"/>
    <w:basedOn w:val="a"/>
    <w:uiPriority w:val="99"/>
    <w:rsid w:val="00064F30"/>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aff0">
    <w:name w:val="footnote text"/>
    <w:basedOn w:val="a"/>
    <w:link w:val="aff1"/>
    <w:uiPriority w:val="99"/>
    <w:semiHidden/>
    <w:unhideWhenUsed/>
    <w:rsid w:val="00064F30"/>
    <w:pPr>
      <w:spacing w:after="0" w:line="240" w:lineRule="auto"/>
    </w:pPr>
    <w:rPr>
      <w:rFonts w:eastAsiaTheme="minorHAnsi"/>
      <w:sz w:val="20"/>
      <w:szCs w:val="20"/>
      <w:lang w:eastAsia="en-US"/>
    </w:rPr>
  </w:style>
  <w:style w:type="character" w:customStyle="1" w:styleId="aff1">
    <w:name w:val="Текст сноски Знак"/>
    <w:basedOn w:val="a0"/>
    <w:link w:val="aff0"/>
    <w:uiPriority w:val="99"/>
    <w:semiHidden/>
    <w:rsid w:val="00064F30"/>
    <w:rPr>
      <w:rFonts w:eastAsiaTheme="minorHAnsi"/>
      <w:sz w:val="20"/>
      <w:szCs w:val="20"/>
      <w:lang w:eastAsia="en-US"/>
    </w:rPr>
  </w:style>
  <w:style w:type="character" w:styleId="aff2">
    <w:name w:val="footnote reference"/>
    <w:basedOn w:val="a0"/>
    <w:uiPriority w:val="99"/>
    <w:semiHidden/>
    <w:unhideWhenUsed/>
    <w:rsid w:val="00064F30"/>
    <w:rPr>
      <w:vertAlign w:val="superscript"/>
    </w:rPr>
  </w:style>
  <w:style w:type="paragraph" w:customStyle="1" w:styleId="headertext">
    <w:name w:val="headertext"/>
    <w:basedOn w:val="a"/>
    <w:rsid w:val="00064F30"/>
    <w:pPr>
      <w:spacing w:before="100" w:beforeAutospacing="1" w:after="100" w:afterAutospacing="1" w:line="240" w:lineRule="auto"/>
    </w:pPr>
    <w:rPr>
      <w:rFonts w:ascii="Times New Roman" w:eastAsia="Times New Roman" w:hAnsi="Times New Roman" w:cs="Times New Roman"/>
      <w:sz w:val="24"/>
      <w:szCs w:val="24"/>
    </w:rPr>
  </w:style>
  <w:style w:type="paragraph" w:styleId="23">
    <w:name w:val="Body Text Indent 2"/>
    <w:aliases w:val="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Знак Знак Знак Знак Знак, Знак Знак Знак Знак Знак Знак"/>
    <w:basedOn w:val="a"/>
    <w:link w:val="24"/>
    <w:rsid w:val="00064F30"/>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aliases w:val="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Знак Знак"/>
    <w:basedOn w:val="a0"/>
    <w:link w:val="23"/>
    <w:rsid w:val="00064F30"/>
    <w:rPr>
      <w:rFonts w:ascii="Times New Roman" w:eastAsia="Times New Roman" w:hAnsi="Times New Roman" w:cs="Times New Roman"/>
      <w:sz w:val="24"/>
      <w:szCs w:val="24"/>
    </w:rPr>
  </w:style>
  <w:style w:type="character" w:customStyle="1" w:styleId="25">
    <w:name w:val="Основной текст (2) + Полужирный"/>
    <w:basedOn w:val="a0"/>
    <w:rsid w:val="00064F3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6">
    <w:name w:val="Основной текст (2) + Курсив"/>
    <w:basedOn w:val="a0"/>
    <w:rsid w:val="00064F3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31">
    <w:name w:val="Основной текст (3)"/>
    <w:basedOn w:val="a0"/>
    <w:link w:val="310"/>
    <w:rsid w:val="00064F30"/>
    <w:rPr>
      <w:rFonts w:ascii="Times New Roman" w:eastAsia="Times New Roman" w:hAnsi="Times New Roman" w:cs="Times New Roman"/>
      <w:b/>
      <w:bCs/>
      <w:color w:val="000000"/>
      <w:sz w:val="24"/>
      <w:szCs w:val="24"/>
      <w:shd w:val="clear" w:color="auto" w:fill="FFFFFF"/>
      <w:lang w:bidi="ru-RU"/>
    </w:rPr>
  </w:style>
  <w:style w:type="paragraph" w:customStyle="1" w:styleId="310">
    <w:name w:val="Основной текст (3)1"/>
    <w:basedOn w:val="a"/>
    <w:link w:val="31"/>
    <w:rsid w:val="00064F30"/>
    <w:pPr>
      <w:shd w:val="clear" w:color="auto" w:fill="FFFFFF"/>
      <w:spacing w:before="360" w:after="1260" w:line="365" w:lineRule="exact"/>
      <w:ind w:hanging="660"/>
    </w:pPr>
    <w:rPr>
      <w:rFonts w:ascii="Times New Roman" w:eastAsia="Times New Roman" w:hAnsi="Times New Roman" w:cs="Times New Roman"/>
      <w:b/>
      <w:bCs/>
      <w:color w:val="000000"/>
      <w:sz w:val="24"/>
      <w:szCs w:val="24"/>
      <w:lang w:bidi="ru-RU"/>
    </w:rPr>
  </w:style>
  <w:style w:type="character" w:customStyle="1" w:styleId="212pt">
    <w:name w:val="Основной текст (2) + 12 pt"/>
    <w:basedOn w:val="a0"/>
    <w:rsid w:val="00064F3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9">
    <w:name w:val="Основной текст (9)"/>
    <w:basedOn w:val="a0"/>
    <w:link w:val="91"/>
    <w:uiPriority w:val="99"/>
    <w:locked/>
    <w:rsid w:val="00064F30"/>
    <w:rPr>
      <w:sz w:val="28"/>
      <w:szCs w:val="28"/>
      <w:shd w:val="clear" w:color="auto" w:fill="FFFFFF"/>
    </w:rPr>
  </w:style>
  <w:style w:type="paragraph" w:customStyle="1" w:styleId="91">
    <w:name w:val="Основной текст (9)1"/>
    <w:basedOn w:val="a"/>
    <w:link w:val="9"/>
    <w:uiPriority w:val="99"/>
    <w:rsid w:val="00064F30"/>
    <w:pPr>
      <w:shd w:val="clear" w:color="auto" w:fill="FFFFFF"/>
      <w:spacing w:after="0" w:line="240" w:lineRule="atLeast"/>
    </w:pPr>
    <w:rPr>
      <w:sz w:val="28"/>
      <w:szCs w:val="28"/>
    </w:rPr>
  </w:style>
  <w:style w:type="character" w:customStyle="1" w:styleId="110">
    <w:name w:val="Основной текст (11)"/>
    <w:basedOn w:val="a0"/>
    <w:link w:val="111"/>
    <w:locked/>
    <w:rsid w:val="00064F30"/>
    <w:rPr>
      <w:sz w:val="28"/>
      <w:szCs w:val="28"/>
      <w:shd w:val="clear" w:color="auto" w:fill="FFFFFF"/>
    </w:rPr>
  </w:style>
  <w:style w:type="paragraph" w:customStyle="1" w:styleId="111">
    <w:name w:val="Основной текст (11)1"/>
    <w:basedOn w:val="a"/>
    <w:link w:val="110"/>
    <w:rsid w:val="00064F30"/>
    <w:pPr>
      <w:shd w:val="clear" w:color="auto" w:fill="FFFFFF"/>
      <w:spacing w:after="0" w:line="312" w:lineRule="exact"/>
      <w:jc w:val="both"/>
    </w:pPr>
    <w:rPr>
      <w:sz w:val="28"/>
      <w:szCs w:val="28"/>
    </w:rPr>
  </w:style>
  <w:style w:type="character" w:customStyle="1" w:styleId="2105pt">
    <w:name w:val="Основной текст (2) + 10;5 pt"/>
    <w:basedOn w:val="a0"/>
    <w:rsid w:val="00064F3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3">
    <w:name w:val="Основной текст с отступом Знак"/>
    <w:basedOn w:val="a0"/>
    <w:link w:val="aff4"/>
    <w:uiPriority w:val="99"/>
    <w:semiHidden/>
    <w:rsid w:val="00064F30"/>
    <w:rPr>
      <w:rFonts w:ascii="Times New Roman" w:hAnsi="Times New Roman"/>
      <w:sz w:val="24"/>
    </w:rPr>
  </w:style>
  <w:style w:type="paragraph" w:styleId="aff4">
    <w:name w:val="Body Text Indent"/>
    <w:basedOn w:val="a"/>
    <w:link w:val="aff3"/>
    <w:uiPriority w:val="99"/>
    <w:semiHidden/>
    <w:unhideWhenUsed/>
    <w:rsid w:val="00064F30"/>
    <w:pPr>
      <w:spacing w:after="120" w:line="360" w:lineRule="auto"/>
      <w:ind w:left="283"/>
      <w:jc w:val="both"/>
    </w:pPr>
    <w:rPr>
      <w:rFonts w:ascii="Times New Roman" w:hAnsi="Times New Roman"/>
      <w:sz w:val="24"/>
    </w:rPr>
  </w:style>
  <w:style w:type="paragraph" w:customStyle="1" w:styleId="12">
    <w:name w:val="1"/>
    <w:basedOn w:val="a"/>
    <w:next w:val="af9"/>
    <w:qFormat/>
    <w:rsid w:val="005E327B"/>
    <w:pPr>
      <w:spacing w:before="120" w:after="60" w:line="240" w:lineRule="auto"/>
      <w:ind w:firstLine="567"/>
      <w:jc w:val="center"/>
    </w:pPr>
    <w:rPr>
      <w:rFonts w:ascii="Times New Roman" w:eastAsia="Times New Roman" w:hAnsi="Times New Roman" w:cs="Times New Roman"/>
      <w:b/>
      <w:sz w:val="24"/>
      <w:szCs w:val="24"/>
    </w:rPr>
  </w:style>
  <w:style w:type="paragraph" w:customStyle="1" w:styleId="Normal">
    <w:name w:val="Normal Знак"/>
    <w:semiHidden/>
    <w:rsid w:val="00153E07"/>
    <w:pPr>
      <w:spacing w:after="0" w:line="240" w:lineRule="auto"/>
    </w:pPr>
    <w:rPr>
      <w:rFonts w:ascii="Times New Roman" w:eastAsia="Times New Roman" w:hAnsi="Times New Roman" w:cs="Times New Roman"/>
      <w:szCs w:val="24"/>
    </w:rPr>
  </w:style>
  <w:style w:type="paragraph" w:customStyle="1" w:styleId="font5">
    <w:name w:val="font5"/>
    <w:basedOn w:val="a"/>
    <w:rsid w:val="00153E07"/>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6">
    <w:name w:val="font6"/>
    <w:basedOn w:val="a"/>
    <w:rsid w:val="00153E07"/>
    <w:pPr>
      <w:spacing w:before="100" w:beforeAutospacing="1" w:after="100" w:afterAutospacing="1" w:line="240" w:lineRule="auto"/>
    </w:pPr>
    <w:rPr>
      <w:rFonts w:ascii="Times New Roman" w:eastAsia="Times New Roman" w:hAnsi="Times New Roman" w:cs="Times New Roman"/>
      <w:i/>
      <w:iCs/>
      <w:color w:val="000000"/>
    </w:rPr>
  </w:style>
  <w:style w:type="paragraph" w:customStyle="1" w:styleId="font7">
    <w:name w:val="font7"/>
    <w:basedOn w:val="a"/>
    <w:rsid w:val="00153E07"/>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8">
    <w:name w:val="font8"/>
    <w:basedOn w:val="a"/>
    <w:rsid w:val="00153E07"/>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9">
    <w:name w:val="font9"/>
    <w:basedOn w:val="a"/>
    <w:rsid w:val="00153E07"/>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10">
    <w:name w:val="font10"/>
    <w:basedOn w:val="a"/>
    <w:rsid w:val="00153E07"/>
    <w:pPr>
      <w:spacing w:before="100" w:beforeAutospacing="1" w:after="100" w:afterAutospacing="1" w:line="240" w:lineRule="auto"/>
    </w:pPr>
    <w:rPr>
      <w:rFonts w:ascii="Times New Roman" w:eastAsia="Times New Roman" w:hAnsi="Times New Roman" w:cs="Times New Roman"/>
      <w:color w:val="000000"/>
      <w:sz w:val="28"/>
      <w:szCs w:val="28"/>
    </w:rPr>
  </w:style>
  <w:style w:type="paragraph" w:customStyle="1" w:styleId="font11">
    <w:name w:val="font11"/>
    <w:basedOn w:val="a"/>
    <w:rsid w:val="00153E07"/>
    <w:pPr>
      <w:spacing w:before="100" w:beforeAutospacing="1" w:after="100" w:afterAutospacing="1" w:line="240" w:lineRule="auto"/>
    </w:pPr>
    <w:rPr>
      <w:rFonts w:ascii="Times New Roman" w:eastAsia="Times New Roman" w:hAnsi="Times New Roman" w:cs="Times New Roman"/>
      <w:color w:val="002060"/>
      <w:sz w:val="24"/>
      <w:szCs w:val="24"/>
    </w:rPr>
  </w:style>
  <w:style w:type="paragraph" w:customStyle="1" w:styleId="xl63">
    <w:name w:val="xl63"/>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4">
    <w:name w:val="xl64"/>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a"/>
    <w:rsid w:val="00153E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153E0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8">
    <w:name w:val="xl68"/>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
    <w:rsid w:val="00153E0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1">
    <w:name w:val="xl71"/>
    <w:basedOn w:val="a"/>
    <w:rsid w:val="00153E0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3">
    <w:name w:val="xl73"/>
    <w:basedOn w:val="a"/>
    <w:rsid w:val="00153E0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4">
    <w:name w:val="xl74"/>
    <w:basedOn w:val="a"/>
    <w:rsid w:val="00153E0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76">
    <w:name w:val="xl76"/>
    <w:basedOn w:val="a"/>
    <w:rsid w:val="00153E0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
    <w:rsid w:val="00153E0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a"/>
    <w:rsid w:val="00153E0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0">
    <w:name w:val="xl80"/>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2">
    <w:name w:val="xl82"/>
    <w:basedOn w:val="a"/>
    <w:rsid w:val="00153E0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ConsPlusTitle">
    <w:name w:val="ConsPlusTitle"/>
    <w:uiPriority w:val="99"/>
    <w:rsid w:val="00153E07"/>
    <w:pPr>
      <w:widowControl w:val="0"/>
      <w:autoSpaceDE w:val="0"/>
      <w:autoSpaceDN w:val="0"/>
      <w:adjustRightInd w:val="0"/>
      <w:spacing w:after="0" w:line="240" w:lineRule="auto"/>
    </w:pPr>
    <w:rPr>
      <w:rFonts w:ascii="Arial" w:hAnsi="Arial" w:cs="Arial"/>
      <w:b/>
      <w:bCs/>
      <w:sz w:val="16"/>
      <w:szCs w:val="16"/>
    </w:rPr>
  </w:style>
  <w:style w:type="paragraph" w:customStyle="1" w:styleId="Default">
    <w:name w:val="Default"/>
    <w:rsid w:val="00354B4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5">
    <w:name w:val="Îáû÷íûé"/>
    <w:uiPriority w:val="99"/>
    <w:rsid w:val="00354B46"/>
    <w:pPr>
      <w:overflowPunct w:val="0"/>
      <w:autoSpaceDE w:val="0"/>
      <w:autoSpaceDN w:val="0"/>
      <w:adjustRightInd w:val="0"/>
      <w:spacing w:after="0" w:line="240" w:lineRule="auto"/>
    </w:pPr>
    <w:rPr>
      <w:rFonts w:ascii="Times New Roman" w:eastAsia="Times New Roman" w:hAnsi="Times New Roman" w:cs="Times New Roman"/>
      <w:color w:val="000000"/>
      <w:spacing w:val="-4"/>
      <w:sz w:val="28"/>
      <w:szCs w:val="20"/>
    </w:rPr>
  </w:style>
  <w:style w:type="paragraph" w:customStyle="1" w:styleId="msonormalbullet2gifbullet1gif">
    <w:name w:val="msonormalbullet2gifbullet1.gif"/>
    <w:basedOn w:val="a"/>
    <w:uiPriority w:val="99"/>
    <w:rsid w:val="00354B4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52475366">
      <w:bodyDiv w:val="1"/>
      <w:marLeft w:val="0"/>
      <w:marRight w:val="0"/>
      <w:marTop w:val="0"/>
      <w:marBottom w:val="0"/>
      <w:divBdr>
        <w:top w:val="none" w:sz="0" w:space="0" w:color="auto"/>
        <w:left w:val="none" w:sz="0" w:space="0" w:color="auto"/>
        <w:bottom w:val="none" w:sz="0" w:space="0" w:color="auto"/>
        <w:right w:val="none" w:sz="0" w:space="0" w:color="auto"/>
      </w:divBdr>
    </w:div>
    <w:div w:id="529800029">
      <w:bodyDiv w:val="1"/>
      <w:marLeft w:val="0"/>
      <w:marRight w:val="0"/>
      <w:marTop w:val="0"/>
      <w:marBottom w:val="0"/>
      <w:divBdr>
        <w:top w:val="none" w:sz="0" w:space="0" w:color="auto"/>
        <w:left w:val="none" w:sz="0" w:space="0" w:color="auto"/>
        <w:bottom w:val="none" w:sz="0" w:space="0" w:color="auto"/>
        <w:right w:val="none" w:sz="0" w:space="0" w:color="auto"/>
      </w:divBdr>
    </w:div>
    <w:div w:id="1345326197">
      <w:bodyDiv w:val="1"/>
      <w:marLeft w:val="0"/>
      <w:marRight w:val="0"/>
      <w:marTop w:val="0"/>
      <w:marBottom w:val="0"/>
      <w:divBdr>
        <w:top w:val="none" w:sz="0" w:space="0" w:color="auto"/>
        <w:left w:val="none" w:sz="0" w:space="0" w:color="auto"/>
        <w:bottom w:val="none" w:sz="0" w:space="0" w:color="auto"/>
        <w:right w:val="none" w:sz="0" w:space="0" w:color="auto"/>
      </w:divBdr>
    </w:div>
    <w:div w:id="1401638943">
      <w:bodyDiv w:val="1"/>
      <w:marLeft w:val="0"/>
      <w:marRight w:val="0"/>
      <w:marTop w:val="0"/>
      <w:marBottom w:val="0"/>
      <w:divBdr>
        <w:top w:val="none" w:sz="0" w:space="0" w:color="auto"/>
        <w:left w:val="none" w:sz="0" w:space="0" w:color="auto"/>
        <w:bottom w:val="none" w:sz="0" w:space="0" w:color="auto"/>
        <w:right w:val="none" w:sz="0" w:space="0" w:color="auto"/>
      </w:divBdr>
    </w:div>
    <w:div w:id="1419015254">
      <w:bodyDiv w:val="1"/>
      <w:marLeft w:val="0"/>
      <w:marRight w:val="0"/>
      <w:marTop w:val="0"/>
      <w:marBottom w:val="0"/>
      <w:divBdr>
        <w:top w:val="none" w:sz="0" w:space="0" w:color="auto"/>
        <w:left w:val="none" w:sz="0" w:space="0" w:color="auto"/>
        <w:bottom w:val="none" w:sz="0" w:space="0" w:color="auto"/>
        <w:right w:val="none" w:sz="0" w:space="0" w:color="auto"/>
      </w:divBdr>
    </w:div>
    <w:div w:id="1592008564">
      <w:bodyDiv w:val="1"/>
      <w:marLeft w:val="0"/>
      <w:marRight w:val="0"/>
      <w:marTop w:val="0"/>
      <w:marBottom w:val="0"/>
      <w:divBdr>
        <w:top w:val="none" w:sz="0" w:space="0" w:color="auto"/>
        <w:left w:val="none" w:sz="0" w:space="0" w:color="auto"/>
        <w:bottom w:val="none" w:sz="0" w:space="0" w:color="auto"/>
        <w:right w:val="none" w:sz="0" w:space="0" w:color="auto"/>
      </w:divBdr>
    </w:div>
    <w:div w:id="1672098652">
      <w:bodyDiv w:val="1"/>
      <w:marLeft w:val="0"/>
      <w:marRight w:val="0"/>
      <w:marTop w:val="0"/>
      <w:marBottom w:val="0"/>
      <w:divBdr>
        <w:top w:val="none" w:sz="0" w:space="0" w:color="auto"/>
        <w:left w:val="none" w:sz="0" w:space="0" w:color="auto"/>
        <w:bottom w:val="none" w:sz="0" w:space="0" w:color="auto"/>
        <w:right w:val="none" w:sz="0" w:space="0" w:color="auto"/>
      </w:divBdr>
    </w:div>
    <w:div w:id="1692536449">
      <w:bodyDiv w:val="1"/>
      <w:marLeft w:val="0"/>
      <w:marRight w:val="0"/>
      <w:marTop w:val="0"/>
      <w:marBottom w:val="0"/>
      <w:divBdr>
        <w:top w:val="none" w:sz="0" w:space="0" w:color="auto"/>
        <w:left w:val="none" w:sz="0" w:space="0" w:color="auto"/>
        <w:bottom w:val="none" w:sz="0" w:space="0" w:color="auto"/>
        <w:right w:val="none" w:sz="0" w:space="0" w:color="auto"/>
      </w:divBdr>
    </w:div>
    <w:div w:id="1695763994">
      <w:bodyDiv w:val="1"/>
      <w:marLeft w:val="0"/>
      <w:marRight w:val="0"/>
      <w:marTop w:val="0"/>
      <w:marBottom w:val="0"/>
      <w:divBdr>
        <w:top w:val="none" w:sz="0" w:space="0" w:color="auto"/>
        <w:left w:val="none" w:sz="0" w:space="0" w:color="auto"/>
        <w:bottom w:val="none" w:sz="0" w:space="0" w:color="auto"/>
        <w:right w:val="none" w:sz="0" w:space="0" w:color="auto"/>
      </w:divBdr>
    </w:div>
    <w:div w:id="1878463384">
      <w:bodyDiv w:val="1"/>
      <w:marLeft w:val="0"/>
      <w:marRight w:val="0"/>
      <w:marTop w:val="0"/>
      <w:marBottom w:val="0"/>
      <w:divBdr>
        <w:top w:val="none" w:sz="0" w:space="0" w:color="auto"/>
        <w:left w:val="none" w:sz="0" w:space="0" w:color="auto"/>
        <w:bottom w:val="none" w:sz="0" w:space="0" w:color="auto"/>
        <w:right w:val="none" w:sz="0" w:space="0" w:color="auto"/>
      </w:divBdr>
    </w:div>
    <w:div w:id="2071339641">
      <w:bodyDiv w:val="1"/>
      <w:marLeft w:val="0"/>
      <w:marRight w:val="0"/>
      <w:marTop w:val="0"/>
      <w:marBottom w:val="0"/>
      <w:divBdr>
        <w:top w:val="none" w:sz="0" w:space="0" w:color="auto"/>
        <w:left w:val="none" w:sz="0" w:space="0" w:color="auto"/>
        <w:bottom w:val="none" w:sz="0" w:space="0" w:color="auto"/>
        <w:right w:val="none" w:sz="0" w:space="0" w:color="auto"/>
      </w:divBdr>
    </w:div>
    <w:div w:id="210626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117" Type="http://schemas.openxmlformats.org/officeDocument/2006/relationships/chart" Target="charts/chart86.xml"/><Relationship Id="rId21" Type="http://schemas.openxmlformats.org/officeDocument/2006/relationships/chart" Target="charts/chart11.xml"/><Relationship Id="rId42" Type="http://schemas.openxmlformats.org/officeDocument/2006/relationships/chart" Target="charts/chart32.xml"/><Relationship Id="rId47" Type="http://schemas.openxmlformats.org/officeDocument/2006/relationships/chart" Target="charts/chart37.xml"/><Relationship Id="rId63" Type="http://schemas.openxmlformats.org/officeDocument/2006/relationships/package" Target="embeddings/_____Microsoft_Office_Excel2.xlsx"/><Relationship Id="rId68" Type="http://schemas.openxmlformats.org/officeDocument/2006/relationships/chart" Target="charts/chart56.xml"/><Relationship Id="rId84" Type="http://schemas.openxmlformats.org/officeDocument/2006/relationships/chart" Target="charts/chart70.xml"/><Relationship Id="rId89" Type="http://schemas.openxmlformats.org/officeDocument/2006/relationships/chart" Target="charts/chart75.xml"/><Relationship Id="rId112" Type="http://schemas.openxmlformats.org/officeDocument/2006/relationships/oleObject" Target="embeddings/oleObject4.bin"/><Relationship Id="rId133" Type="http://schemas.openxmlformats.org/officeDocument/2006/relationships/chart" Target="charts/chart102.xml"/><Relationship Id="rId138" Type="http://schemas.microsoft.com/office/2007/relationships/diagramDrawing" Target="diagrams/drawing1.xml"/><Relationship Id="rId16" Type="http://schemas.openxmlformats.org/officeDocument/2006/relationships/chart" Target="charts/chart6.xml"/><Relationship Id="rId107" Type="http://schemas.openxmlformats.org/officeDocument/2006/relationships/image" Target="media/image5.wmf"/><Relationship Id="rId11" Type="http://schemas.openxmlformats.org/officeDocument/2006/relationships/chart" Target="charts/chart3.xml"/><Relationship Id="rId32" Type="http://schemas.openxmlformats.org/officeDocument/2006/relationships/chart" Target="charts/chart22.xml"/><Relationship Id="rId37" Type="http://schemas.openxmlformats.org/officeDocument/2006/relationships/chart" Target="charts/chart27.xml"/><Relationship Id="rId53" Type="http://schemas.openxmlformats.org/officeDocument/2006/relationships/chart" Target="charts/chart43.xml"/><Relationship Id="rId58" Type="http://schemas.openxmlformats.org/officeDocument/2006/relationships/chart" Target="charts/chart48.xml"/><Relationship Id="rId74" Type="http://schemas.openxmlformats.org/officeDocument/2006/relationships/chart" Target="charts/chart61.xml"/><Relationship Id="rId79" Type="http://schemas.openxmlformats.org/officeDocument/2006/relationships/chart" Target="charts/chart66.xml"/><Relationship Id="rId102" Type="http://schemas.openxmlformats.org/officeDocument/2006/relationships/chart" Target="charts/chart82.xml"/><Relationship Id="rId123" Type="http://schemas.openxmlformats.org/officeDocument/2006/relationships/chart" Target="charts/chart92.xml"/><Relationship Id="rId128" Type="http://schemas.openxmlformats.org/officeDocument/2006/relationships/chart" Target="charts/chart97.xml"/><Relationship Id="rId5" Type="http://schemas.openxmlformats.org/officeDocument/2006/relationships/webSettings" Target="webSettings.xml"/><Relationship Id="rId90" Type="http://schemas.openxmlformats.org/officeDocument/2006/relationships/chart" Target="charts/chart76.xml"/><Relationship Id="rId95" Type="http://schemas.openxmlformats.org/officeDocument/2006/relationships/footer" Target="footer4.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chart" Target="charts/chart46.xml"/><Relationship Id="rId64" Type="http://schemas.openxmlformats.org/officeDocument/2006/relationships/chart" Target="charts/chart52.xml"/><Relationship Id="rId69" Type="http://schemas.openxmlformats.org/officeDocument/2006/relationships/chart" Target="charts/chart57.xml"/><Relationship Id="rId77" Type="http://schemas.openxmlformats.org/officeDocument/2006/relationships/chart" Target="charts/chart64.xml"/><Relationship Id="rId100" Type="http://schemas.openxmlformats.org/officeDocument/2006/relationships/chart" Target="charts/chart80.xml"/><Relationship Id="rId105" Type="http://schemas.openxmlformats.org/officeDocument/2006/relationships/image" Target="media/image4.wmf"/><Relationship Id="rId113" Type="http://schemas.openxmlformats.org/officeDocument/2006/relationships/hyperlink" Target="file:///C:\Users\Ilsiar1\Desktop\17%20&#1072;&#1074;&#1075;&#1091;&#1089;&#1090;&#1072;%202016\&#1079;&#1072;&#1082;&#1091;&#1087;&#1082;&#1080;\2017\&#1079;&#1072;&#1082;&#1091;&#1087;&#1082;&#1080;\4%20&#1053;&#1048;&#1056;%20&#1057;&#1090;&#1088;&#1072;&#1090;&#1077;&#1075;&#1080;&#1103;\&#1086;&#1084;&#1079;\4%20&#1090;&#1079;.docx" TargetMode="External"/><Relationship Id="rId118" Type="http://schemas.openxmlformats.org/officeDocument/2006/relationships/chart" Target="charts/chart87.xml"/><Relationship Id="rId126" Type="http://schemas.openxmlformats.org/officeDocument/2006/relationships/chart" Target="charts/chart95.xml"/><Relationship Id="rId13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chart" Target="charts/chart41.xml"/><Relationship Id="rId72" Type="http://schemas.openxmlformats.org/officeDocument/2006/relationships/chart" Target="charts/chart59.xml"/><Relationship Id="rId80" Type="http://schemas.openxmlformats.org/officeDocument/2006/relationships/chart" Target="charts/chart67.xml"/><Relationship Id="rId85" Type="http://schemas.openxmlformats.org/officeDocument/2006/relationships/chart" Target="charts/chart71.xml"/><Relationship Id="rId93" Type="http://schemas.openxmlformats.org/officeDocument/2006/relationships/chart" Target="charts/chart79.xml"/><Relationship Id="rId98" Type="http://schemas.openxmlformats.org/officeDocument/2006/relationships/diagramQuickStyle" Target="diagrams/quickStyle1.xml"/><Relationship Id="rId121" Type="http://schemas.openxmlformats.org/officeDocument/2006/relationships/chart" Target="charts/chart90.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59" Type="http://schemas.openxmlformats.org/officeDocument/2006/relationships/chart" Target="charts/chart49.xml"/><Relationship Id="rId67" Type="http://schemas.openxmlformats.org/officeDocument/2006/relationships/chart" Target="charts/chart55.xml"/><Relationship Id="rId103" Type="http://schemas.openxmlformats.org/officeDocument/2006/relationships/chart" Target="charts/chart83.xml"/><Relationship Id="rId108" Type="http://schemas.openxmlformats.org/officeDocument/2006/relationships/oleObject" Target="embeddings/oleObject2.bin"/><Relationship Id="rId116" Type="http://schemas.openxmlformats.org/officeDocument/2006/relationships/chart" Target="charts/chart85.xml"/><Relationship Id="rId124" Type="http://schemas.openxmlformats.org/officeDocument/2006/relationships/chart" Target="charts/chart93.xml"/><Relationship Id="rId129" Type="http://schemas.openxmlformats.org/officeDocument/2006/relationships/chart" Target="charts/chart98.xml"/><Relationship Id="rId137" Type="http://schemas.openxmlformats.org/officeDocument/2006/relationships/theme" Target="theme/theme1.xml"/><Relationship Id="rId20" Type="http://schemas.openxmlformats.org/officeDocument/2006/relationships/chart" Target="charts/chart10.xml"/><Relationship Id="rId41" Type="http://schemas.openxmlformats.org/officeDocument/2006/relationships/chart" Target="charts/chart31.xml"/><Relationship Id="rId54" Type="http://schemas.openxmlformats.org/officeDocument/2006/relationships/chart" Target="charts/chart44.xml"/><Relationship Id="rId62" Type="http://schemas.openxmlformats.org/officeDocument/2006/relationships/image" Target="media/image3.emf"/><Relationship Id="rId70" Type="http://schemas.openxmlformats.org/officeDocument/2006/relationships/footer" Target="footer1.xml"/><Relationship Id="rId75" Type="http://schemas.openxmlformats.org/officeDocument/2006/relationships/chart" Target="charts/chart62.xml"/><Relationship Id="rId83" Type="http://schemas.openxmlformats.org/officeDocument/2006/relationships/chart" Target="charts/chart69.xml"/><Relationship Id="rId88" Type="http://schemas.openxmlformats.org/officeDocument/2006/relationships/chart" Target="charts/chart74.xml"/><Relationship Id="rId91" Type="http://schemas.openxmlformats.org/officeDocument/2006/relationships/chart" Target="charts/chart77.xml"/><Relationship Id="rId96" Type="http://schemas.openxmlformats.org/officeDocument/2006/relationships/diagramData" Target="diagrams/data1.xml"/><Relationship Id="rId111" Type="http://schemas.openxmlformats.org/officeDocument/2006/relationships/image" Target="media/image7.wmf"/><Relationship Id="rId132" Type="http://schemas.openxmlformats.org/officeDocument/2006/relationships/chart" Target="charts/chart10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 Id="rId57" Type="http://schemas.openxmlformats.org/officeDocument/2006/relationships/chart" Target="charts/chart47.xml"/><Relationship Id="rId106" Type="http://schemas.openxmlformats.org/officeDocument/2006/relationships/oleObject" Target="embeddings/oleObject1.bin"/><Relationship Id="rId114" Type="http://schemas.openxmlformats.org/officeDocument/2006/relationships/hyperlink" Target="file:///C:\Users\Ilsiar1\Desktop\17%20&#1072;&#1074;&#1075;&#1091;&#1089;&#1090;&#1072;%202016\&#1079;&#1072;&#1082;&#1091;&#1087;&#1082;&#1080;\2017\&#1079;&#1072;&#1082;&#1091;&#1087;&#1082;&#1080;\4%20&#1053;&#1048;&#1056;%20&#1057;&#1090;&#1088;&#1072;&#1090;&#1077;&#1075;&#1080;&#1103;\&#1086;&#1084;&#1079;\4%20&#1090;&#1079;.docx" TargetMode="External"/><Relationship Id="rId119" Type="http://schemas.openxmlformats.org/officeDocument/2006/relationships/chart" Target="charts/chart88.xml"/><Relationship Id="rId127" Type="http://schemas.openxmlformats.org/officeDocument/2006/relationships/chart" Target="charts/chart96.xml"/><Relationship Id="rId10" Type="http://schemas.openxmlformats.org/officeDocument/2006/relationships/chart" Target="charts/chart2.xm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chart" Target="charts/chart42.xml"/><Relationship Id="rId60" Type="http://schemas.openxmlformats.org/officeDocument/2006/relationships/chart" Target="charts/chart50.xml"/><Relationship Id="rId65" Type="http://schemas.openxmlformats.org/officeDocument/2006/relationships/chart" Target="charts/chart53.xml"/><Relationship Id="rId73" Type="http://schemas.openxmlformats.org/officeDocument/2006/relationships/chart" Target="charts/chart60.xml"/><Relationship Id="rId78" Type="http://schemas.openxmlformats.org/officeDocument/2006/relationships/chart" Target="charts/chart65.xml"/><Relationship Id="rId81" Type="http://schemas.openxmlformats.org/officeDocument/2006/relationships/chart" Target="charts/chart68.xml"/><Relationship Id="rId86" Type="http://schemas.openxmlformats.org/officeDocument/2006/relationships/chart" Target="charts/chart72.xml"/><Relationship Id="rId94" Type="http://schemas.openxmlformats.org/officeDocument/2006/relationships/footer" Target="footer3.xml"/><Relationship Id="rId99" Type="http://schemas.openxmlformats.org/officeDocument/2006/relationships/diagramColors" Target="diagrams/colors1.xml"/><Relationship Id="rId101" Type="http://schemas.openxmlformats.org/officeDocument/2006/relationships/chart" Target="charts/chart81.xml"/><Relationship Id="rId122" Type="http://schemas.openxmlformats.org/officeDocument/2006/relationships/chart" Target="charts/chart91.xml"/><Relationship Id="rId130" Type="http://schemas.openxmlformats.org/officeDocument/2006/relationships/chart" Target="charts/chart99.xml"/><Relationship Id="rId13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package" Target="embeddings/_____Microsoft_Office_Excel1.xlsx"/><Relationship Id="rId18" Type="http://schemas.openxmlformats.org/officeDocument/2006/relationships/chart" Target="charts/chart8.xml"/><Relationship Id="rId39" Type="http://schemas.openxmlformats.org/officeDocument/2006/relationships/chart" Target="charts/chart29.xml"/><Relationship Id="rId109" Type="http://schemas.openxmlformats.org/officeDocument/2006/relationships/image" Target="media/image6.wmf"/><Relationship Id="rId34" Type="http://schemas.openxmlformats.org/officeDocument/2006/relationships/chart" Target="charts/chart24.xml"/><Relationship Id="rId50" Type="http://schemas.openxmlformats.org/officeDocument/2006/relationships/chart" Target="charts/chart40.xml"/><Relationship Id="rId55" Type="http://schemas.openxmlformats.org/officeDocument/2006/relationships/chart" Target="charts/chart45.xml"/><Relationship Id="rId76" Type="http://schemas.openxmlformats.org/officeDocument/2006/relationships/chart" Target="charts/chart63.xml"/><Relationship Id="rId97" Type="http://schemas.openxmlformats.org/officeDocument/2006/relationships/diagramLayout" Target="diagrams/layout1.xml"/><Relationship Id="rId104" Type="http://schemas.openxmlformats.org/officeDocument/2006/relationships/hyperlink" Target="file:///C:\Documents%20and%20Settings\user\&#1056;&#1072;&#1073;&#1086;&#1095;&#1080;&#1081;%20&#1089;&#1090;&#1086;&#1083;\1_&#1082;%20&#1057;&#1069;&#1056;.docx" TargetMode="External"/><Relationship Id="rId120" Type="http://schemas.openxmlformats.org/officeDocument/2006/relationships/chart" Target="charts/chart89.xml"/><Relationship Id="rId125" Type="http://schemas.openxmlformats.org/officeDocument/2006/relationships/chart" Target="charts/chart94.xml"/><Relationship Id="rId7" Type="http://schemas.openxmlformats.org/officeDocument/2006/relationships/endnotes" Target="endnotes.xml"/><Relationship Id="rId71" Type="http://schemas.openxmlformats.org/officeDocument/2006/relationships/chart" Target="charts/chart58.xml"/><Relationship Id="rId92" Type="http://schemas.openxmlformats.org/officeDocument/2006/relationships/chart" Target="charts/chart78.xml"/><Relationship Id="rId2" Type="http://schemas.openxmlformats.org/officeDocument/2006/relationships/numbering" Target="numbering.xml"/><Relationship Id="rId29" Type="http://schemas.openxmlformats.org/officeDocument/2006/relationships/chart" Target="charts/chart19.xml"/><Relationship Id="rId24" Type="http://schemas.openxmlformats.org/officeDocument/2006/relationships/chart" Target="charts/chart14.xml"/><Relationship Id="rId40" Type="http://schemas.openxmlformats.org/officeDocument/2006/relationships/chart" Target="charts/chart30.xml"/><Relationship Id="rId45" Type="http://schemas.openxmlformats.org/officeDocument/2006/relationships/chart" Target="charts/chart35.xml"/><Relationship Id="rId66" Type="http://schemas.openxmlformats.org/officeDocument/2006/relationships/chart" Target="charts/chart54.xml"/><Relationship Id="rId87" Type="http://schemas.openxmlformats.org/officeDocument/2006/relationships/chart" Target="charts/chart73.xml"/><Relationship Id="rId110" Type="http://schemas.openxmlformats.org/officeDocument/2006/relationships/oleObject" Target="embeddings/oleObject3.bin"/><Relationship Id="rId115" Type="http://schemas.openxmlformats.org/officeDocument/2006/relationships/chart" Target="charts/chart84.xml"/><Relationship Id="rId131" Type="http://schemas.openxmlformats.org/officeDocument/2006/relationships/chart" Target="charts/chart100.xml"/><Relationship Id="rId136" Type="http://schemas.openxmlformats.org/officeDocument/2006/relationships/fontTable" Target="fontTable.xml"/><Relationship Id="rId61" Type="http://schemas.openxmlformats.org/officeDocument/2006/relationships/chart" Target="charts/chart51.xml"/><Relationship Id="rId82" Type="http://schemas.openxmlformats.org/officeDocument/2006/relationships/footer" Target="footer2.xml"/><Relationship Id="rId19" Type="http://schemas.openxmlformats.org/officeDocument/2006/relationships/chart" Target="charts/chart9.xml"/></Relationships>
</file>

<file path=word/charts/_rels/chart1.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100.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101.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102.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1055;&#1077;&#1088;&#1084;&#1100;,%20&#1041;&#1072;&#1088;&#1076;&#1099;\&#1044;&#1072;&#1085;&#1085;&#1099;&#1077;\&#1079;&#1072;&#1073;&#1086;&#1083;&#1077;&#1074;&#1072;&#1085;&#1080;&#1103;%20&#1085;&#1072;&#1089;&#1077;&#1083;&#1077;&#1085;&#1080;&#110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1;&#1072;&#1088;&#1076;&#1099;\&#1041;&#1072;&#1088;&#1076;&#1099;%20&#1076;&#1077;&#1084;&#1086;&#1075;&#1088;&#1072;&#1092;&#1080;&#1103;.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G:\&#1055;&#1077;&#1088;&#1084;&#1100;,%20&#1041;&#1072;&#1088;&#1076;&#1099;\&#1055;&#1088;&#1086;&#1075;&#1085;&#1086;&#1079;%20&#1088;&#1072;&#1079;&#1074;&#1080;&#1090;&#1080;&#1103;%20&#1041;&#1072;&#1088;&#1076;&#1099;%2021.08.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1;&#1072;&#1088;&#1076;&#1099;\&#1041;&#1072;&#1088;&#1076;&#1099;%20&#1076;&#1077;&#1084;&#1086;&#1075;&#1088;&#1072;&#1092;&#1080;&#1103;.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1;&#1072;&#1088;&#1076;&#1099;\&#1041;&#1072;&#1088;&#1076;&#1099;%20&#1076;&#1077;&#1084;&#1086;&#1075;&#1088;&#1072;&#1092;&#1080;&#1103;.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K:\&#1055;&#1077;&#1088;&#1084;&#1100;,%20&#1041;&#1072;&#1088;&#1076;&#1099;\&#1057;&#1086;&#1094;-&#1101;&#1082;&#1086;&#1085;.%20&#1087;&#1086;&#1082;&#1072;&#1079;&#1072;&#1090;&#1077;&#1083;&#1080;%2015.09.2017.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G:\&#1055;&#1077;&#1088;&#1084;&#1100;,%20&#1041;&#1072;&#1088;&#1076;&#1099;\&#1044;&#1072;&#1085;&#1085;&#1099;&#1077;\&#1060;&#1080;&#1085;&#1072;&#1085;&#1089;&#1086;&#1074;&#1072;&#1103;%20&#1076;&#1077;&#1103;&#1090;&#1077;&#1083;&#1100;&#1085;&#1086;&#1089;&#1090;&#110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87;&#1088;&#1086;&#1077;&#1082;&#1090;&#1099;\&#1041;&#1072;&#1088;&#1076;&#1099;\&#1041;&#1072;&#1088;&#1076;&#1099;%20&#1076;&#1077;&#1084;&#1086;&#1075;&#1088;&#1072;&#1092;&#1080;&#1103;.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G:\&#1055;&#1077;&#1088;&#1084;&#1100;,%20&#1041;&#1072;&#1088;&#1076;&#1099;\&#1044;&#1072;&#1085;&#1085;&#1099;&#1077;\&#1060;&#1080;&#1085;&#1072;&#1085;&#1089;&#1086;&#1074;&#1072;&#1103;%20&#1076;&#1077;&#1103;&#1090;&#1077;&#1083;&#1100;&#1085;&#1086;&#1089;&#1090;&#1100;.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G:\&#1055;&#1077;&#1088;&#1084;&#1100;,%20&#1041;&#1072;&#1088;&#1076;&#1099;\&#1044;&#1072;&#1085;&#1085;&#1099;&#1077;\&#1060;&#1080;&#1085;&#1072;&#1085;&#1089;&#1086;&#1074;&#1072;&#1103;%20&#1076;&#1077;&#1103;&#1090;&#1077;&#1083;&#1100;&#1085;&#1086;&#1089;&#1090;&#1100;.xls"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G:\&#1055;&#1077;&#1088;&#1084;&#1100;,%20&#1041;&#1072;&#1088;&#1076;&#1099;\&#1044;&#1072;&#1085;&#1085;&#1099;&#1077;\&#1060;&#1080;&#1085;&#1072;&#1085;&#1089;&#1086;&#1074;&#1072;&#1103;%20&#1076;&#1077;&#1103;&#1090;&#1077;&#1083;&#1100;&#1085;&#1086;&#1089;&#1090;&#1100;.xls"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K:\&#1055;&#1077;&#1088;&#1084;&#1100;,%20&#1041;&#1072;&#1088;&#1076;&#1099;\&#1057;&#1086;&#1094;-&#1101;&#1082;&#1086;&#1085;.%20&#1087;&#1086;&#1082;&#1072;&#1079;&#1072;&#1090;&#1077;&#1083;&#1080;%2015.09.2017.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1;&#1072;&#1088;&#1076;&#1099;\&#1041;&#1072;&#1088;&#1076;&#1099;%20&#1076;&#1077;&#1084;&#1086;&#1075;&#1088;&#1072;&#1092;&#1080;&#1103;.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1045;&#1083;&#1077;&#1085;&#1072;\Desktop\&#1041;&#1072;&#1088;&#1076;&#1099;\&#1058;&#1072;&#1073;&#1083;&#1080;&#1094;&#1099;\Nf,kbws.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1045;&#1083;&#1077;&#1085;&#1072;\Desktop\&#1041;&#1072;&#1088;&#1076;&#1099;\&#1058;&#1072;&#1073;&#1083;&#1080;&#1094;&#1099;\Nf,kbws.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G:\&#1055;&#1077;&#1088;&#1084;&#1100;,%20&#1041;&#1072;&#1088;&#1076;&#1099;\&#1076;&#1086;&#1093;&#1086;&#1076;&#1099;%20&#1050;&#1041;%202006-2017.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G:\&#1055;&#1077;&#1088;&#1084;&#1100;,%20&#1041;&#1072;&#1088;&#1076;&#1099;\&#1076;&#1086;&#1093;&#1086;&#1076;&#1099;%20&#1050;&#1041;%202006-2017.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1045;&#1083;&#1077;&#1085;&#1072;\Desktop\&#1041;&#1072;&#1088;&#1076;&#1099;\&#1058;&#1072;&#1073;&#1083;&#1080;&#1094;&#1099;\Nf,kbws.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1045;&#1083;&#1077;&#1085;&#1072;\Desktop\&#1041;&#1072;&#1088;&#1076;&#1099;\&#1041;&#1102;&#1076;&#1078;&#1077;&#1090;&#1041;&#1072;&#1088;&#1076;&#1072;.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1045;&#1083;&#1077;&#1085;&#1072;\Desktop\&#1041;&#1072;&#1088;&#1076;&#1099;\&#1041;&#1102;&#1076;&#1078;&#1077;&#1090;&#1041;&#1072;&#1088;&#1076;&#1072;.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1045;&#1083;&#1077;&#1085;&#1072;\Desktop\&#1041;&#1072;&#1088;&#1076;&#1099;\&#1041;&#1102;&#1076;&#1078;&#1077;&#1090;&#1041;&#1072;&#1088;&#1076;&#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1;&#1072;&#1088;&#1076;&#1099;\&#1041;&#1072;&#1088;&#1076;&#1099;%20&#1076;&#1077;&#1084;&#1086;&#1075;&#1088;&#1072;&#1092;&#1080;&#1103;.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H:\&#1055;&#1077;&#1088;&#1084;&#1100;,%20&#1041;&#1072;&#1088;&#1076;&#1099;\&#1042;&#1072;&#1088;&#1080;&#1072;&#1085;&#1090;&#1099;%20&#1088;&#1072;&#1073;&#1086;&#1090;&#1099;\&#1041;&#1102;&#1076;&#1078;&#1077;&#1090;&#1041;&#1072;&#1088;&#1076;&#1072;.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K:\&#1055;&#1077;&#1088;&#1084;&#1100;,%20&#1041;&#1072;&#1088;&#1076;&#1099;\&#1042;&#1072;&#1088;&#1080;&#1072;&#1085;&#1090;&#1099;%20&#1088;&#1072;&#1073;&#1086;&#1090;&#1099;\&#1041;&#1102;&#1076;&#1078;&#1077;&#1090;&#1041;&#1072;&#1088;&#1076;&#1072;.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Users\&#1045;&#1083;&#1077;&#1085;&#1072;\Desktop\&#1041;&#1072;&#1088;&#1076;&#1099;\&#1041;&#1102;&#1076;&#1078;&#1077;&#1090;&#1041;&#1072;&#1088;&#1076;&#1072;.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1045;&#1083;&#1077;&#1085;&#1072;\Desktop\&#1041;&#1072;&#1088;&#1076;&#1099;\&#1041;&#1102;&#1076;&#1078;&#1077;&#1090;&#1041;&#1072;&#1088;&#1076;&#1072;.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Users\&#1045;&#1083;&#1077;&#1085;&#1072;\Desktop\&#1041;&#1072;&#1088;&#1076;&#1099;\&#1041;&#1102;&#1076;&#1078;&#1077;&#1090;&#1041;&#1072;&#1088;&#1076;&#1072;.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1045;&#1083;&#1077;&#1085;&#1072;\Desktop\&#1041;&#1072;&#1088;&#1076;&#1099;\&#1041;&#1102;&#1076;&#1078;&#1077;&#1090;&#1041;&#1072;&#1088;&#1076;&#1072;.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1045;&#1083;&#1077;&#1085;&#1072;\Desktop\&#1041;&#1072;&#1088;&#1076;&#1099;\&#1041;&#1102;&#1076;&#1078;&#1077;&#1090;&#1041;&#1072;&#1088;&#1076;&#1072;.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K:\&#1055;&#1077;&#1088;&#1084;&#1100;,%20&#1041;&#1072;&#1088;&#1076;&#1099;\&#1042;&#1072;&#1088;&#1080;&#1072;&#1085;&#1090;&#1099;%20&#1088;&#1072;&#1073;&#1086;&#1090;&#1099;\&#1041;&#1102;&#1076;&#1078;&#1077;&#1090;&#1041;&#1072;&#1088;&#1076;&#1072;.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1045;&#1083;&#1077;&#1085;&#1072;\Desktop\&#1041;&#1072;&#1088;&#1076;&#1099;\&#1041;&#1102;&#1076;&#1078;&#1077;&#1090;&#1041;&#1072;&#1088;&#1076;&#1072;.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1;&#1072;&#1088;&#1076;&#1099;\&#1041;&#1072;&#1088;&#1076;&#1099;%20&#1076;&#1077;&#1084;&#1086;&#1075;&#1088;&#1072;&#1092;&#1080;&#1103;.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C:\Users\&#1055;&#1086;&#1083;&#1100;&#1079;&#1086;&#1074;&#1072;&#1090;&#1077;&#1083;&#1100;\AppData\Roaming\Microsoft\Excel\Report%20(34)%20(version%202).xls"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C:\Users\&#1055;&#1086;&#1083;&#1100;&#1079;&#1086;&#1074;&#1072;&#1090;&#1077;&#1083;&#1100;\AppData\Roaming\Microsoft\Excel\Report%20(34)%20(version%202).xls"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C:\Users\&#1055;&#1086;&#1083;&#1100;&#1079;&#1086;&#1074;&#1072;&#1090;&#1077;&#1083;&#1100;\AppData\Roaming\Microsoft\Excel\Report%20(34)%20(version%202).xls"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87;&#1088;&#1086;&#1077;&#1082;&#1090;&#1099;\&#1041;&#1072;&#1088;&#1076;&#1099;\Report%20(34)%20(&#1042;&#1086;&#1089;&#1089;&#1090;&#1072;&#1085;&#1086;&#1074;&#1083;&#1077;&#1085;&#1085;&#1099;&#1081;).xls"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87;&#1088;&#1086;&#1077;&#1082;&#1090;&#1099;\&#1041;&#1072;&#1088;&#1076;&#1099;\Report%20(34)%20(&#1042;&#1086;&#1089;&#1089;&#1090;&#1072;&#1085;&#1086;&#1074;&#1083;&#1077;&#1085;&#1085;&#1099;&#1081;).xls"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1;&#1072;&#1088;&#1076;&#1099;\&#1041;&#1072;&#1088;&#1076;&#1099;%20&#1076;&#1077;&#1084;&#1086;&#1075;&#1088;&#1072;&#1092;&#1080;&#1103;.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C:\Users\TenSilon\Desktop\&#1055;&#1077;&#1088;&#1084;&#1100;,%20&#1041;&#1072;&#1088;&#1076;&#1099;\&#1042;&#1072;&#1088;&#1080;&#1072;&#1085;&#1090;&#1099;%20&#1088;&#1072;&#1073;&#1086;&#1090;&#1099;\3.6.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C:\Users\TenSilon\Desktop\&#1055;&#1077;&#1088;&#1084;&#1100;,%20&#1041;&#1072;&#1088;&#1076;&#1099;\&#1042;&#1072;&#1088;&#1080;&#1072;&#1085;&#1090;&#1099;%20&#1088;&#1072;&#1073;&#1086;&#1090;&#1099;\3.6.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C:\Users\TenSilon\Desktop\&#1055;&#1077;&#1088;&#1084;&#1100;,%20&#1041;&#1072;&#1088;&#1076;&#1099;\&#1042;&#1072;&#1088;&#1080;&#1072;&#1085;&#1090;&#1099;%20&#1088;&#1072;&#1073;&#1086;&#1090;&#1099;\3.6.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C:\Users\TenSilon\Desktop\&#1055;&#1077;&#1088;&#1084;&#1100;,%20&#1041;&#1072;&#1088;&#1076;&#1099;\&#1042;&#1072;&#1088;&#1080;&#1072;&#1085;&#1090;&#1099;%20&#1088;&#1072;&#1073;&#1086;&#1090;&#1099;\3.6.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91.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92.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93.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94.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95.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96.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97.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98.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99.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30"/>
      <c:rotY val="37"/>
      <c:perspective val="30"/>
    </c:view3D>
    <c:plotArea>
      <c:layout/>
      <c:pie3DChart>
        <c:varyColors val="1"/>
        <c:ser>
          <c:idx val="0"/>
          <c:order val="0"/>
          <c:dLbls>
            <c:dLbl>
              <c:idx val="3"/>
              <c:layout>
                <c:manualLayout>
                  <c:x val="1.4667389492536843E-3"/>
                  <c:y val="0.14935236439269794"/>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2F3-4E1F-9134-5319D9EE60EF}"/>
                </c:ext>
              </c:extLst>
            </c:dLbl>
            <c:spPr>
              <a:noFill/>
              <a:ln>
                <a:noFill/>
              </a:ln>
              <a:effectLst/>
            </c:spPr>
            <c:txPr>
              <a:bodyPr/>
              <a:lstStyle/>
              <a:p>
                <a:pPr>
                  <a:defRPr sz="900" baseline="0">
                    <a:latin typeface="Times New Roman" pitchFamily="18" charset="0"/>
                  </a:defRPr>
                </a:pPr>
                <a:endParaRPr lang="ru-RU"/>
              </a:p>
            </c:txPr>
            <c:showVal val="1"/>
            <c:showCatName val="1"/>
            <c:showLeaderLines val="1"/>
            <c:extLst xmlns:c16r2="http://schemas.microsoft.com/office/drawing/2015/06/chart">
              <c:ext xmlns:c15="http://schemas.microsoft.com/office/drawing/2012/chart" uri="{CE6537A1-D6FC-4f65-9D91-7224C49458BB}"/>
            </c:extLst>
          </c:dLbls>
          <c:cat>
            <c:strRef>
              <c:f>'Плотность населения'!$A$5:$A$16</c:f>
              <c:strCache>
                <c:ptCount val="12"/>
                <c:pt idx="0">
                  <c:v>Бардымское сельское поселение</c:v>
                </c:pt>
                <c:pt idx="1">
                  <c:v>Красноярское сельское поселение</c:v>
                </c:pt>
                <c:pt idx="2">
                  <c:v>Елпачихинское сельское поселение</c:v>
                </c:pt>
                <c:pt idx="3">
                  <c:v>Сарашевское сельское поселение</c:v>
                </c:pt>
                <c:pt idx="4">
                  <c:v>Березниковское сельское поселение</c:v>
                </c:pt>
                <c:pt idx="5">
                  <c:v>Бичуринское сельское поселение</c:v>
                </c:pt>
                <c:pt idx="6">
                  <c:v>Брюзлинское сельское поселение</c:v>
                </c:pt>
                <c:pt idx="7">
                  <c:v>Тюндюковское сельское поселение</c:v>
                </c:pt>
                <c:pt idx="8">
                  <c:v>Печменское сельское поселение</c:v>
                </c:pt>
                <c:pt idx="9">
                  <c:v>Федорковское сельское поселение</c:v>
                </c:pt>
                <c:pt idx="10">
                  <c:v>Новоашапское сельское поселение</c:v>
                </c:pt>
                <c:pt idx="11">
                  <c:v>Шермейское сельское поселение</c:v>
                </c:pt>
              </c:strCache>
            </c:strRef>
          </c:cat>
          <c:val>
            <c:numRef>
              <c:f>'Плотность населения'!$E$5:$E$16</c:f>
              <c:numCache>
                <c:formatCode>0.0%</c:formatCode>
                <c:ptCount val="12"/>
                <c:pt idx="0">
                  <c:v>0.38855719425883256</c:v>
                </c:pt>
                <c:pt idx="1">
                  <c:v>8.8924914001028268E-2</c:v>
                </c:pt>
                <c:pt idx="2">
                  <c:v>7.575817484480811E-2</c:v>
                </c:pt>
                <c:pt idx="3">
                  <c:v>9.8335376220791859E-2</c:v>
                </c:pt>
                <c:pt idx="4">
                  <c:v>5.3932228856116579E-2</c:v>
                </c:pt>
                <c:pt idx="5">
                  <c:v>6.5319678937172651E-2</c:v>
                </c:pt>
                <c:pt idx="6">
                  <c:v>3.1315487722905412E-2</c:v>
                </c:pt>
                <c:pt idx="7">
                  <c:v>5.1876161480368506E-2</c:v>
                </c:pt>
                <c:pt idx="8">
                  <c:v>6.3540389862006302E-2</c:v>
                </c:pt>
                <c:pt idx="9">
                  <c:v>4.6815072555454466E-2</c:v>
                </c:pt>
                <c:pt idx="10">
                  <c:v>1.6685777549326236E-2</c:v>
                </c:pt>
                <c:pt idx="11">
                  <c:v>1.8939543711201625E-2</c:v>
                </c:pt>
              </c:numCache>
            </c:numRef>
          </c:val>
          <c:extLst xmlns:c16r2="http://schemas.microsoft.com/office/drawing/2015/06/chart">
            <c:ext xmlns:c16="http://schemas.microsoft.com/office/drawing/2014/chart" uri="{C3380CC4-5D6E-409C-BE32-E72D297353CC}">
              <c16:uniqueId val="{00000001-42F3-4E1F-9134-5319D9EE60EF}"/>
            </c:ext>
          </c:extLst>
        </c:ser>
      </c:pie3DChart>
    </c:plotArea>
    <c:plotVisOnly val="1"/>
    <c:dispBlanksAs val="zero"/>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'Соц. образование'!$C$12</c:f>
              <c:strCache>
                <c:ptCount val="1"/>
                <c:pt idx="0">
                  <c:v> обучающиеся во 2-3 смену, человек</c:v>
                </c:pt>
              </c:strCache>
            </c:strRef>
          </c:tx>
          <c:dLbls>
            <c:spPr>
              <a:noFill/>
              <a:ln>
                <a:noFill/>
              </a:ln>
              <a:effectLst/>
            </c:spPr>
            <c:txPr>
              <a:bodyPr/>
              <a:lstStyle/>
              <a:p>
                <a:pPr>
                  <a:defRPr sz="1050"/>
                </a:pPr>
                <a:endParaRPr lang="ru-RU"/>
              </a:p>
            </c:txPr>
            <c:showVal val="1"/>
            <c:extLst xmlns:c16r2="http://schemas.microsoft.com/office/drawing/2015/06/chart">
              <c:ext xmlns:c15="http://schemas.microsoft.com/office/drawing/2012/chart" uri="{CE6537A1-D6FC-4f65-9D91-7224C49458BB}">
                <c15:showLeaderLines val="0"/>
              </c:ext>
            </c:extLst>
          </c:dLbls>
          <c:cat>
            <c:strRef>
              <c:f>'Соц. образование'!$B$13:$B$19</c:f>
              <c:strCache>
                <c:ptCount val="7"/>
                <c:pt idx="0">
                  <c:v>01.01.2011 г.</c:v>
                </c:pt>
                <c:pt idx="1">
                  <c:v>01.01.2012 г.</c:v>
                </c:pt>
                <c:pt idx="2">
                  <c:v>01.01.2013 г.</c:v>
                </c:pt>
                <c:pt idx="3">
                  <c:v>01.01.2014 г.</c:v>
                </c:pt>
                <c:pt idx="4">
                  <c:v>01.01.2015 г.</c:v>
                </c:pt>
                <c:pt idx="5">
                  <c:v>01.01.2016 г.</c:v>
                </c:pt>
                <c:pt idx="6">
                  <c:v>01.01.2017 г.</c:v>
                </c:pt>
              </c:strCache>
            </c:strRef>
          </c:cat>
          <c:val>
            <c:numRef>
              <c:f>'Соц. образование'!$C$13:$C$19</c:f>
              <c:numCache>
                <c:formatCode>General</c:formatCode>
                <c:ptCount val="7"/>
                <c:pt idx="0">
                  <c:v>26</c:v>
                </c:pt>
                <c:pt idx="1">
                  <c:v>443</c:v>
                </c:pt>
                <c:pt idx="2">
                  <c:v>457</c:v>
                </c:pt>
                <c:pt idx="3">
                  <c:v>398</c:v>
                </c:pt>
                <c:pt idx="4">
                  <c:v>355</c:v>
                </c:pt>
                <c:pt idx="5">
                  <c:v>449</c:v>
                </c:pt>
                <c:pt idx="6">
                  <c:v>381</c:v>
                </c:pt>
              </c:numCache>
            </c:numRef>
          </c:val>
          <c:extLst xmlns:c16r2="http://schemas.microsoft.com/office/drawing/2015/06/chart">
            <c:ext xmlns:c16="http://schemas.microsoft.com/office/drawing/2014/chart" uri="{C3380CC4-5D6E-409C-BE32-E72D297353CC}">
              <c16:uniqueId val="{00000000-0115-44D3-8322-DBD51426005D}"/>
            </c:ext>
          </c:extLst>
        </c:ser>
        <c:axId val="170525824"/>
        <c:axId val="170527360"/>
      </c:barChart>
      <c:catAx>
        <c:axId val="170525824"/>
        <c:scaling>
          <c:orientation val="minMax"/>
        </c:scaling>
        <c:axPos val="b"/>
        <c:numFmt formatCode="General" sourceLinked="0"/>
        <c:tickLblPos val="nextTo"/>
        <c:crossAx val="170527360"/>
        <c:crosses val="autoZero"/>
        <c:auto val="1"/>
        <c:lblAlgn val="ctr"/>
        <c:lblOffset val="100"/>
      </c:catAx>
      <c:valAx>
        <c:axId val="170527360"/>
        <c:scaling>
          <c:orientation val="minMax"/>
        </c:scaling>
        <c:axPos val="l"/>
        <c:majorGridlines/>
        <c:numFmt formatCode="General" sourceLinked="1"/>
        <c:tickLblPos val="nextTo"/>
        <c:crossAx val="170525824"/>
        <c:crosses val="autoZero"/>
        <c:crossBetween val="between"/>
      </c:valAx>
    </c:plotArea>
    <c:plotVisOnly val="1"/>
    <c:dispBlanksAs val="gap"/>
  </c:chart>
  <c:spPr>
    <a:ln>
      <a:noFill/>
    </a:ln>
  </c:spPr>
  <c:externalData r:id="rId1"/>
</c:chartSpace>
</file>

<file path=word/charts/chart100.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Лист9!$C$74</c:f>
              <c:strCache>
                <c:ptCount val="1"/>
                <c:pt idx="0">
                  <c:v>доходы</c:v>
                </c:pt>
              </c:strCache>
            </c:strRef>
          </c:tx>
          <c:spPr>
            <a:noFill/>
          </c:spPr>
          <c:cat>
            <c:strRef>
              <c:f>Лист9!$B$75:$B$81</c:f>
              <c:strCache>
                <c:ptCount val="7"/>
                <c:pt idx="0">
                  <c:v>2010 год</c:v>
                </c:pt>
                <c:pt idx="1">
                  <c:v>2011 год</c:v>
                </c:pt>
                <c:pt idx="2">
                  <c:v>2012 год</c:v>
                </c:pt>
                <c:pt idx="3">
                  <c:v>2013 год</c:v>
                </c:pt>
                <c:pt idx="4">
                  <c:v>2014 год</c:v>
                </c:pt>
                <c:pt idx="5">
                  <c:v>2015 год</c:v>
                </c:pt>
                <c:pt idx="6">
                  <c:v>2016 год</c:v>
                </c:pt>
              </c:strCache>
            </c:strRef>
          </c:cat>
          <c:val>
            <c:numRef>
              <c:f>Лист9!$C$75:$C$81</c:f>
              <c:numCache>
                <c:formatCode>General</c:formatCode>
                <c:ptCount val="7"/>
                <c:pt idx="0">
                  <c:v>5508</c:v>
                </c:pt>
                <c:pt idx="1">
                  <c:v>5753.5</c:v>
                </c:pt>
                <c:pt idx="2">
                  <c:v>6359.6</c:v>
                </c:pt>
                <c:pt idx="3">
                  <c:v>7200</c:v>
                </c:pt>
                <c:pt idx="4">
                  <c:v>7060.4000000000005</c:v>
                </c:pt>
                <c:pt idx="5">
                  <c:v>8161.2999999999993</c:v>
                </c:pt>
                <c:pt idx="6">
                  <c:v>9126.7000000000007</c:v>
                </c:pt>
              </c:numCache>
            </c:numRef>
          </c:val>
          <c:extLst xmlns:c16r2="http://schemas.microsoft.com/office/drawing/2015/06/chart">
            <c:ext xmlns:c16="http://schemas.microsoft.com/office/drawing/2014/chart" uri="{C3380CC4-5D6E-409C-BE32-E72D297353CC}">
              <c16:uniqueId val="{00000000-8A00-4714-ABA0-07C1196DAB2E}"/>
            </c:ext>
          </c:extLst>
        </c:ser>
        <c:ser>
          <c:idx val="1"/>
          <c:order val="1"/>
          <c:tx>
            <c:strRef>
              <c:f>Лист9!$E$74</c:f>
              <c:strCache>
                <c:ptCount val="1"/>
                <c:pt idx="0">
                  <c:v>Дефицит/профицит</c:v>
                </c:pt>
              </c:strCache>
            </c:strRef>
          </c:tx>
          <c:spPr>
            <a:blipFill>
              <a:blip xmlns:r="http://schemas.openxmlformats.org/officeDocument/2006/relationships" r:embed="rId1"/>
              <a:tile tx="0" ty="0" sx="100000" sy="100000" flip="none" algn="tl"/>
            </a:blipFill>
          </c:spPr>
          <c:dLbls>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Лист9!$B$75:$B$81</c:f>
              <c:strCache>
                <c:ptCount val="7"/>
                <c:pt idx="0">
                  <c:v>2010 год</c:v>
                </c:pt>
                <c:pt idx="1">
                  <c:v>2011 год</c:v>
                </c:pt>
                <c:pt idx="2">
                  <c:v>2012 год</c:v>
                </c:pt>
                <c:pt idx="3">
                  <c:v>2013 год</c:v>
                </c:pt>
                <c:pt idx="4">
                  <c:v>2014 год</c:v>
                </c:pt>
                <c:pt idx="5">
                  <c:v>2015 год</c:v>
                </c:pt>
                <c:pt idx="6">
                  <c:v>2016 год</c:v>
                </c:pt>
              </c:strCache>
            </c:strRef>
          </c:cat>
          <c:val>
            <c:numRef>
              <c:f>Лист9!$E$75:$E$81</c:f>
              <c:numCache>
                <c:formatCode>General</c:formatCode>
                <c:ptCount val="7"/>
                <c:pt idx="0">
                  <c:v>-93.899999999999636</c:v>
                </c:pt>
                <c:pt idx="1">
                  <c:v>-544.5</c:v>
                </c:pt>
                <c:pt idx="2">
                  <c:v>-12.200000000000728</c:v>
                </c:pt>
                <c:pt idx="3">
                  <c:v>-100.60000000000035</c:v>
                </c:pt>
                <c:pt idx="4">
                  <c:v>119.19999999999982</c:v>
                </c:pt>
                <c:pt idx="5">
                  <c:v>41</c:v>
                </c:pt>
                <c:pt idx="6">
                  <c:v>-111.10000000000035</c:v>
                </c:pt>
              </c:numCache>
            </c:numRef>
          </c:val>
          <c:extLst xmlns:c16r2="http://schemas.microsoft.com/office/drawing/2015/06/chart">
            <c:ext xmlns:c16="http://schemas.microsoft.com/office/drawing/2014/chart" uri="{C3380CC4-5D6E-409C-BE32-E72D297353CC}">
              <c16:uniqueId val="{00000001-8A00-4714-ABA0-07C1196DAB2E}"/>
            </c:ext>
          </c:extLst>
        </c:ser>
        <c:axId val="190801792"/>
        <c:axId val="190803328"/>
      </c:areaChart>
      <c:lineChart>
        <c:grouping val="standard"/>
        <c:ser>
          <c:idx val="2"/>
          <c:order val="2"/>
          <c:tx>
            <c:strRef>
              <c:f>Лист9!$C$74</c:f>
              <c:strCache>
                <c:ptCount val="1"/>
                <c:pt idx="0">
                  <c:v>доходы</c:v>
                </c:pt>
              </c:strCache>
            </c:strRef>
          </c:tx>
          <c:cat>
            <c:strRef>
              <c:f>Лист9!$B$75:$B$81</c:f>
              <c:strCache>
                <c:ptCount val="7"/>
                <c:pt idx="0">
                  <c:v>2010 год</c:v>
                </c:pt>
                <c:pt idx="1">
                  <c:v>2011 год</c:v>
                </c:pt>
                <c:pt idx="2">
                  <c:v>2012 год</c:v>
                </c:pt>
                <c:pt idx="3">
                  <c:v>2013 год</c:v>
                </c:pt>
                <c:pt idx="4">
                  <c:v>2014 год</c:v>
                </c:pt>
                <c:pt idx="5">
                  <c:v>2015 год</c:v>
                </c:pt>
                <c:pt idx="6">
                  <c:v>2016 год</c:v>
                </c:pt>
              </c:strCache>
            </c:strRef>
          </c:cat>
          <c:val>
            <c:numRef>
              <c:f>Лист9!$C$75:$C$81</c:f>
              <c:numCache>
                <c:formatCode>General</c:formatCode>
                <c:ptCount val="7"/>
                <c:pt idx="0">
                  <c:v>5508</c:v>
                </c:pt>
                <c:pt idx="1">
                  <c:v>5753.5</c:v>
                </c:pt>
                <c:pt idx="2">
                  <c:v>6359.6</c:v>
                </c:pt>
                <c:pt idx="3">
                  <c:v>7200</c:v>
                </c:pt>
                <c:pt idx="4">
                  <c:v>7060.4000000000005</c:v>
                </c:pt>
                <c:pt idx="5">
                  <c:v>8161.2999999999993</c:v>
                </c:pt>
                <c:pt idx="6">
                  <c:v>9126.7000000000007</c:v>
                </c:pt>
              </c:numCache>
            </c:numRef>
          </c:val>
          <c:extLst xmlns:c16r2="http://schemas.microsoft.com/office/drawing/2015/06/chart">
            <c:ext xmlns:c16="http://schemas.microsoft.com/office/drawing/2014/chart" uri="{C3380CC4-5D6E-409C-BE32-E72D297353CC}">
              <c16:uniqueId val="{00000002-8A00-4714-ABA0-07C1196DAB2E}"/>
            </c:ext>
          </c:extLst>
        </c:ser>
        <c:ser>
          <c:idx val="3"/>
          <c:order val="3"/>
          <c:tx>
            <c:strRef>
              <c:f>Лист9!$D$74</c:f>
              <c:strCache>
                <c:ptCount val="1"/>
                <c:pt idx="0">
                  <c:v>расходы</c:v>
                </c:pt>
              </c:strCache>
            </c:strRef>
          </c:tx>
          <c:cat>
            <c:strRef>
              <c:f>Лист9!$B$75:$B$81</c:f>
              <c:strCache>
                <c:ptCount val="7"/>
                <c:pt idx="0">
                  <c:v>2010 год</c:v>
                </c:pt>
                <c:pt idx="1">
                  <c:v>2011 год</c:v>
                </c:pt>
                <c:pt idx="2">
                  <c:v>2012 год</c:v>
                </c:pt>
                <c:pt idx="3">
                  <c:v>2013 год</c:v>
                </c:pt>
                <c:pt idx="4">
                  <c:v>2014 год</c:v>
                </c:pt>
                <c:pt idx="5">
                  <c:v>2015 год</c:v>
                </c:pt>
                <c:pt idx="6">
                  <c:v>2016 год</c:v>
                </c:pt>
              </c:strCache>
            </c:strRef>
          </c:cat>
          <c:val>
            <c:numRef>
              <c:f>Лист9!$D$75:$D$81</c:f>
              <c:numCache>
                <c:formatCode>General</c:formatCode>
                <c:ptCount val="7"/>
                <c:pt idx="0">
                  <c:v>5414.1</c:v>
                </c:pt>
                <c:pt idx="1">
                  <c:v>5209</c:v>
                </c:pt>
                <c:pt idx="2">
                  <c:v>6347.4</c:v>
                </c:pt>
                <c:pt idx="3">
                  <c:v>7099.4</c:v>
                </c:pt>
                <c:pt idx="4">
                  <c:v>7179.6</c:v>
                </c:pt>
                <c:pt idx="5">
                  <c:v>8202.2999999999811</c:v>
                </c:pt>
                <c:pt idx="6">
                  <c:v>9015.6</c:v>
                </c:pt>
              </c:numCache>
            </c:numRef>
          </c:val>
          <c:extLst xmlns:c16r2="http://schemas.microsoft.com/office/drawing/2015/06/chart">
            <c:ext xmlns:c16="http://schemas.microsoft.com/office/drawing/2014/chart" uri="{C3380CC4-5D6E-409C-BE32-E72D297353CC}">
              <c16:uniqueId val="{00000003-8A00-4714-ABA0-07C1196DAB2E}"/>
            </c:ext>
          </c:extLst>
        </c:ser>
        <c:marker val="1"/>
        <c:axId val="190801792"/>
        <c:axId val="190803328"/>
      </c:lineChart>
      <c:catAx>
        <c:axId val="190801792"/>
        <c:scaling>
          <c:orientation val="minMax"/>
        </c:scaling>
        <c:axPos val="b"/>
        <c:numFmt formatCode="General" sourceLinked="0"/>
        <c:tickLblPos val="nextTo"/>
        <c:crossAx val="190803328"/>
        <c:crosses val="autoZero"/>
        <c:auto val="1"/>
        <c:lblAlgn val="ctr"/>
        <c:lblOffset val="100"/>
      </c:catAx>
      <c:valAx>
        <c:axId val="190803328"/>
        <c:scaling>
          <c:orientation val="minMax"/>
        </c:scaling>
        <c:axPos val="l"/>
        <c:majorGridlines/>
        <c:numFmt formatCode="General" sourceLinked="1"/>
        <c:tickLblPos val="nextTo"/>
        <c:crossAx val="190801792"/>
        <c:crosses val="autoZero"/>
        <c:crossBetween val="between"/>
      </c:valAx>
    </c:plotArea>
    <c:legend>
      <c:legendPos val="b"/>
      <c:legendEntry>
        <c:idx val="0"/>
        <c:delete val="1"/>
      </c:legendEntry>
    </c:legend>
    <c:plotVisOnly val="1"/>
    <c:dispBlanksAs val="zero"/>
  </c:chart>
  <c:spPr>
    <a:ln>
      <a:noFill/>
    </a:ln>
  </c:spPr>
  <c:externalData r:id="rId2"/>
</c:chartSpace>
</file>

<file path=word/charts/chart101.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Лист9!$C$82</c:f>
              <c:strCache>
                <c:ptCount val="1"/>
                <c:pt idx="0">
                  <c:v>доходы</c:v>
                </c:pt>
              </c:strCache>
            </c:strRef>
          </c:tx>
          <c:spPr>
            <a:noFill/>
          </c:spPr>
          <c:cat>
            <c:strRef>
              <c:f>Лист9!$B$83:$B$89</c:f>
              <c:strCache>
                <c:ptCount val="7"/>
                <c:pt idx="0">
                  <c:v>2010 год</c:v>
                </c:pt>
                <c:pt idx="1">
                  <c:v>2011 год</c:v>
                </c:pt>
                <c:pt idx="2">
                  <c:v>2012 год</c:v>
                </c:pt>
                <c:pt idx="3">
                  <c:v>2013 год</c:v>
                </c:pt>
                <c:pt idx="4">
                  <c:v>2014 год</c:v>
                </c:pt>
                <c:pt idx="5">
                  <c:v>2015 год</c:v>
                </c:pt>
                <c:pt idx="6">
                  <c:v>2016 год</c:v>
                </c:pt>
              </c:strCache>
            </c:strRef>
          </c:cat>
          <c:val>
            <c:numRef>
              <c:f>Лист9!$C$83:$C$89</c:f>
              <c:numCache>
                <c:formatCode>General</c:formatCode>
                <c:ptCount val="7"/>
                <c:pt idx="0">
                  <c:v>4311</c:v>
                </c:pt>
                <c:pt idx="1">
                  <c:v>4781.7</c:v>
                </c:pt>
                <c:pt idx="2">
                  <c:v>5723.9</c:v>
                </c:pt>
                <c:pt idx="3">
                  <c:v>5840.2999999999993</c:v>
                </c:pt>
                <c:pt idx="4">
                  <c:v>5607.8</c:v>
                </c:pt>
                <c:pt idx="5">
                  <c:v>6899</c:v>
                </c:pt>
                <c:pt idx="6">
                  <c:v>6331.2000000000007</c:v>
                </c:pt>
              </c:numCache>
            </c:numRef>
          </c:val>
          <c:extLst xmlns:c16r2="http://schemas.microsoft.com/office/drawing/2015/06/chart">
            <c:ext xmlns:c16="http://schemas.microsoft.com/office/drawing/2014/chart" uri="{C3380CC4-5D6E-409C-BE32-E72D297353CC}">
              <c16:uniqueId val="{00000000-C4CB-430F-A11C-BD1F622424C7}"/>
            </c:ext>
          </c:extLst>
        </c:ser>
        <c:ser>
          <c:idx val="1"/>
          <c:order val="1"/>
          <c:tx>
            <c:strRef>
              <c:f>Лист9!$E$82</c:f>
              <c:strCache>
                <c:ptCount val="1"/>
                <c:pt idx="0">
                  <c:v>Дефицит/профицит</c:v>
                </c:pt>
              </c:strCache>
            </c:strRef>
          </c:tx>
          <c:spPr>
            <a:blipFill>
              <a:blip xmlns:r="http://schemas.openxmlformats.org/officeDocument/2006/relationships" r:embed="rId1"/>
              <a:tile tx="0" ty="0" sx="100000" sy="100000" flip="none" algn="tl"/>
            </a:blip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Лист9!$B$83:$B$89</c:f>
              <c:strCache>
                <c:ptCount val="7"/>
                <c:pt idx="0">
                  <c:v>2010 год</c:v>
                </c:pt>
                <c:pt idx="1">
                  <c:v>2011 год</c:v>
                </c:pt>
                <c:pt idx="2">
                  <c:v>2012 год</c:v>
                </c:pt>
                <c:pt idx="3">
                  <c:v>2013 год</c:v>
                </c:pt>
                <c:pt idx="4">
                  <c:v>2014 год</c:v>
                </c:pt>
                <c:pt idx="5">
                  <c:v>2015 год</c:v>
                </c:pt>
                <c:pt idx="6">
                  <c:v>2016 год</c:v>
                </c:pt>
              </c:strCache>
            </c:strRef>
          </c:cat>
          <c:val>
            <c:numRef>
              <c:f>Лист9!$E$83:$E$89</c:f>
              <c:numCache>
                <c:formatCode>General</c:formatCode>
                <c:ptCount val="7"/>
                <c:pt idx="0">
                  <c:v>-4.6999999999998181</c:v>
                </c:pt>
                <c:pt idx="1">
                  <c:v>-30.699999999999818</c:v>
                </c:pt>
                <c:pt idx="2">
                  <c:v>-33.399999999999636</c:v>
                </c:pt>
                <c:pt idx="3">
                  <c:v>185.30000000000109</c:v>
                </c:pt>
                <c:pt idx="4">
                  <c:v>-1088</c:v>
                </c:pt>
                <c:pt idx="5">
                  <c:v>-34.600000000000364</c:v>
                </c:pt>
                <c:pt idx="6">
                  <c:v>-66.300000000001049</c:v>
                </c:pt>
              </c:numCache>
            </c:numRef>
          </c:val>
          <c:extLst xmlns:c16r2="http://schemas.microsoft.com/office/drawing/2015/06/chart">
            <c:ext xmlns:c16="http://schemas.microsoft.com/office/drawing/2014/chart" uri="{C3380CC4-5D6E-409C-BE32-E72D297353CC}">
              <c16:uniqueId val="{00000001-C4CB-430F-A11C-BD1F622424C7}"/>
            </c:ext>
          </c:extLst>
        </c:ser>
        <c:axId val="190870656"/>
        <c:axId val="190872192"/>
      </c:areaChart>
      <c:lineChart>
        <c:grouping val="standard"/>
        <c:ser>
          <c:idx val="2"/>
          <c:order val="2"/>
          <c:tx>
            <c:strRef>
              <c:f>Лист9!$C$82</c:f>
              <c:strCache>
                <c:ptCount val="1"/>
                <c:pt idx="0">
                  <c:v>доходы</c:v>
                </c:pt>
              </c:strCache>
            </c:strRef>
          </c:tx>
          <c:cat>
            <c:strRef>
              <c:f>Лист9!$B$83:$B$89</c:f>
              <c:strCache>
                <c:ptCount val="7"/>
                <c:pt idx="0">
                  <c:v>2010 год</c:v>
                </c:pt>
                <c:pt idx="1">
                  <c:v>2011 год</c:v>
                </c:pt>
                <c:pt idx="2">
                  <c:v>2012 год</c:v>
                </c:pt>
                <c:pt idx="3">
                  <c:v>2013 год</c:v>
                </c:pt>
                <c:pt idx="4">
                  <c:v>2014 год</c:v>
                </c:pt>
                <c:pt idx="5">
                  <c:v>2015 год</c:v>
                </c:pt>
                <c:pt idx="6">
                  <c:v>2016 год</c:v>
                </c:pt>
              </c:strCache>
            </c:strRef>
          </c:cat>
          <c:val>
            <c:numRef>
              <c:f>Лист9!$C$83:$C$89</c:f>
              <c:numCache>
                <c:formatCode>General</c:formatCode>
                <c:ptCount val="7"/>
                <c:pt idx="0">
                  <c:v>4311</c:v>
                </c:pt>
                <c:pt idx="1">
                  <c:v>4781.7</c:v>
                </c:pt>
                <c:pt idx="2">
                  <c:v>5723.9</c:v>
                </c:pt>
                <c:pt idx="3">
                  <c:v>5840.2999999999993</c:v>
                </c:pt>
                <c:pt idx="4">
                  <c:v>5607.8</c:v>
                </c:pt>
                <c:pt idx="5">
                  <c:v>6899</c:v>
                </c:pt>
                <c:pt idx="6">
                  <c:v>6331.2000000000007</c:v>
                </c:pt>
              </c:numCache>
            </c:numRef>
          </c:val>
          <c:extLst xmlns:c16r2="http://schemas.microsoft.com/office/drawing/2015/06/chart">
            <c:ext xmlns:c16="http://schemas.microsoft.com/office/drawing/2014/chart" uri="{C3380CC4-5D6E-409C-BE32-E72D297353CC}">
              <c16:uniqueId val="{00000002-C4CB-430F-A11C-BD1F622424C7}"/>
            </c:ext>
          </c:extLst>
        </c:ser>
        <c:ser>
          <c:idx val="3"/>
          <c:order val="3"/>
          <c:tx>
            <c:strRef>
              <c:f>Лист9!$D$82</c:f>
              <c:strCache>
                <c:ptCount val="1"/>
                <c:pt idx="0">
                  <c:v>расходы</c:v>
                </c:pt>
              </c:strCache>
            </c:strRef>
          </c:tx>
          <c:cat>
            <c:strRef>
              <c:f>Лист9!$B$83:$B$89</c:f>
              <c:strCache>
                <c:ptCount val="7"/>
                <c:pt idx="0">
                  <c:v>2010 год</c:v>
                </c:pt>
                <c:pt idx="1">
                  <c:v>2011 год</c:v>
                </c:pt>
                <c:pt idx="2">
                  <c:v>2012 год</c:v>
                </c:pt>
                <c:pt idx="3">
                  <c:v>2013 год</c:v>
                </c:pt>
                <c:pt idx="4">
                  <c:v>2014 год</c:v>
                </c:pt>
                <c:pt idx="5">
                  <c:v>2015 год</c:v>
                </c:pt>
                <c:pt idx="6">
                  <c:v>2016 год</c:v>
                </c:pt>
              </c:strCache>
            </c:strRef>
          </c:cat>
          <c:val>
            <c:numRef>
              <c:f>Лист9!$D$83:$D$89</c:f>
              <c:numCache>
                <c:formatCode>General</c:formatCode>
                <c:ptCount val="7"/>
                <c:pt idx="0">
                  <c:v>4306.3</c:v>
                </c:pt>
                <c:pt idx="1">
                  <c:v>4751</c:v>
                </c:pt>
                <c:pt idx="2">
                  <c:v>5690.5</c:v>
                </c:pt>
                <c:pt idx="3">
                  <c:v>6025.6</c:v>
                </c:pt>
                <c:pt idx="4">
                  <c:v>4519.8</c:v>
                </c:pt>
                <c:pt idx="5">
                  <c:v>6864.4</c:v>
                </c:pt>
                <c:pt idx="6">
                  <c:v>6264.9</c:v>
                </c:pt>
              </c:numCache>
            </c:numRef>
          </c:val>
          <c:extLst xmlns:c16r2="http://schemas.microsoft.com/office/drawing/2015/06/chart">
            <c:ext xmlns:c16="http://schemas.microsoft.com/office/drawing/2014/chart" uri="{C3380CC4-5D6E-409C-BE32-E72D297353CC}">
              <c16:uniqueId val="{00000003-C4CB-430F-A11C-BD1F622424C7}"/>
            </c:ext>
          </c:extLst>
        </c:ser>
        <c:marker val="1"/>
        <c:axId val="190870656"/>
        <c:axId val="190872192"/>
      </c:lineChart>
      <c:catAx>
        <c:axId val="190870656"/>
        <c:scaling>
          <c:orientation val="minMax"/>
        </c:scaling>
        <c:axPos val="b"/>
        <c:numFmt formatCode="General" sourceLinked="0"/>
        <c:tickLblPos val="nextTo"/>
        <c:crossAx val="190872192"/>
        <c:crosses val="autoZero"/>
        <c:auto val="1"/>
        <c:lblAlgn val="ctr"/>
        <c:lblOffset val="100"/>
      </c:catAx>
      <c:valAx>
        <c:axId val="190872192"/>
        <c:scaling>
          <c:orientation val="minMax"/>
        </c:scaling>
        <c:axPos val="l"/>
        <c:majorGridlines/>
        <c:numFmt formatCode="General" sourceLinked="1"/>
        <c:tickLblPos val="nextTo"/>
        <c:crossAx val="190870656"/>
        <c:crosses val="autoZero"/>
        <c:crossBetween val="between"/>
      </c:valAx>
    </c:plotArea>
    <c:legend>
      <c:legendPos val="b"/>
      <c:legendEntry>
        <c:idx val="0"/>
        <c:delete val="1"/>
      </c:legendEntry>
    </c:legend>
    <c:plotVisOnly val="1"/>
    <c:dispBlanksAs val="zero"/>
  </c:chart>
  <c:spPr>
    <a:ln>
      <a:noFill/>
    </a:ln>
  </c:spPr>
  <c:externalData r:id="rId2"/>
</c:chartSpace>
</file>

<file path=word/charts/chart102.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Лист9!$C$90</c:f>
              <c:strCache>
                <c:ptCount val="1"/>
                <c:pt idx="0">
                  <c:v>доходы</c:v>
                </c:pt>
              </c:strCache>
            </c:strRef>
          </c:tx>
          <c:spPr>
            <a:noFill/>
          </c:spPr>
          <c:cat>
            <c:strRef>
              <c:f>Лист9!$B$91:$B$97</c:f>
              <c:strCache>
                <c:ptCount val="7"/>
                <c:pt idx="0">
                  <c:v>2010 год</c:v>
                </c:pt>
                <c:pt idx="1">
                  <c:v>2011 год</c:v>
                </c:pt>
                <c:pt idx="2">
                  <c:v>2012 год</c:v>
                </c:pt>
                <c:pt idx="3">
                  <c:v>2013 год</c:v>
                </c:pt>
                <c:pt idx="4">
                  <c:v>2014 год</c:v>
                </c:pt>
                <c:pt idx="5">
                  <c:v>2015 год</c:v>
                </c:pt>
                <c:pt idx="6">
                  <c:v>2016 год</c:v>
                </c:pt>
              </c:strCache>
            </c:strRef>
          </c:cat>
          <c:val>
            <c:numRef>
              <c:f>Лист9!$C$91:$C$97</c:f>
              <c:numCache>
                <c:formatCode>General</c:formatCode>
                <c:ptCount val="7"/>
                <c:pt idx="0">
                  <c:v>3735</c:v>
                </c:pt>
                <c:pt idx="1">
                  <c:v>3262.4</c:v>
                </c:pt>
                <c:pt idx="2">
                  <c:v>4239.8</c:v>
                </c:pt>
                <c:pt idx="3">
                  <c:v>5121.7</c:v>
                </c:pt>
                <c:pt idx="4">
                  <c:v>4361.7000000000007</c:v>
                </c:pt>
                <c:pt idx="5">
                  <c:v>4938.4000000000005</c:v>
                </c:pt>
                <c:pt idx="6">
                  <c:v>4573.1000000000004</c:v>
                </c:pt>
              </c:numCache>
            </c:numRef>
          </c:val>
          <c:extLst xmlns:c16r2="http://schemas.microsoft.com/office/drawing/2015/06/chart">
            <c:ext xmlns:c16="http://schemas.microsoft.com/office/drawing/2014/chart" uri="{C3380CC4-5D6E-409C-BE32-E72D297353CC}">
              <c16:uniqueId val="{00000000-BF05-4EC3-8F95-ECC438F706D8}"/>
            </c:ext>
          </c:extLst>
        </c:ser>
        <c:ser>
          <c:idx val="1"/>
          <c:order val="1"/>
          <c:tx>
            <c:strRef>
              <c:f>Лист9!$E$90</c:f>
              <c:strCache>
                <c:ptCount val="1"/>
                <c:pt idx="0">
                  <c:v>Дефицит/профицит</c:v>
                </c:pt>
              </c:strCache>
            </c:strRef>
          </c:tx>
          <c:spPr>
            <a:blipFill>
              <a:blip xmlns:r="http://schemas.openxmlformats.org/officeDocument/2006/relationships" r:embed="rId1"/>
              <a:tile tx="0" ty="0" sx="100000" sy="100000" flip="none" algn="tl"/>
            </a:blipFill>
          </c:spPr>
          <c:dLbls>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Лист9!$B$91:$B$97</c:f>
              <c:strCache>
                <c:ptCount val="7"/>
                <c:pt idx="0">
                  <c:v>2010 год</c:v>
                </c:pt>
                <c:pt idx="1">
                  <c:v>2011 год</c:v>
                </c:pt>
                <c:pt idx="2">
                  <c:v>2012 год</c:v>
                </c:pt>
                <c:pt idx="3">
                  <c:v>2013 год</c:v>
                </c:pt>
                <c:pt idx="4">
                  <c:v>2014 год</c:v>
                </c:pt>
                <c:pt idx="5">
                  <c:v>2015 год</c:v>
                </c:pt>
                <c:pt idx="6">
                  <c:v>2016 год</c:v>
                </c:pt>
              </c:strCache>
            </c:strRef>
          </c:cat>
          <c:val>
            <c:numRef>
              <c:f>Лист9!$E$91:$E$97</c:f>
              <c:numCache>
                <c:formatCode>General</c:formatCode>
                <c:ptCount val="7"/>
                <c:pt idx="0">
                  <c:v>75.099999999999923</c:v>
                </c:pt>
                <c:pt idx="1">
                  <c:v>-49.200000000000273</c:v>
                </c:pt>
                <c:pt idx="2">
                  <c:v>-8.6999999999998217</c:v>
                </c:pt>
                <c:pt idx="3">
                  <c:v>-624.80000000000018</c:v>
                </c:pt>
                <c:pt idx="4">
                  <c:v>686.49999999999909</c:v>
                </c:pt>
                <c:pt idx="5">
                  <c:v>-165.70000000000073</c:v>
                </c:pt>
                <c:pt idx="6">
                  <c:v>-3.3000000000001797</c:v>
                </c:pt>
              </c:numCache>
            </c:numRef>
          </c:val>
          <c:extLst xmlns:c16r2="http://schemas.microsoft.com/office/drawing/2015/06/chart">
            <c:ext xmlns:c16="http://schemas.microsoft.com/office/drawing/2014/chart" uri="{C3380CC4-5D6E-409C-BE32-E72D297353CC}">
              <c16:uniqueId val="{00000001-BF05-4EC3-8F95-ECC438F706D8}"/>
            </c:ext>
          </c:extLst>
        </c:ser>
        <c:axId val="190954112"/>
        <c:axId val="190996864"/>
      </c:areaChart>
      <c:lineChart>
        <c:grouping val="standard"/>
        <c:ser>
          <c:idx val="2"/>
          <c:order val="2"/>
          <c:tx>
            <c:strRef>
              <c:f>Лист9!$C$90</c:f>
              <c:strCache>
                <c:ptCount val="1"/>
                <c:pt idx="0">
                  <c:v>доходы</c:v>
                </c:pt>
              </c:strCache>
            </c:strRef>
          </c:tx>
          <c:cat>
            <c:strRef>
              <c:f>Лист9!$B$91:$B$97</c:f>
              <c:strCache>
                <c:ptCount val="7"/>
                <c:pt idx="0">
                  <c:v>2010 год</c:v>
                </c:pt>
                <c:pt idx="1">
                  <c:v>2011 год</c:v>
                </c:pt>
                <c:pt idx="2">
                  <c:v>2012 год</c:v>
                </c:pt>
                <c:pt idx="3">
                  <c:v>2013 год</c:v>
                </c:pt>
                <c:pt idx="4">
                  <c:v>2014 год</c:v>
                </c:pt>
                <c:pt idx="5">
                  <c:v>2015 год</c:v>
                </c:pt>
                <c:pt idx="6">
                  <c:v>2016 год</c:v>
                </c:pt>
              </c:strCache>
            </c:strRef>
          </c:cat>
          <c:val>
            <c:numRef>
              <c:f>Лист9!$C$91:$C$97</c:f>
              <c:numCache>
                <c:formatCode>General</c:formatCode>
                <c:ptCount val="7"/>
                <c:pt idx="0">
                  <c:v>3735</c:v>
                </c:pt>
                <c:pt idx="1">
                  <c:v>3262.4</c:v>
                </c:pt>
                <c:pt idx="2">
                  <c:v>4239.8</c:v>
                </c:pt>
                <c:pt idx="3">
                  <c:v>5121.7</c:v>
                </c:pt>
                <c:pt idx="4">
                  <c:v>4361.7000000000007</c:v>
                </c:pt>
                <c:pt idx="5">
                  <c:v>4938.4000000000005</c:v>
                </c:pt>
                <c:pt idx="6">
                  <c:v>4573.1000000000004</c:v>
                </c:pt>
              </c:numCache>
            </c:numRef>
          </c:val>
          <c:extLst xmlns:c16r2="http://schemas.microsoft.com/office/drawing/2015/06/chart">
            <c:ext xmlns:c16="http://schemas.microsoft.com/office/drawing/2014/chart" uri="{C3380CC4-5D6E-409C-BE32-E72D297353CC}">
              <c16:uniqueId val="{00000002-BF05-4EC3-8F95-ECC438F706D8}"/>
            </c:ext>
          </c:extLst>
        </c:ser>
        <c:ser>
          <c:idx val="3"/>
          <c:order val="3"/>
          <c:tx>
            <c:strRef>
              <c:f>Лист9!$D$90</c:f>
              <c:strCache>
                <c:ptCount val="1"/>
                <c:pt idx="0">
                  <c:v>расходы</c:v>
                </c:pt>
              </c:strCache>
            </c:strRef>
          </c:tx>
          <c:cat>
            <c:strRef>
              <c:f>Лист9!$B$91:$B$97</c:f>
              <c:strCache>
                <c:ptCount val="7"/>
                <c:pt idx="0">
                  <c:v>2010 год</c:v>
                </c:pt>
                <c:pt idx="1">
                  <c:v>2011 год</c:v>
                </c:pt>
                <c:pt idx="2">
                  <c:v>2012 год</c:v>
                </c:pt>
                <c:pt idx="3">
                  <c:v>2013 год</c:v>
                </c:pt>
                <c:pt idx="4">
                  <c:v>2014 год</c:v>
                </c:pt>
                <c:pt idx="5">
                  <c:v>2015 год</c:v>
                </c:pt>
                <c:pt idx="6">
                  <c:v>2016 год</c:v>
                </c:pt>
              </c:strCache>
            </c:strRef>
          </c:cat>
          <c:val>
            <c:numRef>
              <c:f>Лист9!$D$91:$D$97</c:f>
              <c:numCache>
                <c:formatCode>General</c:formatCode>
                <c:ptCount val="7"/>
                <c:pt idx="0">
                  <c:v>3810.1</c:v>
                </c:pt>
                <c:pt idx="1">
                  <c:v>3213.2</c:v>
                </c:pt>
                <c:pt idx="2">
                  <c:v>4231.1000000000004</c:v>
                </c:pt>
                <c:pt idx="3">
                  <c:v>4496.9000000000005</c:v>
                </c:pt>
                <c:pt idx="4">
                  <c:v>5048.2</c:v>
                </c:pt>
                <c:pt idx="5">
                  <c:v>4772.7</c:v>
                </c:pt>
                <c:pt idx="6">
                  <c:v>4569.8</c:v>
                </c:pt>
              </c:numCache>
            </c:numRef>
          </c:val>
          <c:extLst xmlns:c16r2="http://schemas.microsoft.com/office/drawing/2015/06/chart">
            <c:ext xmlns:c16="http://schemas.microsoft.com/office/drawing/2014/chart" uri="{C3380CC4-5D6E-409C-BE32-E72D297353CC}">
              <c16:uniqueId val="{00000003-BF05-4EC3-8F95-ECC438F706D8}"/>
            </c:ext>
          </c:extLst>
        </c:ser>
        <c:marker val="1"/>
        <c:axId val="190954112"/>
        <c:axId val="190996864"/>
      </c:lineChart>
      <c:catAx>
        <c:axId val="190954112"/>
        <c:scaling>
          <c:orientation val="minMax"/>
        </c:scaling>
        <c:axPos val="b"/>
        <c:numFmt formatCode="General" sourceLinked="0"/>
        <c:tickLblPos val="nextTo"/>
        <c:crossAx val="190996864"/>
        <c:crosses val="autoZero"/>
        <c:auto val="1"/>
        <c:lblAlgn val="ctr"/>
        <c:lblOffset val="100"/>
      </c:catAx>
      <c:valAx>
        <c:axId val="190996864"/>
        <c:scaling>
          <c:orientation val="minMax"/>
        </c:scaling>
        <c:axPos val="l"/>
        <c:majorGridlines/>
        <c:numFmt formatCode="General" sourceLinked="1"/>
        <c:tickLblPos val="nextTo"/>
        <c:crossAx val="190954112"/>
        <c:crosses val="autoZero"/>
        <c:crossBetween val="between"/>
      </c:valAx>
    </c:plotArea>
    <c:legend>
      <c:legendPos val="b"/>
      <c:legendEntry>
        <c:idx val="0"/>
        <c:delete val="1"/>
      </c:legendEntry>
    </c:legend>
    <c:plotVisOnly val="1"/>
    <c:dispBlanksAs val="zero"/>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'Соц. образование'!$C$37</c:f>
              <c:strCache>
                <c:ptCount val="1"/>
                <c:pt idx="0">
                  <c:v>Количество мест в детских дошкольных организациях, единиц</c:v>
                </c:pt>
              </c:strCache>
            </c:strRef>
          </c:tx>
          <c:dLbls>
            <c:dLbl>
              <c:idx val="1"/>
              <c:layout>
                <c:manualLayout>
                  <c:x val="2.2222222222222251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038-4DF0-B211-15DBF250197C}"/>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'Соц. образование'!$B$38:$B$44</c:f>
              <c:strCache>
                <c:ptCount val="7"/>
                <c:pt idx="0">
                  <c:v>01.01.2011 г.</c:v>
                </c:pt>
                <c:pt idx="1">
                  <c:v>01.01.2012 г.</c:v>
                </c:pt>
                <c:pt idx="2">
                  <c:v>01.01.2013 г.</c:v>
                </c:pt>
                <c:pt idx="3">
                  <c:v>01.01.2014 г.</c:v>
                </c:pt>
                <c:pt idx="4">
                  <c:v>01.01.2015 г.</c:v>
                </c:pt>
                <c:pt idx="5">
                  <c:v>01.01.2016 г.</c:v>
                </c:pt>
                <c:pt idx="6">
                  <c:v>01.01.2017 г.</c:v>
                </c:pt>
              </c:strCache>
            </c:strRef>
          </c:cat>
          <c:val>
            <c:numRef>
              <c:f>'Соц. образование'!$C$38:$C$44</c:f>
              <c:numCache>
                <c:formatCode>General</c:formatCode>
                <c:ptCount val="7"/>
                <c:pt idx="0">
                  <c:v>991</c:v>
                </c:pt>
                <c:pt idx="1">
                  <c:v>1030</c:v>
                </c:pt>
                <c:pt idx="2">
                  <c:v>1290</c:v>
                </c:pt>
                <c:pt idx="3">
                  <c:v>1398</c:v>
                </c:pt>
                <c:pt idx="4">
                  <c:v>1651</c:v>
                </c:pt>
                <c:pt idx="5">
                  <c:v>1758</c:v>
                </c:pt>
                <c:pt idx="6">
                  <c:v>1922</c:v>
                </c:pt>
              </c:numCache>
            </c:numRef>
          </c:val>
          <c:extLst xmlns:c16r2="http://schemas.microsoft.com/office/drawing/2015/06/chart">
            <c:ext xmlns:c16="http://schemas.microsoft.com/office/drawing/2014/chart" uri="{C3380CC4-5D6E-409C-BE32-E72D297353CC}">
              <c16:uniqueId val="{00000001-A038-4DF0-B211-15DBF250197C}"/>
            </c:ext>
          </c:extLst>
        </c:ser>
        <c:ser>
          <c:idx val="1"/>
          <c:order val="1"/>
          <c:tx>
            <c:strRef>
              <c:f>'Соц. образование'!$D$37</c:f>
              <c:strCache>
                <c:ptCount val="1"/>
                <c:pt idx="0">
                  <c:v>Численность детей в дошкольных организациях, человек</c:v>
                </c:pt>
              </c:strCache>
            </c:strRef>
          </c:tx>
          <c:dLbls>
            <c:dLbl>
              <c:idx val="0"/>
              <c:layout>
                <c:manualLayout>
                  <c:x val="3.0555555555555551E-2"/>
                  <c:y val="4.629629629629701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038-4DF0-B211-15DBF250197C}"/>
                </c:ext>
              </c:extLst>
            </c:dLbl>
            <c:dLbl>
              <c:idx val="1"/>
              <c:layout>
                <c:manualLayout>
                  <c:x val="2.5000000000000001E-2"/>
                  <c:y val="2.777777777777884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038-4DF0-B211-15DBF250197C}"/>
                </c:ext>
              </c:extLst>
            </c:dLbl>
            <c:dLbl>
              <c:idx val="2"/>
              <c:layout>
                <c:manualLayout>
                  <c:x val="1.6666666666666725E-2"/>
                  <c:y val="1.388888888888920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038-4DF0-B211-15DBF250197C}"/>
                </c:ext>
              </c:extLst>
            </c:dLbl>
            <c:dLbl>
              <c:idx val="3"/>
              <c:layout>
                <c:manualLayout>
                  <c:x val="1.9444444444444445E-2"/>
                  <c:y val="9.2592592592595415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038-4DF0-B211-15DBF250197C}"/>
                </c:ext>
              </c:extLst>
            </c:dLbl>
            <c:dLbl>
              <c:idx val="4"/>
              <c:layout>
                <c:manualLayout>
                  <c:x val="8.3333333333333367E-3"/>
                  <c:y val="1.388888888888922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038-4DF0-B211-15DBF250197C}"/>
                </c:ext>
              </c:extLst>
            </c:dLbl>
            <c:dLbl>
              <c:idx val="5"/>
              <c:layout>
                <c:manualLayout>
                  <c:x val="1.3888888888889209E-2"/>
                  <c:y val="1.388888888888920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038-4DF0-B211-15DBF250197C}"/>
                </c:ext>
              </c:extLst>
            </c:dLbl>
            <c:dLbl>
              <c:idx val="6"/>
              <c:layout>
                <c:manualLayout>
                  <c:x val="1.3888888888889209E-2"/>
                  <c:y val="1.388888888888920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038-4DF0-B211-15DBF250197C}"/>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'Соц. образование'!$B$38:$B$44</c:f>
              <c:strCache>
                <c:ptCount val="7"/>
                <c:pt idx="0">
                  <c:v>01.01.2011 г.</c:v>
                </c:pt>
                <c:pt idx="1">
                  <c:v>01.01.2012 г.</c:v>
                </c:pt>
                <c:pt idx="2">
                  <c:v>01.01.2013 г.</c:v>
                </c:pt>
                <c:pt idx="3">
                  <c:v>01.01.2014 г.</c:v>
                </c:pt>
                <c:pt idx="4">
                  <c:v>01.01.2015 г.</c:v>
                </c:pt>
                <c:pt idx="5">
                  <c:v>01.01.2016 г.</c:v>
                </c:pt>
                <c:pt idx="6">
                  <c:v>01.01.2017 г.</c:v>
                </c:pt>
              </c:strCache>
            </c:strRef>
          </c:cat>
          <c:val>
            <c:numRef>
              <c:f>'Соц. образование'!$D$38:$D$44</c:f>
              <c:numCache>
                <c:formatCode>General</c:formatCode>
                <c:ptCount val="7"/>
                <c:pt idx="0">
                  <c:v>1028</c:v>
                </c:pt>
                <c:pt idx="1">
                  <c:v>1010</c:v>
                </c:pt>
                <c:pt idx="2">
                  <c:v>1087</c:v>
                </c:pt>
                <c:pt idx="3">
                  <c:v>1325</c:v>
                </c:pt>
                <c:pt idx="4">
                  <c:v>1517</c:v>
                </c:pt>
                <c:pt idx="5">
                  <c:v>1597</c:v>
                </c:pt>
                <c:pt idx="6">
                  <c:v>1636</c:v>
                </c:pt>
              </c:numCache>
            </c:numRef>
          </c:val>
          <c:extLst xmlns:c16r2="http://schemas.microsoft.com/office/drawing/2015/06/chart">
            <c:ext xmlns:c16="http://schemas.microsoft.com/office/drawing/2014/chart" uri="{C3380CC4-5D6E-409C-BE32-E72D297353CC}">
              <c16:uniqueId val="{00000009-A038-4DF0-B211-15DBF250197C}"/>
            </c:ext>
          </c:extLst>
        </c:ser>
        <c:axId val="170542976"/>
        <c:axId val="170544512"/>
      </c:barChart>
      <c:catAx>
        <c:axId val="170542976"/>
        <c:scaling>
          <c:orientation val="minMax"/>
        </c:scaling>
        <c:axPos val="b"/>
        <c:numFmt formatCode="General" sourceLinked="0"/>
        <c:tickLblPos val="nextTo"/>
        <c:crossAx val="170544512"/>
        <c:crosses val="autoZero"/>
        <c:auto val="1"/>
        <c:lblAlgn val="ctr"/>
        <c:lblOffset val="100"/>
      </c:catAx>
      <c:valAx>
        <c:axId val="170544512"/>
        <c:scaling>
          <c:orientation val="minMax"/>
        </c:scaling>
        <c:axPos val="l"/>
        <c:majorGridlines/>
        <c:numFmt formatCode="General" sourceLinked="1"/>
        <c:tickLblPos val="nextTo"/>
        <c:crossAx val="170542976"/>
        <c:crosses val="autoZero"/>
        <c:crossBetween val="between"/>
      </c:valAx>
    </c:plotArea>
    <c:legend>
      <c:legendPos val="b"/>
    </c:legend>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8.6906336707911494E-2"/>
          <c:y val="4.1350166424727643E-2"/>
          <c:w val="0.89214128233971779"/>
          <c:h val="0.61967093989284394"/>
        </c:manualLayout>
      </c:layout>
      <c:bar3DChart>
        <c:barDir val="col"/>
        <c:grouping val="stacked"/>
        <c:ser>
          <c:idx val="0"/>
          <c:order val="0"/>
          <c:tx>
            <c:strRef>
              <c:f>Анализ!$A$6</c:f>
              <c:strCache>
                <c:ptCount val="1"/>
                <c:pt idx="0">
                  <c:v>некоторые инфекционные и паразитарные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Анализ!$B$3:$G$3</c:f>
              <c:numCache>
                <c:formatCode>General</c:formatCode>
                <c:ptCount val="6"/>
                <c:pt idx="0">
                  <c:v>2011</c:v>
                </c:pt>
                <c:pt idx="1">
                  <c:v>2012</c:v>
                </c:pt>
                <c:pt idx="2">
                  <c:v>2013</c:v>
                </c:pt>
                <c:pt idx="3">
                  <c:v>2014</c:v>
                </c:pt>
                <c:pt idx="4">
                  <c:v>2015</c:v>
                </c:pt>
                <c:pt idx="5">
                  <c:v>2016</c:v>
                </c:pt>
              </c:numCache>
            </c:numRef>
          </c:cat>
          <c:val>
            <c:numRef>
              <c:f>Анализ!$B$6:$G$6</c:f>
              <c:numCache>
                <c:formatCode>0</c:formatCode>
                <c:ptCount val="6"/>
                <c:pt idx="0" formatCode="General">
                  <c:v>913</c:v>
                </c:pt>
                <c:pt idx="1">
                  <c:v>664</c:v>
                </c:pt>
                <c:pt idx="2" formatCode="General">
                  <c:v>678</c:v>
                </c:pt>
                <c:pt idx="3" formatCode="General">
                  <c:v>642</c:v>
                </c:pt>
                <c:pt idx="4" formatCode="General">
                  <c:v>800</c:v>
                </c:pt>
                <c:pt idx="5" formatCode="General">
                  <c:v>815</c:v>
                </c:pt>
              </c:numCache>
            </c:numRef>
          </c:val>
          <c:extLst xmlns:c16r2="http://schemas.microsoft.com/office/drawing/2015/06/chart">
            <c:ext xmlns:c16="http://schemas.microsoft.com/office/drawing/2014/chart" uri="{C3380CC4-5D6E-409C-BE32-E72D297353CC}">
              <c16:uniqueId val="{00000000-E8EF-4405-9D88-71B411E56A44}"/>
            </c:ext>
          </c:extLst>
        </c:ser>
        <c:ser>
          <c:idx val="1"/>
          <c:order val="1"/>
          <c:tx>
            <c:strRef>
              <c:f>Анализ!$A$7</c:f>
              <c:strCache>
                <c:ptCount val="1"/>
                <c:pt idx="0">
                  <c:v>заболевания центральной нервной системы</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Анализ!$B$3:$G$3</c:f>
              <c:numCache>
                <c:formatCode>General</c:formatCode>
                <c:ptCount val="6"/>
                <c:pt idx="0">
                  <c:v>2011</c:v>
                </c:pt>
                <c:pt idx="1">
                  <c:v>2012</c:v>
                </c:pt>
                <c:pt idx="2">
                  <c:v>2013</c:v>
                </c:pt>
                <c:pt idx="3">
                  <c:v>2014</c:v>
                </c:pt>
                <c:pt idx="4">
                  <c:v>2015</c:v>
                </c:pt>
                <c:pt idx="5">
                  <c:v>2016</c:v>
                </c:pt>
              </c:numCache>
            </c:numRef>
          </c:cat>
          <c:val>
            <c:numRef>
              <c:f>Анализ!$B$7:$G$7</c:f>
              <c:numCache>
                <c:formatCode>0</c:formatCode>
                <c:ptCount val="6"/>
                <c:pt idx="0" formatCode="General">
                  <c:v>870</c:v>
                </c:pt>
                <c:pt idx="1">
                  <c:v>772</c:v>
                </c:pt>
                <c:pt idx="2" formatCode="General">
                  <c:v>971</c:v>
                </c:pt>
                <c:pt idx="3" formatCode="General">
                  <c:v>785</c:v>
                </c:pt>
                <c:pt idx="4" formatCode="General">
                  <c:v>505</c:v>
                </c:pt>
                <c:pt idx="5" formatCode="General">
                  <c:v>525</c:v>
                </c:pt>
              </c:numCache>
            </c:numRef>
          </c:val>
          <c:extLst xmlns:c16r2="http://schemas.microsoft.com/office/drawing/2015/06/chart">
            <c:ext xmlns:c16="http://schemas.microsoft.com/office/drawing/2014/chart" uri="{C3380CC4-5D6E-409C-BE32-E72D297353CC}">
              <c16:uniqueId val="{00000001-E8EF-4405-9D88-71B411E56A44}"/>
            </c:ext>
          </c:extLst>
        </c:ser>
        <c:ser>
          <c:idx val="2"/>
          <c:order val="2"/>
          <c:tx>
            <c:strRef>
              <c:f>Анализ!$A$8</c:f>
              <c:strCache>
                <c:ptCount val="1"/>
                <c:pt idx="0">
                  <c:v>новообразования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Анализ!$B$3:$G$3</c:f>
              <c:numCache>
                <c:formatCode>General</c:formatCode>
                <c:ptCount val="6"/>
                <c:pt idx="0">
                  <c:v>2011</c:v>
                </c:pt>
                <c:pt idx="1">
                  <c:v>2012</c:v>
                </c:pt>
                <c:pt idx="2">
                  <c:v>2013</c:v>
                </c:pt>
                <c:pt idx="3">
                  <c:v>2014</c:v>
                </c:pt>
                <c:pt idx="4">
                  <c:v>2015</c:v>
                </c:pt>
                <c:pt idx="5">
                  <c:v>2016</c:v>
                </c:pt>
              </c:numCache>
            </c:numRef>
          </c:cat>
          <c:val>
            <c:numRef>
              <c:f>Анализ!$B$8:$G$8</c:f>
              <c:numCache>
                <c:formatCode>0</c:formatCode>
                <c:ptCount val="6"/>
                <c:pt idx="0" formatCode="General">
                  <c:v>499</c:v>
                </c:pt>
                <c:pt idx="1">
                  <c:v>522</c:v>
                </c:pt>
                <c:pt idx="2" formatCode="General">
                  <c:v>546</c:v>
                </c:pt>
                <c:pt idx="3" formatCode="General">
                  <c:v>597</c:v>
                </c:pt>
                <c:pt idx="4" formatCode="General">
                  <c:v>718</c:v>
                </c:pt>
                <c:pt idx="5" formatCode="General">
                  <c:v>671</c:v>
                </c:pt>
              </c:numCache>
            </c:numRef>
          </c:val>
          <c:extLst xmlns:c16r2="http://schemas.microsoft.com/office/drawing/2015/06/chart">
            <c:ext xmlns:c16="http://schemas.microsoft.com/office/drawing/2014/chart" uri="{C3380CC4-5D6E-409C-BE32-E72D297353CC}">
              <c16:uniqueId val="{00000002-E8EF-4405-9D88-71B411E56A44}"/>
            </c:ext>
          </c:extLst>
        </c:ser>
        <c:ser>
          <c:idx val="3"/>
          <c:order val="3"/>
          <c:tx>
            <c:strRef>
              <c:f>Анализ!$A$9</c:f>
              <c:strCache>
                <c:ptCount val="1"/>
                <c:pt idx="0">
                  <c:v>органов дыхания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Анализ!$B$3:$G$3</c:f>
              <c:numCache>
                <c:formatCode>General</c:formatCode>
                <c:ptCount val="6"/>
                <c:pt idx="0">
                  <c:v>2011</c:v>
                </c:pt>
                <c:pt idx="1">
                  <c:v>2012</c:v>
                </c:pt>
                <c:pt idx="2">
                  <c:v>2013</c:v>
                </c:pt>
                <c:pt idx="3">
                  <c:v>2014</c:v>
                </c:pt>
                <c:pt idx="4">
                  <c:v>2015</c:v>
                </c:pt>
                <c:pt idx="5">
                  <c:v>2016</c:v>
                </c:pt>
              </c:numCache>
            </c:numRef>
          </c:cat>
          <c:val>
            <c:numRef>
              <c:f>Анализ!$B$9:$G$9</c:f>
              <c:numCache>
                <c:formatCode>0</c:formatCode>
                <c:ptCount val="6"/>
                <c:pt idx="0" formatCode="General">
                  <c:v>10118</c:v>
                </c:pt>
                <c:pt idx="1">
                  <c:v>10922</c:v>
                </c:pt>
                <c:pt idx="2" formatCode="General">
                  <c:v>10925</c:v>
                </c:pt>
                <c:pt idx="3" formatCode="General">
                  <c:v>11146</c:v>
                </c:pt>
                <c:pt idx="4" formatCode="General">
                  <c:v>10784</c:v>
                </c:pt>
                <c:pt idx="5" formatCode="General">
                  <c:v>10840</c:v>
                </c:pt>
              </c:numCache>
            </c:numRef>
          </c:val>
          <c:extLst xmlns:c16r2="http://schemas.microsoft.com/office/drawing/2015/06/chart">
            <c:ext xmlns:c16="http://schemas.microsoft.com/office/drawing/2014/chart" uri="{C3380CC4-5D6E-409C-BE32-E72D297353CC}">
              <c16:uniqueId val="{00000003-E8EF-4405-9D88-71B411E56A44}"/>
            </c:ext>
          </c:extLst>
        </c:ser>
        <c:ser>
          <c:idx val="4"/>
          <c:order val="4"/>
          <c:tx>
            <c:strRef>
              <c:f>Анализ!$A$10</c:f>
              <c:strCache>
                <c:ptCount val="1"/>
                <c:pt idx="0">
                  <c:v>мочеполовой системы</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Анализ!$B$3:$G$3</c:f>
              <c:numCache>
                <c:formatCode>General</c:formatCode>
                <c:ptCount val="6"/>
                <c:pt idx="0">
                  <c:v>2011</c:v>
                </c:pt>
                <c:pt idx="1">
                  <c:v>2012</c:v>
                </c:pt>
                <c:pt idx="2">
                  <c:v>2013</c:v>
                </c:pt>
                <c:pt idx="3">
                  <c:v>2014</c:v>
                </c:pt>
                <c:pt idx="4">
                  <c:v>2015</c:v>
                </c:pt>
                <c:pt idx="5">
                  <c:v>2016</c:v>
                </c:pt>
              </c:numCache>
            </c:numRef>
          </c:cat>
          <c:val>
            <c:numRef>
              <c:f>Анализ!$B$10:$G$10</c:f>
              <c:numCache>
                <c:formatCode>0</c:formatCode>
                <c:ptCount val="6"/>
                <c:pt idx="0" formatCode="General">
                  <c:v>1733</c:v>
                </c:pt>
                <c:pt idx="1">
                  <c:v>2074</c:v>
                </c:pt>
                <c:pt idx="2" formatCode="General">
                  <c:v>1601</c:v>
                </c:pt>
                <c:pt idx="3" formatCode="General">
                  <c:v>690</c:v>
                </c:pt>
                <c:pt idx="4" formatCode="General">
                  <c:v>842</c:v>
                </c:pt>
                <c:pt idx="5" formatCode="General">
                  <c:v>854</c:v>
                </c:pt>
              </c:numCache>
            </c:numRef>
          </c:val>
          <c:extLst xmlns:c16r2="http://schemas.microsoft.com/office/drawing/2015/06/chart">
            <c:ext xmlns:c16="http://schemas.microsoft.com/office/drawing/2014/chart" uri="{C3380CC4-5D6E-409C-BE32-E72D297353CC}">
              <c16:uniqueId val="{00000004-E8EF-4405-9D88-71B411E56A44}"/>
            </c:ext>
          </c:extLst>
        </c:ser>
        <c:ser>
          <c:idx val="5"/>
          <c:order val="5"/>
          <c:tx>
            <c:strRef>
              <c:f>Анализ!$A$11</c:f>
              <c:strCache>
                <c:ptCount val="1"/>
                <c:pt idx="0">
                  <c:v>кожи и подкожной клетчатки</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Анализ!$B$3:$G$3</c:f>
              <c:numCache>
                <c:formatCode>General</c:formatCode>
                <c:ptCount val="6"/>
                <c:pt idx="0">
                  <c:v>2011</c:v>
                </c:pt>
                <c:pt idx="1">
                  <c:v>2012</c:v>
                </c:pt>
                <c:pt idx="2">
                  <c:v>2013</c:v>
                </c:pt>
                <c:pt idx="3">
                  <c:v>2014</c:v>
                </c:pt>
                <c:pt idx="4">
                  <c:v>2015</c:v>
                </c:pt>
                <c:pt idx="5">
                  <c:v>2016</c:v>
                </c:pt>
              </c:numCache>
            </c:numRef>
          </c:cat>
          <c:val>
            <c:numRef>
              <c:f>Анализ!$B$11:$G$11</c:f>
              <c:numCache>
                <c:formatCode>0</c:formatCode>
                <c:ptCount val="6"/>
                <c:pt idx="0" formatCode="General">
                  <c:v>1480</c:v>
                </c:pt>
                <c:pt idx="1">
                  <c:v>1483</c:v>
                </c:pt>
                <c:pt idx="2" formatCode="General">
                  <c:v>1189</c:v>
                </c:pt>
                <c:pt idx="3" formatCode="General">
                  <c:v>1494</c:v>
                </c:pt>
                <c:pt idx="4" formatCode="General">
                  <c:v>1673</c:v>
                </c:pt>
                <c:pt idx="5" formatCode="General">
                  <c:v>1598</c:v>
                </c:pt>
              </c:numCache>
            </c:numRef>
          </c:val>
          <c:extLst xmlns:c16r2="http://schemas.microsoft.com/office/drawing/2015/06/chart">
            <c:ext xmlns:c16="http://schemas.microsoft.com/office/drawing/2014/chart" uri="{C3380CC4-5D6E-409C-BE32-E72D297353CC}">
              <c16:uniqueId val="{00000005-E8EF-4405-9D88-71B411E56A44}"/>
            </c:ext>
          </c:extLst>
        </c:ser>
        <c:ser>
          <c:idx val="6"/>
          <c:order val="6"/>
          <c:tx>
            <c:strRef>
              <c:f>Анализ!$A$12</c:f>
              <c:strCache>
                <c:ptCount val="1"/>
                <c:pt idx="0">
                  <c:v>травмы, отравления и некоторые другие последствия внешних причин</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Анализ!$B$3:$G$3</c:f>
              <c:numCache>
                <c:formatCode>General</c:formatCode>
                <c:ptCount val="6"/>
                <c:pt idx="0">
                  <c:v>2011</c:v>
                </c:pt>
                <c:pt idx="1">
                  <c:v>2012</c:v>
                </c:pt>
                <c:pt idx="2">
                  <c:v>2013</c:v>
                </c:pt>
                <c:pt idx="3">
                  <c:v>2014</c:v>
                </c:pt>
                <c:pt idx="4">
                  <c:v>2015</c:v>
                </c:pt>
                <c:pt idx="5">
                  <c:v>2016</c:v>
                </c:pt>
              </c:numCache>
            </c:numRef>
          </c:cat>
          <c:val>
            <c:numRef>
              <c:f>Анализ!$B$12:$G$12</c:f>
              <c:numCache>
                <c:formatCode>0</c:formatCode>
                <c:ptCount val="6"/>
                <c:pt idx="0" formatCode="General">
                  <c:v>1093</c:v>
                </c:pt>
                <c:pt idx="1">
                  <c:v>1063</c:v>
                </c:pt>
                <c:pt idx="2" formatCode="General">
                  <c:v>1165</c:v>
                </c:pt>
                <c:pt idx="3" formatCode="General">
                  <c:v>1135</c:v>
                </c:pt>
                <c:pt idx="4" formatCode="General">
                  <c:v>1365</c:v>
                </c:pt>
                <c:pt idx="5" formatCode="General">
                  <c:v>1621</c:v>
                </c:pt>
              </c:numCache>
            </c:numRef>
          </c:val>
          <c:extLst xmlns:c16r2="http://schemas.microsoft.com/office/drawing/2015/06/chart">
            <c:ext xmlns:c16="http://schemas.microsoft.com/office/drawing/2014/chart" uri="{C3380CC4-5D6E-409C-BE32-E72D297353CC}">
              <c16:uniqueId val="{00000006-E8EF-4405-9D88-71B411E56A44}"/>
            </c:ext>
          </c:extLst>
        </c:ser>
        <c:shape val="box"/>
        <c:axId val="170584704"/>
        <c:axId val="170590592"/>
        <c:axId val="0"/>
      </c:bar3DChart>
      <c:catAx>
        <c:axId val="170584704"/>
        <c:scaling>
          <c:orientation val="minMax"/>
        </c:scaling>
        <c:axPos val="b"/>
        <c:numFmt formatCode="General" sourceLinked="1"/>
        <c:tickLblPos val="nextTo"/>
        <c:crossAx val="170590592"/>
        <c:crosses val="autoZero"/>
        <c:auto val="1"/>
        <c:lblAlgn val="ctr"/>
        <c:lblOffset val="100"/>
      </c:catAx>
      <c:valAx>
        <c:axId val="170590592"/>
        <c:scaling>
          <c:orientation val="minMax"/>
        </c:scaling>
        <c:axPos val="l"/>
        <c:majorGridlines/>
        <c:numFmt formatCode="General" sourceLinked="1"/>
        <c:tickLblPos val="nextTo"/>
        <c:crossAx val="170584704"/>
        <c:crosses val="autoZero"/>
        <c:crossBetween val="between"/>
      </c:valAx>
    </c:plotArea>
    <c:legend>
      <c:legendPos val="b"/>
      <c:legendEntry>
        <c:idx val="1"/>
        <c:delete val="1"/>
      </c:legendEntry>
      <c:layout>
        <c:manualLayout>
          <c:xMode val="edge"/>
          <c:yMode val="edge"/>
          <c:x val="4.8538582677165348E-2"/>
          <c:y val="0.75281317108088763"/>
          <c:w val="0.88768473940757464"/>
          <c:h val="0.22484045899221294"/>
        </c:manualLayout>
      </c:layout>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'Здравоохранение      '!$C$2</c:f>
              <c:strCache>
                <c:ptCount val="1"/>
                <c:pt idx="0">
                  <c:v>Число больничных коек, единиц</c:v>
                </c:pt>
              </c:strCache>
            </c:strRef>
          </c:tx>
          <c:dLbls>
            <c:dLbl>
              <c:idx val="0"/>
              <c:layout>
                <c:manualLayout>
                  <c:x val="-2.6607538802660816E-2"/>
                  <c:y val="-6.130268199233907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8F6-4348-8B40-E3BE733E8366}"/>
                </c:ext>
              </c:extLst>
            </c:dLbl>
            <c:dLbl>
              <c:idx val="1"/>
              <c:layout>
                <c:manualLayout>
                  <c:x val="-2.0694752402069951E-2"/>
                  <c:y val="-4.59770114942528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8F6-4348-8B40-E3BE733E8366}"/>
                </c:ext>
              </c:extLst>
            </c:dLbl>
            <c:dLbl>
              <c:idx val="2"/>
              <c:layout>
                <c:manualLayout>
                  <c:x val="-1.1825572801182863E-2"/>
                  <c:y val="-4.59770114942528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8F6-4348-8B40-E3BE733E8366}"/>
                </c:ext>
              </c:extLst>
            </c:dLbl>
            <c:dLbl>
              <c:idx val="3"/>
              <c:layout>
                <c:manualLayout>
                  <c:x val="-1.4781966001478197E-2"/>
                  <c:y val="-4.086845466155810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8F6-4348-8B40-E3BE733E8366}"/>
                </c:ext>
              </c:extLst>
            </c:dLbl>
            <c:dLbl>
              <c:idx val="4"/>
              <c:layout>
                <c:manualLayout>
                  <c:x val="-1.4781966001478197E-2"/>
                  <c:y val="-4.59770114942528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8F6-4348-8B40-E3BE733E8366}"/>
                </c:ext>
              </c:extLst>
            </c:dLbl>
            <c:dLbl>
              <c:idx val="5"/>
              <c:layout>
                <c:manualLayout>
                  <c:x val="-2.3651145602365656E-2"/>
                  <c:y val="-4.59770114942528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8F6-4348-8B40-E3BE733E8366}"/>
                </c:ext>
              </c:extLst>
            </c:dLbl>
            <c:dLbl>
              <c:idx val="6"/>
              <c:layout>
                <c:manualLayout>
                  <c:x val="-5.128205128205128E-2"/>
                  <c:y val="-6.419753086419792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8F6-4348-8B40-E3BE733E8366}"/>
                </c:ext>
              </c:extLst>
            </c:dLbl>
            <c:spPr>
              <a:noFill/>
              <a:ln>
                <a:noFill/>
              </a:ln>
              <a:effectLst/>
            </c:spPr>
            <c:txPr>
              <a:bodyPr/>
              <a:lstStyle/>
              <a:p>
                <a:pPr>
                  <a:defRPr sz="1100">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'Здравоохранение      '!$B$3:$B$9</c:f>
              <c:strCache>
                <c:ptCount val="7"/>
                <c:pt idx="0">
                  <c:v>01.01.2011 г.</c:v>
                </c:pt>
                <c:pt idx="1">
                  <c:v>01.01.2012 г.</c:v>
                </c:pt>
                <c:pt idx="2">
                  <c:v>01.01.2013 г.</c:v>
                </c:pt>
                <c:pt idx="3">
                  <c:v>01.01.2014 г.</c:v>
                </c:pt>
                <c:pt idx="4">
                  <c:v>01.01.2015 г.</c:v>
                </c:pt>
                <c:pt idx="5">
                  <c:v>01.01.2016 г.</c:v>
                </c:pt>
                <c:pt idx="6">
                  <c:v>01.01.2017 г.</c:v>
                </c:pt>
              </c:strCache>
            </c:strRef>
          </c:cat>
          <c:val>
            <c:numRef>
              <c:f>'Здравоохранение      '!$C$3:$C$9</c:f>
              <c:numCache>
                <c:formatCode>General</c:formatCode>
                <c:ptCount val="7"/>
                <c:pt idx="0">
                  <c:v>123</c:v>
                </c:pt>
                <c:pt idx="1">
                  <c:v>123</c:v>
                </c:pt>
                <c:pt idx="2">
                  <c:v>117</c:v>
                </c:pt>
                <c:pt idx="3">
                  <c:v>101</c:v>
                </c:pt>
                <c:pt idx="4">
                  <c:v>78</c:v>
                </c:pt>
                <c:pt idx="5">
                  <c:v>69</c:v>
                </c:pt>
                <c:pt idx="6">
                  <c:v>69</c:v>
                </c:pt>
              </c:numCache>
            </c:numRef>
          </c:val>
          <c:extLst xmlns:c16r2="http://schemas.microsoft.com/office/drawing/2015/06/chart">
            <c:ext xmlns:c16="http://schemas.microsoft.com/office/drawing/2014/chart" uri="{C3380CC4-5D6E-409C-BE32-E72D297353CC}">
              <c16:uniqueId val="{00000007-B8F6-4348-8B40-E3BE733E8366}"/>
            </c:ext>
          </c:extLst>
        </c:ser>
        <c:marker val="1"/>
        <c:axId val="170612224"/>
        <c:axId val="170613760"/>
      </c:lineChart>
      <c:catAx>
        <c:axId val="170612224"/>
        <c:scaling>
          <c:orientation val="minMax"/>
        </c:scaling>
        <c:axPos val="b"/>
        <c:numFmt formatCode="General" sourceLinked="0"/>
        <c:tickLblPos val="nextTo"/>
        <c:crossAx val="170613760"/>
        <c:crosses val="autoZero"/>
        <c:auto val="1"/>
        <c:lblAlgn val="ctr"/>
        <c:lblOffset val="100"/>
      </c:catAx>
      <c:valAx>
        <c:axId val="170613760"/>
        <c:scaling>
          <c:orientation val="minMax"/>
        </c:scaling>
        <c:axPos val="l"/>
        <c:majorGridlines/>
        <c:numFmt formatCode="General" sourceLinked="1"/>
        <c:tickLblPos val="nextTo"/>
        <c:crossAx val="170612224"/>
        <c:crosses val="autoZero"/>
        <c:crossBetween val="between"/>
      </c:valAx>
    </c:plotArea>
    <c:plotVisOnly val="1"/>
    <c:dispBlanksAs val="gap"/>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'Здравоохранение      '!$C$15</c:f>
              <c:strCache>
                <c:ptCount val="1"/>
                <c:pt idx="0">
                  <c:v>Численность врачей, человек</c:v>
                </c:pt>
              </c:strCache>
            </c:strRef>
          </c:tx>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'Здравоохранение      '!$B$16:$B$22</c:f>
              <c:strCache>
                <c:ptCount val="7"/>
                <c:pt idx="0">
                  <c:v>01.01.2011 г.</c:v>
                </c:pt>
                <c:pt idx="1">
                  <c:v>01.01.2012 г.</c:v>
                </c:pt>
                <c:pt idx="2">
                  <c:v>01.01.2013 г.</c:v>
                </c:pt>
                <c:pt idx="3">
                  <c:v>01.01.2014 г.</c:v>
                </c:pt>
                <c:pt idx="4">
                  <c:v>01.01.2015 г.</c:v>
                </c:pt>
                <c:pt idx="5">
                  <c:v>01.01.2016 г.</c:v>
                </c:pt>
                <c:pt idx="6">
                  <c:v>01.01.2017 г.</c:v>
                </c:pt>
              </c:strCache>
            </c:strRef>
          </c:cat>
          <c:val>
            <c:numRef>
              <c:f>'Здравоохранение      '!$C$16:$C$22</c:f>
              <c:numCache>
                <c:formatCode>General</c:formatCode>
                <c:ptCount val="7"/>
                <c:pt idx="0">
                  <c:v>46</c:v>
                </c:pt>
                <c:pt idx="1">
                  <c:v>45</c:v>
                </c:pt>
                <c:pt idx="2">
                  <c:v>50</c:v>
                </c:pt>
                <c:pt idx="3">
                  <c:v>53</c:v>
                </c:pt>
                <c:pt idx="4">
                  <c:v>56</c:v>
                </c:pt>
                <c:pt idx="5">
                  <c:v>59</c:v>
                </c:pt>
                <c:pt idx="6">
                  <c:v>60</c:v>
                </c:pt>
              </c:numCache>
            </c:numRef>
          </c:val>
          <c:extLst xmlns:c16r2="http://schemas.microsoft.com/office/drawing/2015/06/chart">
            <c:ext xmlns:c16="http://schemas.microsoft.com/office/drawing/2014/chart" uri="{C3380CC4-5D6E-409C-BE32-E72D297353CC}">
              <c16:uniqueId val="{00000000-B1B0-43E6-A1A1-AD429F021BD7}"/>
            </c:ext>
          </c:extLst>
        </c:ser>
        <c:ser>
          <c:idx val="1"/>
          <c:order val="1"/>
          <c:tx>
            <c:strRef>
              <c:f>'Здравоохранение      '!$D$15</c:f>
              <c:strCache>
                <c:ptCount val="1"/>
                <c:pt idx="0">
                  <c:v>Численность среднего медперсонала, человек</c:v>
                </c:pt>
              </c:strCache>
            </c:strRef>
          </c:tx>
          <c:dLbls>
            <c:dLbl>
              <c:idx val="0"/>
              <c:layout>
                <c:manualLayout>
                  <c:x val="2.7777777777778958E-3"/>
                  <c:y val="2.77777777777788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1B0-43E6-A1A1-AD429F021BD7}"/>
                </c:ext>
              </c:extLst>
            </c:dLbl>
            <c:dLbl>
              <c:idx val="1"/>
              <c:layout>
                <c:manualLayout>
                  <c:x val="8.3333333333333367E-3"/>
                  <c:y val="2.77777777777788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1B0-43E6-A1A1-AD429F021BD7}"/>
                </c:ext>
              </c:extLst>
            </c:dLbl>
            <c:dLbl>
              <c:idx val="2"/>
              <c:layout>
                <c:manualLayout>
                  <c:x val="8.3333333333333367E-3"/>
                  <c:y val="1.38888888888892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1B0-43E6-A1A1-AD429F021BD7}"/>
                </c:ext>
              </c:extLst>
            </c:dLbl>
            <c:dLbl>
              <c:idx val="3"/>
              <c:layout>
                <c:manualLayout>
                  <c:x val="0"/>
                  <c:y val="2.31481481481481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1B0-43E6-A1A1-AD429F021BD7}"/>
                </c:ext>
              </c:extLst>
            </c:dLbl>
            <c:dLbl>
              <c:idx val="4"/>
              <c:layout>
                <c:manualLayout>
                  <c:x val="0"/>
                  <c:y val="2.77777777777788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1B0-43E6-A1A1-AD429F021BD7}"/>
                </c:ext>
              </c:extLst>
            </c:dLbl>
            <c:dLbl>
              <c:idx val="5"/>
              <c:layout>
                <c:manualLayout>
                  <c:x val="0"/>
                  <c:y val="2.77777777777788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1B0-43E6-A1A1-AD429F021BD7}"/>
                </c:ext>
              </c:extLst>
            </c:dLbl>
            <c:dLbl>
              <c:idx val="6"/>
              <c:layout>
                <c:manualLayout>
                  <c:x val="0"/>
                  <c:y val="2.77777777777788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1B0-43E6-A1A1-AD429F021BD7}"/>
                </c:ext>
              </c:extLst>
            </c:dLbl>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'Здравоохранение      '!$B$16:$B$22</c:f>
              <c:strCache>
                <c:ptCount val="7"/>
                <c:pt idx="0">
                  <c:v>01.01.2011 г.</c:v>
                </c:pt>
                <c:pt idx="1">
                  <c:v>01.01.2012 г.</c:v>
                </c:pt>
                <c:pt idx="2">
                  <c:v>01.01.2013 г.</c:v>
                </c:pt>
                <c:pt idx="3">
                  <c:v>01.01.2014 г.</c:v>
                </c:pt>
                <c:pt idx="4">
                  <c:v>01.01.2015 г.</c:v>
                </c:pt>
                <c:pt idx="5">
                  <c:v>01.01.2016 г.</c:v>
                </c:pt>
                <c:pt idx="6">
                  <c:v>01.01.2017 г.</c:v>
                </c:pt>
              </c:strCache>
            </c:strRef>
          </c:cat>
          <c:val>
            <c:numRef>
              <c:f>'Здравоохранение      '!$D$16:$D$22</c:f>
              <c:numCache>
                <c:formatCode>General</c:formatCode>
                <c:ptCount val="7"/>
                <c:pt idx="0">
                  <c:v>154</c:v>
                </c:pt>
                <c:pt idx="1">
                  <c:v>157</c:v>
                </c:pt>
                <c:pt idx="2">
                  <c:v>156</c:v>
                </c:pt>
                <c:pt idx="3">
                  <c:v>160</c:v>
                </c:pt>
                <c:pt idx="4">
                  <c:v>176</c:v>
                </c:pt>
                <c:pt idx="5">
                  <c:v>164</c:v>
                </c:pt>
                <c:pt idx="6">
                  <c:v>158</c:v>
                </c:pt>
              </c:numCache>
            </c:numRef>
          </c:val>
          <c:extLst xmlns:c16r2="http://schemas.microsoft.com/office/drawing/2015/06/chart">
            <c:ext xmlns:c16="http://schemas.microsoft.com/office/drawing/2014/chart" uri="{C3380CC4-5D6E-409C-BE32-E72D297353CC}">
              <c16:uniqueId val="{00000008-B1B0-43E6-A1A1-AD429F021BD7}"/>
            </c:ext>
          </c:extLst>
        </c:ser>
        <c:axId val="170630528"/>
        <c:axId val="170644608"/>
      </c:barChart>
      <c:catAx>
        <c:axId val="170630528"/>
        <c:scaling>
          <c:orientation val="minMax"/>
        </c:scaling>
        <c:axPos val="b"/>
        <c:numFmt formatCode="General" sourceLinked="0"/>
        <c:tickLblPos val="nextTo"/>
        <c:crossAx val="170644608"/>
        <c:crosses val="autoZero"/>
        <c:auto val="1"/>
        <c:lblAlgn val="ctr"/>
        <c:lblOffset val="100"/>
      </c:catAx>
      <c:valAx>
        <c:axId val="170644608"/>
        <c:scaling>
          <c:orientation val="minMax"/>
        </c:scaling>
        <c:axPos val="l"/>
        <c:majorGridlines/>
        <c:numFmt formatCode="General" sourceLinked="1"/>
        <c:tickLblPos val="nextTo"/>
        <c:crossAx val="170630528"/>
        <c:crosses val="autoZero"/>
        <c:crossBetween val="between"/>
      </c:valAx>
    </c:plotArea>
    <c:legend>
      <c:legendPos val="b"/>
    </c:legend>
    <c:plotVisOnly val="1"/>
    <c:dispBlanksAs val="gap"/>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'Здравоохранение      '!$C$69</c:f>
              <c:strCache>
                <c:ptCount val="1"/>
                <c:pt idx="0">
                  <c:v>дети (0-14 лет)</c:v>
                </c:pt>
              </c:strCache>
            </c:strRef>
          </c:tx>
          <c:dLbls>
            <c:dLbl>
              <c:idx val="5"/>
              <c:layout>
                <c:manualLayout>
                  <c:x val="1.0185067526416651E-16"/>
                  <c:y val="1.38888888888892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E6B-49EA-AC4F-6BAB5D8B2555}"/>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'Здравоохранение      '!$B$70:$B$76</c:f>
              <c:strCache>
                <c:ptCount val="7"/>
                <c:pt idx="0">
                  <c:v>01.01.2011 г.</c:v>
                </c:pt>
                <c:pt idx="1">
                  <c:v>01.01.2012 г.</c:v>
                </c:pt>
                <c:pt idx="2">
                  <c:v>01.01.2013 г.</c:v>
                </c:pt>
                <c:pt idx="3">
                  <c:v>01.01.2014 г.</c:v>
                </c:pt>
                <c:pt idx="4">
                  <c:v>01.01.2015 г.</c:v>
                </c:pt>
                <c:pt idx="5">
                  <c:v>01.01.2016 г.</c:v>
                </c:pt>
                <c:pt idx="6">
                  <c:v>01.01.2017 г.</c:v>
                </c:pt>
              </c:strCache>
            </c:strRef>
          </c:cat>
          <c:val>
            <c:numRef>
              <c:f>'Здравоохранение      '!$C$70:$C$76</c:f>
              <c:numCache>
                <c:formatCode>General</c:formatCode>
                <c:ptCount val="7"/>
                <c:pt idx="0">
                  <c:v>1588</c:v>
                </c:pt>
                <c:pt idx="1">
                  <c:v>1915.7</c:v>
                </c:pt>
                <c:pt idx="2">
                  <c:v>1933.8</c:v>
                </c:pt>
                <c:pt idx="3">
                  <c:v>1926.1</c:v>
                </c:pt>
                <c:pt idx="4">
                  <c:v>1903.5</c:v>
                </c:pt>
                <c:pt idx="5">
                  <c:v>574</c:v>
                </c:pt>
                <c:pt idx="6">
                  <c:v>1529.8</c:v>
                </c:pt>
              </c:numCache>
            </c:numRef>
          </c:val>
          <c:extLst xmlns:c16r2="http://schemas.microsoft.com/office/drawing/2015/06/chart">
            <c:ext xmlns:c16="http://schemas.microsoft.com/office/drawing/2014/chart" uri="{C3380CC4-5D6E-409C-BE32-E72D297353CC}">
              <c16:uniqueId val="{00000001-5E6B-49EA-AC4F-6BAB5D8B2555}"/>
            </c:ext>
          </c:extLst>
        </c:ser>
        <c:ser>
          <c:idx val="1"/>
          <c:order val="1"/>
          <c:tx>
            <c:strRef>
              <c:f>'Здравоохранение      '!$D$69</c:f>
              <c:strCache>
                <c:ptCount val="1"/>
                <c:pt idx="0">
                  <c:v>подростки (15-17 лет)</c:v>
                </c:pt>
              </c:strCache>
            </c:strRef>
          </c:tx>
          <c:dLbls>
            <c:dLbl>
              <c:idx val="0"/>
              <c:layout>
                <c:manualLayout>
                  <c:x val="2.7777777777778821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E6B-49EA-AC4F-6BAB5D8B2555}"/>
                </c:ext>
              </c:extLst>
            </c:dLbl>
            <c:dLbl>
              <c:idx val="1"/>
              <c:layout>
                <c:manualLayout>
                  <c:x val="2.2222222222222251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E6B-49EA-AC4F-6BAB5D8B2555}"/>
                </c:ext>
              </c:extLst>
            </c:dLbl>
            <c:dLbl>
              <c:idx val="2"/>
              <c:layout>
                <c:manualLayout>
                  <c:x val="3.2080874283778212E-2"/>
                  <c:y val="2.2354539015956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E6B-49EA-AC4F-6BAB5D8B2555}"/>
                </c:ext>
              </c:extLst>
            </c:dLbl>
            <c:dLbl>
              <c:idx val="3"/>
              <c:layout>
                <c:manualLayout>
                  <c:x val="2.951183125230734E-2"/>
                  <c:y val="1.38889305503479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E6B-49EA-AC4F-6BAB5D8B2555}"/>
                </c:ext>
              </c:extLst>
            </c:dLbl>
            <c:dLbl>
              <c:idx val="4"/>
              <c:layout>
                <c:manualLayout>
                  <c:x val="2.2430982254385851E-2"/>
                  <c:y val="1.269841269841270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E6B-49EA-AC4F-6BAB5D8B2555}"/>
                </c:ext>
              </c:extLst>
            </c:dLbl>
            <c:dLbl>
              <c:idx val="6"/>
              <c:layout>
                <c:manualLayout>
                  <c:x val="3.5276197411740491E-2"/>
                  <c:y val="2.55291421905595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E6B-49EA-AC4F-6BAB5D8B2555}"/>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'Здравоохранение      '!$B$70:$B$76</c:f>
              <c:strCache>
                <c:ptCount val="7"/>
                <c:pt idx="0">
                  <c:v>01.01.2011 г.</c:v>
                </c:pt>
                <c:pt idx="1">
                  <c:v>01.01.2012 г.</c:v>
                </c:pt>
                <c:pt idx="2">
                  <c:v>01.01.2013 г.</c:v>
                </c:pt>
                <c:pt idx="3">
                  <c:v>01.01.2014 г.</c:v>
                </c:pt>
                <c:pt idx="4">
                  <c:v>01.01.2015 г.</c:v>
                </c:pt>
                <c:pt idx="5">
                  <c:v>01.01.2016 г.</c:v>
                </c:pt>
                <c:pt idx="6">
                  <c:v>01.01.2017 г.</c:v>
                </c:pt>
              </c:strCache>
            </c:strRef>
          </c:cat>
          <c:val>
            <c:numRef>
              <c:f>'Здравоохранение      '!$D$70:$D$76</c:f>
              <c:numCache>
                <c:formatCode>General</c:formatCode>
                <c:ptCount val="7"/>
                <c:pt idx="0">
                  <c:v>1212.5999999999999</c:v>
                </c:pt>
                <c:pt idx="1">
                  <c:v>1210.5</c:v>
                </c:pt>
                <c:pt idx="2">
                  <c:v>1213.5999999999999</c:v>
                </c:pt>
                <c:pt idx="3">
                  <c:v>1302.5999999999999</c:v>
                </c:pt>
                <c:pt idx="4">
                  <c:v>1292.3</c:v>
                </c:pt>
                <c:pt idx="5">
                  <c:v>1321</c:v>
                </c:pt>
                <c:pt idx="6">
                  <c:v>1385.2</c:v>
                </c:pt>
              </c:numCache>
            </c:numRef>
          </c:val>
          <c:extLst xmlns:c16r2="http://schemas.microsoft.com/office/drawing/2015/06/chart">
            <c:ext xmlns:c16="http://schemas.microsoft.com/office/drawing/2014/chart" uri="{C3380CC4-5D6E-409C-BE32-E72D297353CC}">
              <c16:uniqueId val="{00000008-5E6B-49EA-AC4F-6BAB5D8B2555}"/>
            </c:ext>
          </c:extLst>
        </c:ser>
        <c:ser>
          <c:idx val="2"/>
          <c:order val="2"/>
          <c:tx>
            <c:strRef>
              <c:f>'Здравоохранение      '!$E$69</c:f>
              <c:strCache>
                <c:ptCount val="1"/>
                <c:pt idx="0">
                  <c:v>взрослые (старше 17 лет)</c:v>
                </c:pt>
              </c:strCache>
            </c:strRef>
          </c:tx>
          <c:dLbls>
            <c:dLbl>
              <c:idx val="0"/>
              <c:layout>
                <c:manualLayout>
                  <c:x val="1.9444444444444445E-2"/>
                  <c:y val="1.38888888888892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E6B-49EA-AC4F-6BAB5D8B2555}"/>
                </c:ext>
              </c:extLst>
            </c:dLbl>
            <c:dLbl>
              <c:idx val="1"/>
              <c:layout>
                <c:manualLayout>
                  <c:x val="2.2222222222222251E-2"/>
                  <c:y val="9.259259259259548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E6B-49EA-AC4F-6BAB5D8B2555}"/>
                </c:ext>
              </c:extLst>
            </c:dLbl>
            <c:dLbl>
              <c:idx val="2"/>
              <c:layout>
                <c:manualLayout>
                  <c:x val="1.6666666666666701E-2"/>
                  <c:y val="9.259259259259548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E6B-49EA-AC4F-6BAB5D8B2555}"/>
                </c:ext>
              </c:extLst>
            </c:dLbl>
            <c:dLbl>
              <c:idx val="3"/>
              <c:layout>
                <c:manualLayout>
                  <c:x val="2.5000000000000001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E6B-49EA-AC4F-6BAB5D8B2555}"/>
                </c:ext>
              </c:extLst>
            </c:dLbl>
            <c:dLbl>
              <c:idx val="5"/>
              <c:layout>
                <c:manualLayout>
                  <c:x val="2.4999999999999897E-2"/>
                  <c:y val="2.77777777777788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E6B-49EA-AC4F-6BAB5D8B2555}"/>
                </c:ext>
              </c:extLst>
            </c:dLbl>
            <c:dLbl>
              <c:idx val="6"/>
              <c:layout>
                <c:manualLayout>
                  <c:x val="1.1111111111111021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5E6B-49EA-AC4F-6BAB5D8B2555}"/>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'Здравоохранение      '!$B$70:$B$76</c:f>
              <c:strCache>
                <c:ptCount val="7"/>
                <c:pt idx="0">
                  <c:v>01.01.2011 г.</c:v>
                </c:pt>
                <c:pt idx="1">
                  <c:v>01.01.2012 г.</c:v>
                </c:pt>
                <c:pt idx="2">
                  <c:v>01.01.2013 г.</c:v>
                </c:pt>
                <c:pt idx="3">
                  <c:v>01.01.2014 г.</c:v>
                </c:pt>
                <c:pt idx="4">
                  <c:v>01.01.2015 г.</c:v>
                </c:pt>
                <c:pt idx="5">
                  <c:v>01.01.2016 г.</c:v>
                </c:pt>
                <c:pt idx="6">
                  <c:v>01.01.2017 г.</c:v>
                </c:pt>
              </c:strCache>
            </c:strRef>
          </c:cat>
          <c:val>
            <c:numRef>
              <c:f>'Здравоохранение      '!$E$70:$E$76</c:f>
              <c:numCache>
                <c:formatCode>General</c:formatCode>
                <c:ptCount val="7"/>
                <c:pt idx="0">
                  <c:v>367.4</c:v>
                </c:pt>
                <c:pt idx="1">
                  <c:v>377.4</c:v>
                </c:pt>
                <c:pt idx="2">
                  <c:v>427</c:v>
                </c:pt>
                <c:pt idx="3">
                  <c:v>444.5</c:v>
                </c:pt>
                <c:pt idx="4">
                  <c:v>442.6</c:v>
                </c:pt>
                <c:pt idx="5">
                  <c:v>457.3</c:v>
                </c:pt>
                <c:pt idx="6">
                  <c:v>399.5</c:v>
                </c:pt>
              </c:numCache>
            </c:numRef>
          </c:val>
          <c:extLst xmlns:c16r2="http://schemas.microsoft.com/office/drawing/2015/06/chart">
            <c:ext xmlns:c16="http://schemas.microsoft.com/office/drawing/2014/chart" uri="{C3380CC4-5D6E-409C-BE32-E72D297353CC}">
              <c16:uniqueId val="{0000000F-5E6B-49EA-AC4F-6BAB5D8B2555}"/>
            </c:ext>
          </c:extLst>
        </c:ser>
        <c:axId val="170682240"/>
        <c:axId val="170683776"/>
      </c:barChart>
      <c:catAx>
        <c:axId val="170682240"/>
        <c:scaling>
          <c:orientation val="minMax"/>
        </c:scaling>
        <c:axPos val="b"/>
        <c:numFmt formatCode="General" sourceLinked="0"/>
        <c:tickLblPos val="nextTo"/>
        <c:crossAx val="170683776"/>
        <c:crosses val="autoZero"/>
        <c:auto val="1"/>
        <c:lblAlgn val="ctr"/>
        <c:lblOffset val="100"/>
      </c:catAx>
      <c:valAx>
        <c:axId val="170683776"/>
        <c:scaling>
          <c:orientation val="minMax"/>
        </c:scaling>
        <c:axPos val="l"/>
        <c:majorGridlines/>
        <c:numFmt formatCode="General" sourceLinked="1"/>
        <c:tickLblPos val="nextTo"/>
        <c:crossAx val="170682240"/>
        <c:crosses val="autoZero"/>
        <c:crossBetween val="between"/>
      </c:valAx>
    </c:plotArea>
    <c:legend>
      <c:legendPos val="b"/>
    </c:legend>
    <c:plotVisOnly val="1"/>
    <c:dispBlanksAs val="gap"/>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'Здравоохранение      '!$C$96</c:f>
              <c:strCache>
                <c:ptCount val="1"/>
                <c:pt idx="0">
                  <c:v>Младенческая смертность, промилле</c:v>
                </c:pt>
              </c:strCache>
            </c:strRef>
          </c:tx>
          <c:dLbls>
            <c:spPr>
              <a:noFill/>
              <a:ln>
                <a:noFill/>
              </a:ln>
              <a:effectLst/>
            </c:spPr>
            <c:txPr>
              <a:bodyPr/>
              <a:lstStyle/>
              <a:p>
                <a:pPr>
                  <a:defRPr sz="1200">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'Здравоохранение      '!$B$97:$B$103</c:f>
              <c:strCache>
                <c:ptCount val="7"/>
                <c:pt idx="0">
                  <c:v>01.01.2011 г.</c:v>
                </c:pt>
                <c:pt idx="1">
                  <c:v>01.01.2012 г.</c:v>
                </c:pt>
                <c:pt idx="2">
                  <c:v>01.01.2013 г.</c:v>
                </c:pt>
                <c:pt idx="3">
                  <c:v>01.01.2014 г.</c:v>
                </c:pt>
                <c:pt idx="4">
                  <c:v>01.01.2015 г.</c:v>
                </c:pt>
                <c:pt idx="5">
                  <c:v>01.01.2016 г.</c:v>
                </c:pt>
                <c:pt idx="6">
                  <c:v>01.01.2017 г.</c:v>
                </c:pt>
              </c:strCache>
            </c:strRef>
          </c:cat>
          <c:val>
            <c:numRef>
              <c:f>'Здравоохранение      '!$C$97:$C$103</c:f>
              <c:numCache>
                <c:formatCode>General</c:formatCode>
                <c:ptCount val="7"/>
                <c:pt idx="0">
                  <c:v>8.3000000000000007</c:v>
                </c:pt>
                <c:pt idx="1">
                  <c:v>17</c:v>
                </c:pt>
                <c:pt idx="2">
                  <c:v>4.9000000000000004</c:v>
                </c:pt>
                <c:pt idx="3">
                  <c:v>2.2999999999999998</c:v>
                </c:pt>
                <c:pt idx="4">
                  <c:v>21.1</c:v>
                </c:pt>
                <c:pt idx="5">
                  <c:v>5.5</c:v>
                </c:pt>
                <c:pt idx="6">
                  <c:v>22.7</c:v>
                </c:pt>
              </c:numCache>
            </c:numRef>
          </c:val>
          <c:extLst xmlns:c16r2="http://schemas.microsoft.com/office/drawing/2015/06/chart">
            <c:ext xmlns:c16="http://schemas.microsoft.com/office/drawing/2014/chart" uri="{C3380CC4-5D6E-409C-BE32-E72D297353CC}">
              <c16:uniqueId val="{00000000-CB26-430A-96A3-41075BC824D6}"/>
            </c:ext>
          </c:extLst>
        </c:ser>
        <c:axId val="170721664"/>
        <c:axId val="170723200"/>
      </c:barChart>
      <c:catAx>
        <c:axId val="170721664"/>
        <c:scaling>
          <c:orientation val="minMax"/>
        </c:scaling>
        <c:axPos val="b"/>
        <c:numFmt formatCode="General" sourceLinked="0"/>
        <c:tickLblPos val="nextTo"/>
        <c:crossAx val="170723200"/>
        <c:crosses val="autoZero"/>
        <c:auto val="1"/>
        <c:lblAlgn val="ctr"/>
        <c:lblOffset val="100"/>
      </c:catAx>
      <c:valAx>
        <c:axId val="170723200"/>
        <c:scaling>
          <c:orientation val="minMax"/>
        </c:scaling>
        <c:axPos val="l"/>
        <c:majorGridlines/>
        <c:numFmt formatCode="General" sourceLinked="1"/>
        <c:tickLblPos val="nextTo"/>
        <c:crossAx val="170721664"/>
        <c:crosses val="autoZero"/>
        <c:crossBetween val="between"/>
      </c:valAx>
    </c:plotArea>
    <c:plotVisOnly val="1"/>
    <c:dispBlanksAs val="gap"/>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'Здравоохранение      '!$C$111</c:f>
              <c:strCache>
                <c:ptCount val="1"/>
                <c:pt idx="0">
                  <c:v>Количество больничных коек на 10000 чел.</c:v>
                </c:pt>
              </c:strCache>
            </c:strRef>
          </c:tx>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'Здравоохранение      '!$B$112:$B$118</c:f>
              <c:strCache>
                <c:ptCount val="7"/>
                <c:pt idx="0">
                  <c:v>01.01.2011 г.</c:v>
                </c:pt>
                <c:pt idx="1">
                  <c:v>01.01.2012 г.</c:v>
                </c:pt>
                <c:pt idx="2">
                  <c:v>01.01.2013 г.</c:v>
                </c:pt>
                <c:pt idx="3">
                  <c:v>01.01.2014 г.</c:v>
                </c:pt>
                <c:pt idx="4">
                  <c:v>01.01.2015 г.</c:v>
                </c:pt>
                <c:pt idx="5">
                  <c:v>01.01.2016 г.</c:v>
                </c:pt>
                <c:pt idx="6">
                  <c:v>01.01.2017 г.</c:v>
                </c:pt>
              </c:strCache>
            </c:strRef>
          </c:cat>
          <c:val>
            <c:numRef>
              <c:f>'Здравоохранение      '!$C$112:$C$118</c:f>
              <c:numCache>
                <c:formatCode>General</c:formatCode>
                <c:ptCount val="7"/>
                <c:pt idx="0">
                  <c:v>20.9</c:v>
                </c:pt>
                <c:pt idx="1">
                  <c:v>21.9</c:v>
                </c:pt>
                <c:pt idx="2">
                  <c:v>22</c:v>
                </c:pt>
                <c:pt idx="3">
                  <c:v>22.6</c:v>
                </c:pt>
                <c:pt idx="4">
                  <c:v>22.3</c:v>
                </c:pt>
                <c:pt idx="5">
                  <c:v>22.6</c:v>
                </c:pt>
                <c:pt idx="6">
                  <c:v>22.7</c:v>
                </c:pt>
              </c:numCache>
            </c:numRef>
          </c:val>
          <c:extLst xmlns:c16r2="http://schemas.microsoft.com/office/drawing/2015/06/chart">
            <c:ext xmlns:c16="http://schemas.microsoft.com/office/drawing/2014/chart" uri="{C3380CC4-5D6E-409C-BE32-E72D297353CC}">
              <c16:uniqueId val="{00000000-2717-4107-86B6-EEEEF9111B7A}"/>
            </c:ext>
          </c:extLst>
        </c:ser>
        <c:ser>
          <c:idx val="1"/>
          <c:order val="1"/>
          <c:tx>
            <c:strRef>
              <c:f>'Здравоохранение      '!$D$111</c:f>
              <c:strCache>
                <c:ptCount val="1"/>
                <c:pt idx="0">
                  <c:v>Обеспеченность врачами  на 10000 человек населения, единиц</c:v>
                </c:pt>
              </c:strCache>
            </c:strRef>
          </c:tx>
          <c:cat>
            <c:strRef>
              <c:f>'Здравоохранение      '!$B$112:$B$118</c:f>
              <c:strCache>
                <c:ptCount val="7"/>
                <c:pt idx="0">
                  <c:v>01.01.2011 г.</c:v>
                </c:pt>
                <c:pt idx="1">
                  <c:v>01.01.2012 г.</c:v>
                </c:pt>
                <c:pt idx="2">
                  <c:v>01.01.2013 г.</c:v>
                </c:pt>
                <c:pt idx="3">
                  <c:v>01.01.2014 г.</c:v>
                </c:pt>
                <c:pt idx="4">
                  <c:v>01.01.2015 г.</c:v>
                </c:pt>
                <c:pt idx="5">
                  <c:v>01.01.2016 г.</c:v>
                </c:pt>
                <c:pt idx="6">
                  <c:v>01.01.2017 г.</c:v>
                </c:pt>
              </c:strCache>
            </c:strRef>
          </c:cat>
          <c:val>
            <c:numRef>
              <c:f>'Здравоохранение      '!$D$112:$D$118</c:f>
              <c:numCache>
                <c:formatCode>General</c:formatCode>
                <c:ptCount val="7"/>
                <c:pt idx="0">
                  <c:v>20.9</c:v>
                </c:pt>
                <c:pt idx="1">
                  <c:v>21.9</c:v>
                </c:pt>
                <c:pt idx="2">
                  <c:v>22</c:v>
                </c:pt>
                <c:pt idx="3">
                  <c:v>22.6</c:v>
                </c:pt>
                <c:pt idx="4">
                  <c:v>22.3</c:v>
                </c:pt>
                <c:pt idx="5">
                  <c:v>22.6</c:v>
                </c:pt>
                <c:pt idx="6">
                  <c:v>22.7</c:v>
                </c:pt>
              </c:numCache>
            </c:numRef>
          </c:val>
          <c:extLst xmlns:c16r2="http://schemas.microsoft.com/office/drawing/2015/06/chart">
            <c:ext xmlns:c16="http://schemas.microsoft.com/office/drawing/2014/chart" uri="{C3380CC4-5D6E-409C-BE32-E72D297353CC}">
              <c16:uniqueId val="{00000001-2717-4107-86B6-EEEEF9111B7A}"/>
            </c:ext>
          </c:extLst>
        </c:ser>
        <c:ser>
          <c:idx val="2"/>
          <c:order val="2"/>
          <c:tx>
            <c:strRef>
              <c:f>'Здравоохранение      '!$E$111</c:f>
              <c:strCache>
                <c:ptCount val="1"/>
                <c:pt idx="0">
                  <c:v>Обеспеченность средним медицинским персонала на 10000 человек населения, единиц</c:v>
                </c:pt>
              </c:strCache>
            </c:strRef>
          </c:tx>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'Здравоохранение      '!$B$112:$B$118</c:f>
              <c:strCache>
                <c:ptCount val="7"/>
                <c:pt idx="0">
                  <c:v>01.01.2011 г.</c:v>
                </c:pt>
                <c:pt idx="1">
                  <c:v>01.01.2012 г.</c:v>
                </c:pt>
                <c:pt idx="2">
                  <c:v>01.01.2013 г.</c:v>
                </c:pt>
                <c:pt idx="3">
                  <c:v>01.01.2014 г.</c:v>
                </c:pt>
                <c:pt idx="4">
                  <c:v>01.01.2015 г.</c:v>
                </c:pt>
                <c:pt idx="5">
                  <c:v>01.01.2016 г.</c:v>
                </c:pt>
                <c:pt idx="6">
                  <c:v>01.01.2017 г.</c:v>
                </c:pt>
              </c:strCache>
            </c:strRef>
          </c:cat>
          <c:val>
            <c:numRef>
              <c:f>'Здравоохранение      '!$E$112:$E$118</c:f>
              <c:numCache>
                <c:formatCode>General</c:formatCode>
                <c:ptCount val="7"/>
                <c:pt idx="0">
                  <c:v>68.7</c:v>
                </c:pt>
                <c:pt idx="1">
                  <c:v>74.8</c:v>
                </c:pt>
                <c:pt idx="2">
                  <c:v>71.2</c:v>
                </c:pt>
                <c:pt idx="3">
                  <c:v>71.7</c:v>
                </c:pt>
                <c:pt idx="4">
                  <c:v>69.900000000000006</c:v>
                </c:pt>
                <c:pt idx="5">
                  <c:v>66.400000000000006</c:v>
                </c:pt>
                <c:pt idx="6">
                  <c:v>65.3</c:v>
                </c:pt>
              </c:numCache>
            </c:numRef>
          </c:val>
          <c:extLst xmlns:c16r2="http://schemas.microsoft.com/office/drawing/2015/06/chart">
            <c:ext xmlns:c16="http://schemas.microsoft.com/office/drawing/2014/chart" uri="{C3380CC4-5D6E-409C-BE32-E72D297353CC}">
              <c16:uniqueId val="{00000002-2717-4107-86B6-EEEEF9111B7A}"/>
            </c:ext>
          </c:extLst>
        </c:ser>
        <c:axId val="170744832"/>
        <c:axId val="170771200"/>
      </c:barChart>
      <c:catAx>
        <c:axId val="170744832"/>
        <c:scaling>
          <c:orientation val="minMax"/>
        </c:scaling>
        <c:axPos val="b"/>
        <c:numFmt formatCode="General" sourceLinked="0"/>
        <c:tickLblPos val="nextTo"/>
        <c:crossAx val="170771200"/>
        <c:crosses val="autoZero"/>
        <c:auto val="1"/>
        <c:lblAlgn val="ctr"/>
        <c:lblOffset val="100"/>
      </c:catAx>
      <c:valAx>
        <c:axId val="170771200"/>
        <c:scaling>
          <c:orientation val="minMax"/>
        </c:scaling>
        <c:axPos val="l"/>
        <c:majorGridlines/>
        <c:numFmt formatCode="General" sourceLinked="1"/>
        <c:tickLblPos val="nextTo"/>
        <c:crossAx val="170744832"/>
        <c:crosses val="autoZero"/>
        <c:crossBetween val="between"/>
      </c:valAx>
    </c:plotArea>
    <c:legend>
      <c:legendPos val="b"/>
    </c:legend>
    <c:plotVisOnly val="1"/>
    <c:dispBlanksAs val="gap"/>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'культура досуг'!$C$2</c:f>
              <c:strCache>
                <c:ptCount val="1"/>
                <c:pt idx="0">
                  <c:v>Библиотечный фонд, количество экземпляров на 1000 человек</c:v>
                </c:pt>
              </c:strCache>
            </c:strRef>
          </c:tx>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'культура досуг'!$B$3:$B$9</c:f>
              <c:strCache>
                <c:ptCount val="7"/>
                <c:pt idx="0">
                  <c:v>01.01.2011 г.</c:v>
                </c:pt>
                <c:pt idx="1">
                  <c:v>01.01.2012 г.</c:v>
                </c:pt>
                <c:pt idx="2">
                  <c:v>01.01.2013 г.</c:v>
                </c:pt>
                <c:pt idx="3">
                  <c:v>01.01.2014 г.</c:v>
                </c:pt>
                <c:pt idx="4">
                  <c:v>01.01.2015 г.</c:v>
                </c:pt>
                <c:pt idx="5">
                  <c:v>01.01.2016 г.</c:v>
                </c:pt>
                <c:pt idx="6">
                  <c:v>01.01.2017 г.</c:v>
                </c:pt>
              </c:strCache>
            </c:strRef>
          </c:cat>
          <c:val>
            <c:numRef>
              <c:f>'культура досуг'!$C$3:$C$9</c:f>
              <c:numCache>
                <c:formatCode>General</c:formatCode>
                <c:ptCount val="7"/>
                <c:pt idx="0">
                  <c:v>436160</c:v>
                </c:pt>
                <c:pt idx="1">
                  <c:v>261750</c:v>
                </c:pt>
                <c:pt idx="2">
                  <c:v>255650</c:v>
                </c:pt>
                <c:pt idx="3">
                  <c:v>234344</c:v>
                </c:pt>
                <c:pt idx="4">
                  <c:v>248305</c:v>
                </c:pt>
                <c:pt idx="5">
                  <c:v>243533</c:v>
                </c:pt>
                <c:pt idx="6">
                  <c:v>239188</c:v>
                </c:pt>
              </c:numCache>
            </c:numRef>
          </c:val>
          <c:extLst xmlns:c16r2="http://schemas.microsoft.com/office/drawing/2015/06/chart">
            <c:ext xmlns:c16="http://schemas.microsoft.com/office/drawing/2014/chart" uri="{C3380CC4-5D6E-409C-BE32-E72D297353CC}">
              <c16:uniqueId val="{00000000-81D8-4728-A01B-DD508F9ADAE0}"/>
            </c:ext>
          </c:extLst>
        </c:ser>
        <c:axId val="170783104"/>
        <c:axId val="170784640"/>
      </c:barChart>
      <c:catAx>
        <c:axId val="170783104"/>
        <c:scaling>
          <c:orientation val="minMax"/>
        </c:scaling>
        <c:axPos val="b"/>
        <c:numFmt formatCode="General" sourceLinked="0"/>
        <c:tickLblPos val="nextTo"/>
        <c:crossAx val="170784640"/>
        <c:crosses val="autoZero"/>
        <c:auto val="1"/>
        <c:lblAlgn val="ctr"/>
        <c:lblOffset val="100"/>
      </c:catAx>
      <c:valAx>
        <c:axId val="170784640"/>
        <c:scaling>
          <c:orientation val="minMax"/>
        </c:scaling>
        <c:axPos val="l"/>
        <c:majorGridlines/>
        <c:numFmt formatCode="General" sourceLinked="1"/>
        <c:tickLblPos val="nextTo"/>
        <c:crossAx val="170783104"/>
        <c:crosses val="autoZero"/>
        <c:crossBetween val="between"/>
      </c:valAx>
    </c:plotArea>
    <c:plotVisOnly val="1"/>
    <c:dispBlanksAs val="gap"/>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'культура досуг'!$C$14</c:f>
              <c:strCache>
                <c:ptCount val="1"/>
                <c:pt idx="0">
                  <c:v>Численность детей отдохнувших в лагерях, чел.</c:v>
                </c:pt>
              </c:strCache>
            </c:strRef>
          </c:tx>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'культура досуг'!$B$15:$B$21</c:f>
              <c:strCache>
                <c:ptCount val="7"/>
                <c:pt idx="0">
                  <c:v>01.01.2011 г.</c:v>
                </c:pt>
                <c:pt idx="1">
                  <c:v>01.01.2012 г.</c:v>
                </c:pt>
                <c:pt idx="2">
                  <c:v>01.01.2013 г.</c:v>
                </c:pt>
                <c:pt idx="3">
                  <c:v>01.01.2014 г.</c:v>
                </c:pt>
                <c:pt idx="4">
                  <c:v>01.01.2015 г.</c:v>
                </c:pt>
                <c:pt idx="5">
                  <c:v>01.01.2016 г.</c:v>
                </c:pt>
                <c:pt idx="6">
                  <c:v>01.01.2017 г.</c:v>
                </c:pt>
              </c:strCache>
            </c:strRef>
          </c:cat>
          <c:val>
            <c:numRef>
              <c:f>'культура досуг'!$C$15:$C$21</c:f>
              <c:numCache>
                <c:formatCode>General</c:formatCode>
                <c:ptCount val="7"/>
                <c:pt idx="0">
                  <c:v>3349</c:v>
                </c:pt>
                <c:pt idx="1">
                  <c:v>3153</c:v>
                </c:pt>
                <c:pt idx="2">
                  <c:v>2865</c:v>
                </c:pt>
                <c:pt idx="3">
                  <c:v>2891</c:v>
                </c:pt>
                <c:pt idx="4">
                  <c:v>2781</c:v>
                </c:pt>
                <c:pt idx="5">
                  <c:v>2643</c:v>
                </c:pt>
                <c:pt idx="6">
                  <c:v>2708</c:v>
                </c:pt>
              </c:numCache>
            </c:numRef>
          </c:val>
          <c:extLst xmlns:c16r2="http://schemas.microsoft.com/office/drawing/2015/06/chart">
            <c:ext xmlns:c16="http://schemas.microsoft.com/office/drawing/2014/chart" uri="{C3380CC4-5D6E-409C-BE32-E72D297353CC}">
              <c16:uniqueId val="{00000000-DE8F-4976-90EE-84835BD90D4F}"/>
            </c:ext>
          </c:extLst>
        </c:ser>
        <c:axId val="170796160"/>
        <c:axId val="170797696"/>
      </c:barChart>
      <c:catAx>
        <c:axId val="170796160"/>
        <c:scaling>
          <c:orientation val="minMax"/>
        </c:scaling>
        <c:axPos val="b"/>
        <c:numFmt formatCode="General" sourceLinked="0"/>
        <c:tickLblPos val="nextTo"/>
        <c:crossAx val="170797696"/>
        <c:crosses val="autoZero"/>
        <c:auto val="1"/>
        <c:lblAlgn val="ctr"/>
        <c:lblOffset val="100"/>
      </c:catAx>
      <c:valAx>
        <c:axId val="170797696"/>
        <c:scaling>
          <c:orientation val="minMax"/>
        </c:scaling>
        <c:axPos val="l"/>
        <c:majorGridlines/>
        <c:numFmt formatCode="General" sourceLinked="1"/>
        <c:tickLblPos val="nextTo"/>
        <c:crossAx val="170796160"/>
        <c:crosses val="autoZero"/>
        <c:crossBetween val="between"/>
      </c:val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демография!$G$4</c:f>
              <c:strCache>
                <c:ptCount val="1"/>
                <c:pt idx="0">
                  <c:v>Численность населения по данным Пермьстата, человек.</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демография!$F$5:$F$11</c:f>
              <c:strCache>
                <c:ptCount val="7"/>
                <c:pt idx="0">
                  <c:v>01.01.2011 г.</c:v>
                </c:pt>
                <c:pt idx="1">
                  <c:v>01.01.2012 г.</c:v>
                </c:pt>
                <c:pt idx="2">
                  <c:v>01.01.2013 г.</c:v>
                </c:pt>
                <c:pt idx="3">
                  <c:v>01.01.2014 г.</c:v>
                </c:pt>
                <c:pt idx="4">
                  <c:v>01.01.2015 г.</c:v>
                </c:pt>
                <c:pt idx="5">
                  <c:v>01.01.2016 г.</c:v>
                </c:pt>
                <c:pt idx="6">
                  <c:v>01.01.2017 г.</c:v>
                </c:pt>
              </c:strCache>
            </c:strRef>
          </c:cat>
          <c:val>
            <c:numRef>
              <c:f>демография!$G$5:$G$11</c:f>
              <c:numCache>
                <c:formatCode>General</c:formatCode>
                <c:ptCount val="7"/>
                <c:pt idx="0">
                  <c:v>25588</c:v>
                </c:pt>
                <c:pt idx="1">
                  <c:v>25431</c:v>
                </c:pt>
                <c:pt idx="2">
                  <c:v>25249</c:v>
                </c:pt>
                <c:pt idx="3">
                  <c:v>25555</c:v>
                </c:pt>
                <c:pt idx="4">
                  <c:v>25172</c:v>
                </c:pt>
                <c:pt idx="5">
                  <c:v>25251</c:v>
                </c:pt>
                <c:pt idx="6">
                  <c:v>25291</c:v>
                </c:pt>
              </c:numCache>
            </c:numRef>
          </c:val>
          <c:extLst xmlns:c16r2="http://schemas.microsoft.com/office/drawing/2015/06/chart">
            <c:ext xmlns:c16="http://schemas.microsoft.com/office/drawing/2014/chart" uri="{C3380CC4-5D6E-409C-BE32-E72D297353CC}">
              <c16:uniqueId val="{00000000-504E-44A5-B080-A96F9A7D2CB2}"/>
            </c:ext>
          </c:extLst>
        </c:ser>
        <c:overlap val="100"/>
        <c:axId val="167293696"/>
        <c:axId val="167295232"/>
      </c:barChart>
      <c:catAx>
        <c:axId val="1672936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295232"/>
        <c:crosses val="autoZero"/>
        <c:auto val="1"/>
        <c:lblAlgn val="ctr"/>
        <c:lblOffset val="100"/>
      </c:catAx>
      <c:valAx>
        <c:axId val="1672952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29369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'культура досуг'!$C$42</c:f>
              <c:strCache>
                <c:ptCount val="1"/>
                <c:pt idx="0">
                  <c:v>Численность пенсионеров, человек</c:v>
                </c:pt>
              </c:strCache>
            </c:strRef>
          </c:tx>
          <c:dLbls>
            <c:dLbl>
              <c:idx val="0"/>
              <c:layout>
                <c:manualLayout>
                  <c:x val="-5.4054054054054092E-2"/>
                  <c:y val="5.761316872427979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DA3-4F9B-B78C-7F879F0BC2C1}"/>
                </c:ext>
              </c:extLst>
            </c:dLbl>
            <c:dLbl>
              <c:idx val="1"/>
              <c:layout>
                <c:manualLayout>
                  <c:x val="-4.6332046332047024E-2"/>
                  <c:y val="-6.17283950617283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DA3-4F9B-B78C-7F879F0BC2C1}"/>
                </c:ext>
              </c:extLst>
            </c:dLbl>
            <c:dLbl>
              <c:idx val="2"/>
              <c:layout>
                <c:manualLayout>
                  <c:x val="-3.8610038610038609E-2"/>
                  <c:y val="-6.17283950617283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DA3-4F9B-B78C-7F879F0BC2C1}"/>
                </c:ext>
              </c:extLst>
            </c:dLbl>
            <c:dLbl>
              <c:idx val="4"/>
              <c:layout>
                <c:manualLayout>
                  <c:x val="-4.3758043758043812E-2"/>
                  <c:y val="-5.761316872427979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DA3-4F9B-B78C-7F879F0BC2C1}"/>
                </c:ext>
              </c:extLst>
            </c:dLbl>
            <c:dLbl>
              <c:idx val="5"/>
              <c:layout>
                <c:manualLayout>
                  <c:x val="-5.4054054054054022E-2"/>
                  <c:y val="5.349794238683132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DA3-4F9B-B78C-7F879F0BC2C1}"/>
                </c:ext>
              </c:extLst>
            </c:dLbl>
            <c:spPr>
              <a:noFill/>
              <a:ln>
                <a:noFill/>
              </a:ln>
              <a:effectLst/>
            </c:spPr>
            <c:txPr>
              <a:bodyPr/>
              <a:lstStyle/>
              <a:p>
                <a:pPr>
                  <a:defRPr sz="1200"/>
                </a:pPr>
                <a:endParaRPr lang="ru-RU"/>
              </a:p>
            </c:txPr>
            <c:showVal val="1"/>
            <c:extLst xmlns:c16r2="http://schemas.microsoft.com/office/drawing/2015/06/chart">
              <c:ext xmlns:c15="http://schemas.microsoft.com/office/drawing/2012/chart" uri="{CE6537A1-D6FC-4f65-9D91-7224C49458BB}">
                <c15:showLeaderLines val="0"/>
              </c:ext>
            </c:extLst>
          </c:dLbls>
          <c:cat>
            <c:strRef>
              <c:f>'культура досуг'!$B$43:$B$49</c:f>
              <c:strCache>
                <c:ptCount val="7"/>
                <c:pt idx="0">
                  <c:v>01.01.2011 г.</c:v>
                </c:pt>
                <c:pt idx="1">
                  <c:v>01.01.2012 г.</c:v>
                </c:pt>
                <c:pt idx="2">
                  <c:v>01.01.2013 г.</c:v>
                </c:pt>
                <c:pt idx="3">
                  <c:v>01.01.2014 г.</c:v>
                </c:pt>
                <c:pt idx="4">
                  <c:v>01.01.2015 г.</c:v>
                </c:pt>
                <c:pt idx="5">
                  <c:v>01.01.2016 г.</c:v>
                </c:pt>
                <c:pt idx="6">
                  <c:v>01.01.2017 г.</c:v>
                </c:pt>
              </c:strCache>
            </c:strRef>
          </c:cat>
          <c:val>
            <c:numRef>
              <c:f>'культура досуг'!$C$43:$C$49</c:f>
              <c:numCache>
                <c:formatCode>General</c:formatCode>
                <c:ptCount val="7"/>
                <c:pt idx="0">
                  <c:v>5956</c:v>
                </c:pt>
                <c:pt idx="1">
                  <c:v>5982</c:v>
                </c:pt>
                <c:pt idx="2">
                  <c:v>6078</c:v>
                </c:pt>
                <c:pt idx="3">
                  <c:v>6141</c:v>
                </c:pt>
                <c:pt idx="4">
                  <c:v>7929</c:v>
                </c:pt>
                <c:pt idx="5">
                  <c:v>7943</c:v>
                </c:pt>
                <c:pt idx="6">
                  <c:v>7990</c:v>
                </c:pt>
              </c:numCache>
            </c:numRef>
          </c:val>
          <c:extLst xmlns:c16r2="http://schemas.microsoft.com/office/drawing/2015/06/chart">
            <c:ext xmlns:c16="http://schemas.microsoft.com/office/drawing/2014/chart" uri="{C3380CC4-5D6E-409C-BE32-E72D297353CC}">
              <c16:uniqueId val="{00000005-FDA3-4F9B-B78C-7F879F0BC2C1}"/>
            </c:ext>
          </c:extLst>
        </c:ser>
        <c:marker val="1"/>
        <c:axId val="170833792"/>
        <c:axId val="170835328"/>
      </c:lineChart>
      <c:catAx>
        <c:axId val="170833792"/>
        <c:scaling>
          <c:orientation val="minMax"/>
        </c:scaling>
        <c:axPos val="b"/>
        <c:numFmt formatCode="General" sourceLinked="0"/>
        <c:tickLblPos val="nextTo"/>
        <c:crossAx val="170835328"/>
        <c:crosses val="autoZero"/>
        <c:auto val="1"/>
        <c:lblAlgn val="ctr"/>
        <c:lblOffset val="100"/>
      </c:catAx>
      <c:valAx>
        <c:axId val="170835328"/>
        <c:scaling>
          <c:orientation val="minMax"/>
        </c:scaling>
        <c:axPos val="l"/>
        <c:majorGridlines/>
        <c:numFmt formatCode="General" sourceLinked="1"/>
        <c:tickLblPos val="nextTo"/>
        <c:crossAx val="170833792"/>
        <c:crosses val="autoZero"/>
        <c:crossBetween val="between"/>
      </c:valAx>
    </c:plotArea>
    <c:plotVisOnly val="1"/>
    <c:dispBlanksAs val="gap"/>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'культура досуг'!$C$66</c:f>
              <c:strCache>
                <c:ptCount val="1"/>
                <c:pt idx="0">
                  <c:v>Средний размер месячных пенсий на конец года, руб.</c:v>
                </c:pt>
              </c:strCache>
            </c:strRef>
          </c:tx>
          <c:dLbls>
            <c:dLbl>
              <c:idx val="1"/>
              <c:layout>
                <c:manualLayout>
                  <c:x val="1.6666666666666701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347-4FC7-BD7E-2E49ACF6417B}"/>
                </c:ext>
              </c:extLst>
            </c:dLbl>
            <c:dLbl>
              <c:idx val="2"/>
              <c:layout>
                <c:manualLayout>
                  <c:x val="1.6666666666666701E-2"/>
                  <c:y val="1.388888888888919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347-4FC7-BD7E-2E49ACF6417B}"/>
                </c:ext>
              </c:extLst>
            </c:dLbl>
            <c:dLbl>
              <c:idx val="3"/>
              <c:layout>
                <c:manualLayout>
                  <c:x val="2.7777777777778932E-3"/>
                  <c:y val="-4.16666666666666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347-4FC7-BD7E-2E49ACF6417B}"/>
                </c:ext>
              </c:extLst>
            </c:dLbl>
            <c:dLbl>
              <c:idx val="4"/>
              <c:layout>
                <c:manualLayout>
                  <c:x val="8.3333333333333367E-3"/>
                  <c:y val="-3.240740740740821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347-4FC7-BD7E-2E49ACF6417B}"/>
                </c:ext>
              </c:extLst>
            </c:dLbl>
            <c:dLbl>
              <c:idx val="5"/>
              <c:layout>
                <c:manualLayout>
                  <c:x val="8.3333333333333367E-3"/>
                  <c:y val="-1.85185185185185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347-4FC7-BD7E-2E49ACF6417B}"/>
                </c:ext>
              </c:extLst>
            </c:dLbl>
            <c:dLbl>
              <c:idx val="6"/>
              <c:layout>
                <c:manualLayout>
                  <c:x val="2.2222222222222251E-2"/>
                  <c:y val="1.388888888888919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347-4FC7-BD7E-2E49ACF6417B}"/>
                </c:ext>
              </c:extLst>
            </c:dLbl>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'культура досуг'!$B$67:$B$73</c:f>
              <c:strCache>
                <c:ptCount val="7"/>
                <c:pt idx="0">
                  <c:v>01.01.2011 г.</c:v>
                </c:pt>
                <c:pt idx="1">
                  <c:v>01.01.2012 г.</c:v>
                </c:pt>
                <c:pt idx="2">
                  <c:v>01.01.2013 г.</c:v>
                </c:pt>
                <c:pt idx="3">
                  <c:v>01.01.2014 г.</c:v>
                </c:pt>
                <c:pt idx="4">
                  <c:v>01.01.2015 г.</c:v>
                </c:pt>
                <c:pt idx="5">
                  <c:v>01.01.2016 г.</c:v>
                </c:pt>
                <c:pt idx="6">
                  <c:v>01.01.2017 г.</c:v>
                </c:pt>
              </c:strCache>
            </c:strRef>
          </c:cat>
          <c:val>
            <c:numRef>
              <c:f>'культура досуг'!$C$67:$C$73</c:f>
              <c:numCache>
                <c:formatCode>General</c:formatCode>
                <c:ptCount val="7"/>
                <c:pt idx="0">
                  <c:v>8722.5</c:v>
                </c:pt>
                <c:pt idx="1">
                  <c:v>8896.4</c:v>
                </c:pt>
                <c:pt idx="2">
                  <c:v>8956.2999999999811</c:v>
                </c:pt>
                <c:pt idx="3">
                  <c:v>9005.1</c:v>
                </c:pt>
                <c:pt idx="4">
                  <c:v>9064.7999999999811</c:v>
                </c:pt>
                <c:pt idx="5">
                  <c:v>10095.33</c:v>
                </c:pt>
                <c:pt idx="6">
                  <c:v>10456.959999999752</c:v>
                </c:pt>
              </c:numCache>
            </c:numRef>
          </c:val>
          <c:extLst xmlns:c16r2="http://schemas.microsoft.com/office/drawing/2015/06/chart">
            <c:ext xmlns:c16="http://schemas.microsoft.com/office/drawing/2014/chart" uri="{C3380CC4-5D6E-409C-BE32-E72D297353CC}">
              <c16:uniqueId val="{00000006-F347-4FC7-BD7E-2E49ACF6417B}"/>
            </c:ext>
          </c:extLst>
        </c:ser>
        <c:axId val="170875520"/>
        <c:axId val="170893696"/>
      </c:barChart>
      <c:catAx>
        <c:axId val="170875520"/>
        <c:scaling>
          <c:orientation val="minMax"/>
        </c:scaling>
        <c:axPos val="b"/>
        <c:numFmt formatCode="General" sourceLinked="0"/>
        <c:tickLblPos val="nextTo"/>
        <c:crossAx val="170893696"/>
        <c:crosses val="autoZero"/>
        <c:auto val="1"/>
        <c:lblAlgn val="ctr"/>
        <c:lblOffset val="100"/>
      </c:catAx>
      <c:valAx>
        <c:axId val="170893696"/>
        <c:scaling>
          <c:orientation val="minMax"/>
        </c:scaling>
        <c:axPos val="l"/>
        <c:majorGridlines/>
        <c:numFmt formatCode="General" sourceLinked="1"/>
        <c:tickLblPos val="nextTo"/>
        <c:crossAx val="170875520"/>
        <c:crosses val="autoZero"/>
        <c:crossBetween val="between"/>
      </c:valAx>
    </c:plotArea>
    <c:plotVisOnly val="1"/>
    <c:dispBlanksAs val="gap"/>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dLbls>
            <c:dLbl>
              <c:idx val="0"/>
              <c:layout>
                <c:manualLayout>
                  <c:x val="0"/>
                  <c:y val="4.73372634029840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E2D-49BE-8744-E14577D80D52}"/>
                </c:ext>
              </c:extLst>
            </c:dLbl>
            <c:dLbl>
              <c:idx val="1"/>
              <c:layout>
                <c:manualLayout>
                  <c:x val="0"/>
                  <c:y val="3.944771950248664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E2D-49BE-8744-E14577D80D52}"/>
                </c:ext>
              </c:extLst>
            </c:dLbl>
            <c:dLbl>
              <c:idx val="2"/>
              <c:layout>
                <c:manualLayout>
                  <c:x val="0"/>
                  <c:y val="2.761340365174064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E2D-49BE-8744-E14577D80D52}"/>
                </c:ext>
              </c:extLst>
            </c:dLbl>
            <c:dLbl>
              <c:idx val="4"/>
              <c:layout>
                <c:manualLayout>
                  <c:x val="8.2581613947320054E-17"/>
                  <c:y val="3.944771950248664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E2D-49BE-8744-E14577D80D52}"/>
                </c:ext>
              </c:extLst>
            </c:dLbl>
            <c:dLbl>
              <c:idx val="5"/>
              <c:layout>
                <c:manualLayout>
                  <c:x val="-2.2522518528318492E-3"/>
                  <c:y val="3.550294755223800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E2D-49BE-8744-E14577D80D52}"/>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Консерв.!$R$69:$X$69</c:f>
              <c:strCache>
                <c:ptCount val="7"/>
                <c:pt idx="0">
                  <c:v>01.01.2011 г.</c:v>
                </c:pt>
                <c:pt idx="1">
                  <c:v>01.01.2012 г.</c:v>
                </c:pt>
                <c:pt idx="2">
                  <c:v>01.01.2013 г.</c:v>
                </c:pt>
                <c:pt idx="3">
                  <c:v>01.01.2014 г.</c:v>
                </c:pt>
                <c:pt idx="4">
                  <c:v>01.01.2015 г.</c:v>
                </c:pt>
                <c:pt idx="5">
                  <c:v>01.01.2016 г.</c:v>
                </c:pt>
                <c:pt idx="6">
                  <c:v>01.01.2017 г.</c:v>
                </c:pt>
              </c:strCache>
            </c:strRef>
          </c:cat>
          <c:val>
            <c:numRef>
              <c:f>Консерв.!$V$37:$V$43</c:f>
              <c:numCache>
                <c:formatCode>0.000</c:formatCode>
                <c:ptCount val="7"/>
                <c:pt idx="0">
                  <c:v>0.42232149188116574</c:v>
                </c:pt>
                <c:pt idx="1">
                  <c:v>0.42353440951571791</c:v>
                </c:pt>
                <c:pt idx="2">
                  <c:v>0.42691578281942244</c:v>
                </c:pt>
                <c:pt idx="3">
                  <c:v>0.44371387283236996</c:v>
                </c:pt>
                <c:pt idx="4">
                  <c:v>0.58603104212860313</c:v>
                </c:pt>
                <c:pt idx="5">
                  <c:v>0.61048343709169162</c:v>
                </c:pt>
                <c:pt idx="6">
                  <c:v>0.60927253317065733</c:v>
                </c:pt>
              </c:numCache>
            </c:numRef>
          </c:val>
          <c:extLst xmlns:c16r2="http://schemas.microsoft.com/office/drawing/2015/06/chart">
            <c:ext xmlns:c16="http://schemas.microsoft.com/office/drawing/2014/chart" uri="{C3380CC4-5D6E-409C-BE32-E72D297353CC}">
              <c16:uniqueId val="{00000005-AE2D-49BE-8744-E14577D80D52}"/>
            </c:ext>
          </c:extLst>
        </c:ser>
        <c:marker val="1"/>
        <c:axId val="170899712"/>
        <c:axId val="170909696"/>
      </c:lineChart>
      <c:catAx>
        <c:axId val="170899712"/>
        <c:scaling>
          <c:orientation val="minMax"/>
        </c:scaling>
        <c:axPos val="b"/>
        <c:numFmt formatCode="General" sourceLinked="0"/>
        <c:tickLblPos val="nextTo"/>
        <c:crossAx val="170909696"/>
        <c:crosses val="autoZero"/>
        <c:auto val="1"/>
        <c:lblAlgn val="ctr"/>
        <c:lblOffset val="100"/>
      </c:catAx>
      <c:valAx>
        <c:axId val="170909696"/>
        <c:scaling>
          <c:orientation val="minMax"/>
        </c:scaling>
        <c:axPos val="l"/>
        <c:majorGridlines>
          <c:spPr>
            <a:ln w="0">
              <a:solidFill>
                <a:schemeClr val="bg1"/>
              </a:solidFill>
            </a:ln>
          </c:spPr>
        </c:majorGridlines>
        <c:numFmt formatCode="0.000" sourceLinked="1"/>
        <c:tickLblPos val="nextTo"/>
        <c:crossAx val="170899712"/>
        <c:crosses val="autoZero"/>
        <c:crossBetween val="between"/>
      </c:valAx>
    </c:plotArea>
    <c:plotVisOnly val="1"/>
    <c:dispBlanksAs val="gap"/>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'культура досуг'!$C$83</c:f>
              <c:strCache>
                <c:ptCount val="1"/>
                <c:pt idx="0">
                  <c:v>Число семей, стоящих на учете, как нуждающиеся в жилых помещениях, единиц</c:v>
                </c:pt>
              </c:strCache>
            </c:strRef>
          </c:tx>
          <c:dLbls>
            <c:dLbl>
              <c:idx val="0"/>
              <c:layout>
                <c:manualLayout>
                  <c:x val="0"/>
                  <c:y val="2.7777777777778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E80-4277-9C8C-68E8D20942DF}"/>
                </c:ext>
              </c:extLst>
            </c:dLbl>
            <c:dLbl>
              <c:idx val="1"/>
              <c:layout>
                <c:manualLayout>
                  <c:x val="0"/>
                  <c:y val="4.629629629629590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E80-4277-9C8C-68E8D20942DF}"/>
                </c:ext>
              </c:extLst>
            </c:dLbl>
            <c:dLbl>
              <c:idx val="2"/>
              <c:layout>
                <c:manualLayout>
                  <c:x val="8.3333333333333367E-3"/>
                  <c:y val="-1.85185185185185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E80-4277-9C8C-68E8D20942DF}"/>
                </c:ext>
              </c:extLst>
            </c:dLbl>
            <c:dLbl>
              <c:idx val="3"/>
              <c:layout>
                <c:manualLayout>
                  <c:x val="8.3333333333333367E-3"/>
                  <c:y val="1.85185185185185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E80-4277-9C8C-68E8D20942DF}"/>
                </c:ext>
              </c:extLst>
            </c:dLbl>
            <c:dLbl>
              <c:idx val="6"/>
              <c:layout>
                <c:manualLayout>
                  <c:x val="2.7777777777780134E-3"/>
                  <c:y val="2.31481481481481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E80-4277-9C8C-68E8D20942DF}"/>
                </c:ext>
              </c:extLst>
            </c:dLbl>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'культура досуг'!$B$84:$B$90</c:f>
              <c:strCache>
                <c:ptCount val="7"/>
                <c:pt idx="0">
                  <c:v>01.01.2011 г.</c:v>
                </c:pt>
                <c:pt idx="1">
                  <c:v>01.01.2012 г.</c:v>
                </c:pt>
                <c:pt idx="2">
                  <c:v>01.01.2013 г.</c:v>
                </c:pt>
                <c:pt idx="3">
                  <c:v>01.01.2014 г.</c:v>
                </c:pt>
                <c:pt idx="4">
                  <c:v>01.01.2015 г.</c:v>
                </c:pt>
                <c:pt idx="5">
                  <c:v>01.01.2016 г.</c:v>
                </c:pt>
                <c:pt idx="6">
                  <c:v>01.01.2017 г.</c:v>
                </c:pt>
              </c:strCache>
            </c:strRef>
          </c:cat>
          <c:val>
            <c:numRef>
              <c:f>'культура досуг'!$C$84:$C$90</c:f>
              <c:numCache>
                <c:formatCode>General</c:formatCode>
                <c:ptCount val="7"/>
                <c:pt idx="0">
                  <c:v>340</c:v>
                </c:pt>
                <c:pt idx="1">
                  <c:v>338</c:v>
                </c:pt>
                <c:pt idx="2">
                  <c:v>335</c:v>
                </c:pt>
                <c:pt idx="3">
                  <c:v>330</c:v>
                </c:pt>
                <c:pt idx="4">
                  <c:v>326</c:v>
                </c:pt>
                <c:pt idx="5">
                  <c:v>322</c:v>
                </c:pt>
                <c:pt idx="6">
                  <c:v>320</c:v>
                </c:pt>
              </c:numCache>
            </c:numRef>
          </c:val>
          <c:extLst xmlns:c16r2="http://schemas.microsoft.com/office/drawing/2015/06/chart">
            <c:ext xmlns:c16="http://schemas.microsoft.com/office/drawing/2014/chart" uri="{C3380CC4-5D6E-409C-BE32-E72D297353CC}">
              <c16:uniqueId val="{00000005-4E80-4277-9C8C-68E8D20942DF}"/>
            </c:ext>
          </c:extLst>
        </c:ser>
        <c:axId val="170955136"/>
        <c:axId val="170956672"/>
      </c:barChart>
      <c:catAx>
        <c:axId val="170955136"/>
        <c:scaling>
          <c:orientation val="minMax"/>
        </c:scaling>
        <c:axPos val="b"/>
        <c:numFmt formatCode="General" sourceLinked="0"/>
        <c:tickLblPos val="nextTo"/>
        <c:crossAx val="170956672"/>
        <c:crosses val="autoZero"/>
        <c:auto val="1"/>
        <c:lblAlgn val="ctr"/>
        <c:lblOffset val="100"/>
      </c:catAx>
      <c:valAx>
        <c:axId val="170956672"/>
        <c:scaling>
          <c:orientation val="minMax"/>
        </c:scaling>
        <c:axPos val="l"/>
        <c:majorGridlines/>
        <c:numFmt formatCode="General" sourceLinked="1"/>
        <c:tickLblPos val="nextTo"/>
        <c:crossAx val="170955136"/>
        <c:crosses val="autoZero"/>
        <c:crossBetween val="between"/>
      </c:valAx>
    </c:plotArea>
    <c:plotVisOnly val="1"/>
    <c:dispBlanksAs val="gap"/>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'культура досуг'!$C$129</c:f>
              <c:strCache>
                <c:ptCount val="1"/>
                <c:pt idx="0">
                  <c:v>Кол-во зарегистрированных преступлений на 10000 человек населения, ед.</c:v>
                </c:pt>
              </c:strCache>
            </c:strRef>
          </c:tx>
          <c:dLbls>
            <c:spPr>
              <a:noFill/>
              <a:ln>
                <a:noFill/>
              </a:ln>
              <a:effectLst/>
            </c:spPr>
            <c:txPr>
              <a:bodyPr/>
              <a:lstStyle/>
              <a:p>
                <a:pPr>
                  <a:defRPr sz="1100">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'культура досуг'!$B$130:$B$136</c:f>
              <c:strCache>
                <c:ptCount val="7"/>
                <c:pt idx="0">
                  <c:v>01.01.2011 г.</c:v>
                </c:pt>
                <c:pt idx="1">
                  <c:v>01.01.2012 г.</c:v>
                </c:pt>
                <c:pt idx="2">
                  <c:v>01.01.2013 г.</c:v>
                </c:pt>
                <c:pt idx="3">
                  <c:v>01.01.2014 г.</c:v>
                </c:pt>
                <c:pt idx="4">
                  <c:v>01.01.2015 г.</c:v>
                </c:pt>
                <c:pt idx="5">
                  <c:v>01.01.2016 г.</c:v>
                </c:pt>
                <c:pt idx="6">
                  <c:v>01.01.2017 г.</c:v>
                </c:pt>
              </c:strCache>
            </c:strRef>
          </c:cat>
          <c:val>
            <c:numRef>
              <c:f>'культура досуг'!$C$130:$C$136</c:f>
              <c:numCache>
                <c:formatCode>General</c:formatCode>
                <c:ptCount val="7"/>
                <c:pt idx="0">
                  <c:v>166.5</c:v>
                </c:pt>
                <c:pt idx="1">
                  <c:v>163.9</c:v>
                </c:pt>
                <c:pt idx="2">
                  <c:v>190.1</c:v>
                </c:pt>
                <c:pt idx="3">
                  <c:v>180.6</c:v>
                </c:pt>
                <c:pt idx="4">
                  <c:v>169.6</c:v>
                </c:pt>
                <c:pt idx="5">
                  <c:v>195.5</c:v>
                </c:pt>
                <c:pt idx="6">
                  <c:v>179.8</c:v>
                </c:pt>
              </c:numCache>
            </c:numRef>
          </c:val>
          <c:extLst xmlns:c16r2="http://schemas.microsoft.com/office/drawing/2015/06/chart">
            <c:ext xmlns:c16="http://schemas.microsoft.com/office/drawing/2014/chart" uri="{C3380CC4-5D6E-409C-BE32-E72D297353CC}">
              <c16:uniqueId val="{00000000-3ED4-4F84-9DDC-5DA68C45B953}"/>
            </c:ext>
          </c:extLst>
        </c:ser>
        <c:axId val="170988672"/>
        <c:axId val="170990208"/>
      </c:barChart>
      <c:catAx>
        <c:axId val="170988672"/>
        <c:scaling>
          <c:orientation val="minMax"/>
        </c:scaling>
        <c:axPos val="b"/>
        <c:numFmt formatCode="General" sourceLinked="0"/>
        <c:tickLblPos val="nextTo"/>
        <c:crossAx val="170990208"/>
        <c:crosses val="autoZero"/>
        <c:auto val="1"/>
        <c:lblAlgn val="ctr"/>
        <c:lblOffset val="100"/>
      </c:catAx>
      <c:valAx>
        <c:axId val="170990208"/>
        <c:scaling>
          <c:orientation val="minMax"/>
        </c:scaling>
        <c:axPos val="l"/>
        <c:majorGridlines/>
        <c:numFmt formatCode="General" sourceLinked="1"/>
        <c:tickLblPos val="nextTo"/>
        <c:crossAx val="170988672"/>
        <c:crosses val="autoZero"/>
        <c:crossBetween val="between"/>
      </c:valAx>
    </c:plotArea>
    <c:plotVisOnly val="1"/>
    <c:dispBlanksAs val="gap"/>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'культура досуг'!$C$141</c:f>
              <c:strCache>
                <c:ptCount val="1"/>
                <c:pt idx="0">
                  <c:v>Детская преступность, кол-во зарегистрированных преступлений совершенных несовершеннолетними на 10000 человек населения, ед.</c:v>
                </c:pt>
              </c:strCache>
            </c:strRef>
          </c:tx>
          <c:dLbls>
            <c:dLbl>
              <c:idx val="2"/>
              <c:layout>
                <c:manualLayout>
                  <c:x val="-2.5204788909892408E-3"/>
                  <c:y val="-1.60642570281124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5B0-4416-9E47-4A2E5E16AF40}"/>
                </c:ext>
              </c:extLst>
            </c:dLbl>
            <c:dLbl>
              <c:idx val="3"/>
              <c:layout>
                <c:manualLayout>
                  <c:x val="5.0409577819785934E-3"/>
                  <c:y val="1.60642570281125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5B0-4416-9E47-4A2E5E16AF40}"/>
                </c:ext>
              </c:extLst>
            </c:dLbl>
            <c:dLbl>
              <c:idx val="4"/>
              <c:layout>
                <c:manualLayout>
                  <c:x val="7.5614366729678814E-3"/>
                  <c:y val="8.032128514056224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5B0-4416-9E47-4A2E5E16AF40}"/>
                </c:ext>
              </c:extLst>
            </c:dLbl>
            <c:dLbl>
              <c:idx val="5"/>
              <c:layout>
                <c:manualLayout>
                  <c:x val="0"/>
                  <c:y val="2.409638554216867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5B0-4416-9E47-4A2E5E16AF40}"/>
                </c:ext>
              </c:extLst>
            </c:dLbl>
            <c:dLbl>
              <c:idx val="6"/>
              <c:layout>
                <c:manualLayout>
                  <c:x val="0"/>
                  <c:y val="1.60642570281125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5B0-4416-9E47-4A2E5E16AF40}"/>
                </c:ext>
              </c:extLst>
            </c:dLbl>
            <c:spPr>
              <a:noFill/>
              <a:ln>
                <a:noFill/>
              </a:ln>
              <a:effectLst/>
            </c:spPr>
            <c:txPr>
              <a:bodyPr/>
              <a:lstStyle/>
              <a:p>
                <a:pPr>
                  <a:defRPr sz="1200"/>
                </a:pPr>
                <a:endParaRPr lang="ru-RU"/>
              </a:p>
            </c:txPr>
            <c:showVal val="1"/>
            <c:extLst xmlns:c16r2="http://schemas.microsoft.com/office/drawing/2015/06/chart">
              <c:ext xmlns:c15="http://schemas.microsoft.com/office/drawing/2012/chart" uri="{CE6537A1-D6FC-4f65-9D91-7224C49458BB}">
                <c15:showLeaderLines val="0"/>
              </c:ext>
            </c:extLst>
          </c:dLbls>
          <c:cat>
            <c:strRef>
              <c:f>'культура досуг'!$B$142:$B$148</c:f>
              <c:strCache>
                <c:ptCount val="7"/>
                <c:pt idx="0">
                  <c:v>01.01.2011 г.</c:v>
                </c:pt>
                <c:pt idx="1">
                  <c:v>01.01.2012 г.</c:v>
                </c:pt>
                <c:pt idx="2">
                  <c:v>01.01.2013 г.</c:v>
                </c:pt>
                <c:pt idx="3">
                  <c:v>01.01.2014 г.</c:v>
                </c:pt>
                <c:pt idx="4">
                  <c:v>01.01.2015 г.</c:v>
                </c:pt>
                <c:pt idx="5">
                  <c:v>01.01.2016 г.</c:v>
                </c:pt>
                <c:pt idx="6">
                  <c:v>01.01.2017 г.</c:v>
                </c:pt>
              </c:strCache>
            </c:strRef>
          </c:cat>
          <c:val>
            <c:numRef>
              <c:f>'культура досуг'!$C$142:$C$148</c:f>
              <c:numCache>
                <c:formatCode>General</c:formatCode>
                <c:ptCount val="7"/>
                <c:pt idx="0">
                  <c:v>3.2</c:v>
                </c:pt>
                <c:pt idx="1">
                  <c:v>3.9</c:v>
                </c:pt>
                <c:pt idx="2">
                  <c:v>2.4</c:v>
                </c:pt>
                <c:pt idx="3">
                  <c:v>5.2</c:v>
                </c:pt>
                <c:pt idx="4">
                  <c:v>4.4000000000000004</c:v>
                </c:pt>
                <c:pt idx="5">
                  <c:v>6.1</c:v>
                </c:pt>
                <c:pt idx="6">
                  <c:v>4</c:v>
                </c:pt>
              </c:numCache>
            </c:numRef>
          </c:val>
          <c:extLst xmlns:c16r2="http://schemas.microsoft.com/office/drawing/2015/06/chart">
            <c:ext xmlns:c16="http://schemas.microsoft.com/office/drawing/2014/chart" uri="{C3380CC4-5D6E-409C-BE32-E72D297353CC}">
              <c16:uniqueId val="{00000005-C5B0-4416-9E47-4A2E5E16AF40}"/>
            </c:ext>
          </c:extLst>
        </c:ser>
        <c:axId val="171009920"/>
        <c:axId val="171011456"/>
      </c:barChart>
      <c:catAx>
        <c:axId val="171009920"/>
        <c:scaling>
          <c:orientation val="minMax"/>
        </c:scaling>
        <c:axPos val="b"/>
        <c:numFmt formatCode="General" sourceLinked="0"/>
        <c:tickLblPos val="nextTo"/>
        <c:crossAx val="171011456"/>
        <c:crosses val="autoZero"/>
        <c:auto val="1"/>
        <c:lblAlgn val="ctr"/>
        <c:lblOffset val="100"/>
      </c:catAx>
      <c:valAx>
        <c:axId val="171011456"/>
        <c:scaling>
          <c:orientation val="minMax"/>
        </c:scaling>
        <c:axPos val="l"/>
        <c:majorGridlines/>
        <c:numFmt formatCode="General" sourceLinked="1"/>
        <c:tickLblPos val="nextTo"/>
        <c:crossAx val="171009920"/>
        <c:crosses val="autoZero"/>
        <c:crossBetween val="between"/>
      </c:valAx>
    </c:plotArea>
    <c:plotVisOnly val="1"/>
    <c:dispBlanksAs val="gap"/>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транспорт!$E$41</c:f>
              <c:strCache>
                <c:ptCount val="1"/>
                <c:pt idx="0">
                  <c:v>Доля автодорог общего пользования местного значения, не отвечающих нормативным требованиям, %</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транспорт!$D$42:$D$48</c:f>
              <c:strCache>
                <c:ptCount val="7"/>
                <c:pt idx="0">
                  <c:v>01.01.2011 г.</c:v>
                </c:pt>
                <c:pt idx="1">
                  <c:v>01.01.2012 г.</c:v>
                </c:pt>
                <c:pt idx="2">
                  <c:v>01.01.2013 г.</c:v>
                </c:pt>
                <c:pt idx="3">
                  <c:v>01.01.2014 г.</c:v>
                </c:pt>
                <c:pt idx="4">
                  <c:v>01.01.2015 г.</c:v>
                </c:pt>
                <c:pt idx="5">
                  <c:v>01.01.2016 г.</c:v>
                </c:pt>
                <c:pt idx="6">
                  <c:v>01.01.2017 г.</c:v>
                </c:pt>
              </c:strCache>
            </c:strRef>
          </c:cat>
          <c:val>
            <c:numRef>
              <c:f>транспорт!$E$42:$E$48</c:f>
              <c:numCache>
                <c:formatCode>General</c:formatCode>
                <c:ptCount val="7"/>
                <c:pt idx="0">
                  <c:v>68.88</c:v>
                </c:pt>
                <c:pt idx="1">
                  <c:v>66.959999999999994</c:v>
                </c:pt>
                <c:pt idx="2">
                  <c:v>66.959999999999994</c:v>
                </c:pt>
                <c:pt idx="3">
                  <c:v>30.17</c:v>
                </c:pt>
                <c:pt idx="4">
                  <c:v>29.39</c:v>
                </c:pt>
                <c:pt idx="5">
                  <c:v>27.37</c:v>
                </c:pt>
                <c:pt idx="6">
                  <c:v>27.4</c:v>
                </c:pt>
              </c:numCache>
            </c:numRef>
          </c:val>
          <c:extLst xmlns:c16r2="http://schemas.microsoft.com/office/drawing/2015/06/chart">
            <c:ext xmlns:c16="http://schemas.microsoft.com/office/drawing/2014/chart" uri="{C3380CC4-5D6E-409C-BE32-E72D297353CC}">
              <c16:uniqueId val="{00000000-E9E2-47A3-A39E-E3A92D355FD8}"/>
            </c:ext>
          </c:extLst>
        </c:ser>
        <c:gapWidth val="219"/>
        <c:overlap val="-27"/>
        <c:axId val="171047552"/>
        <c:axId val="171094400"/>
      </c:barChart>
      <c:catAx>
        <c:axId val="1710475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094400"/>
        <c:crosses val="autoZero"/>
        <c:auto val="1"/>
        <c:lblAlgn val="ctr"/>
        <c:lblOffset val="100"/>
      </c:catAx>
      <c:valAx>
        <c:axId val="1710944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047552"/>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транспорт!$E$56</c:f>
              <c:strCache>
                <c:ptCount val="1"/>
                <c:pt idx="0">
                  <c:v>Доля освещенных улиц, проездов, набережных, %</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транспорт!$D$57:$D$63</c:f>
              <c:strCache>
                <c:ptCount val="7"/>
                <c:pt idx="0">
                  <c:v>01.01.2011 г.</c:v>
                </c:pt>
                <c:pt idx="1">
                  <c:v>01.01.2012 г.</c:v>
                </c:pt>
                <c:pt idx="2">
                  <c:v>01.01.2013 г.</c:v>
                </c:pt>
                <c:pt idx="3">
                  <c:v>01.01.2014 г.</c:v>
                </c:pt>
                <c:pt idx="4">
                  <c:v>01.01.2015 г.</c:v>
                </c:pt>
                <c:pt idx="5">
                  <c:v>01.01.2016 г.</c:v>
                </c:pt>
                <c:pt idx="6">
                  <c:v>01.01.2017 г.</c:v>
                </c:pt>
              </c:strCache>
            </c:strRef>
          </c:cat>
          <c:val>
            <c:numRef>
              <c:f>транспорт!$E$57:$E$63</c:f>
              <c:numCache>
                <c:formatCode>General</c:formatCode>
                <c:ptCount val="7"/>
                <c:pt idx="0">
                  <c:v>63.7</c:v>
                </c:pt>
                <c:pt idx="1">
                  <c:v>64.989999999999995</c:v>
                </c:pt>
                <c:pt idx="2">
                  <c:v>65</c:v>
                </c:pt>
                <c:pt idx="3">
                  <c:v>65</c:v>
                </c:pt>
                <c:pt idx="4">
                  <c:v>65</c:v>
                </c:pt>
                <c:pt idx="5">
                  <c:v>72.8</c:v>
                </c:pt>
                <c:pt idx="6">
                  <c:v>73</c:v>
                </c:pt>
              </c:numCache>
            </c:numRef>
          </c:val>
          <c:extLst xmlns:c16r2="http://schemas.microsoft.com/office/drawing/2015/06/chart">
            <c:ext xmlns:c16="http://schemas.microsoft.com/office/drawing/2014/chart" uri="{C3380CC4-5D6E-409C-BE32-E72D297353CC}">
              <c16:uniqueId val="{00000000-3AB6-46BB-9288-A6A8FA91F0FB}"/>
            </c:ext>
          </c:extLst>
        </c:ser>
        <c:gapWidth val="219"/>
        <c:overlap val="-27"/>
        <c:axId val="171101568"/>
        <c:axId val="171107456"/>
      </c:barChart>
      <c:catAx>
        <c:axId val="1711015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107456"/>
        <c:crosses val="autoZero"/>
        <c:auto val="1"/>
        <c:lblAlgn val="ctr"/>
        <c:lblOffset val="100"/>
      </c:catAx>
      <c:valAx>
        <c:axId val="1711074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1015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градостроительство!$D$2</c:f>
              <c:strCache>
                <c:ptCount val="1"/>
                <c:pt idx="0">
                  <c:v>Жилищный фонд, тыс. кв. метров</c:v>
                </c:pt>
              </c:strCache>
            </c:strRef>
          </c:tx>
          <c:dLbls>
            <c:dLbl>
              <c:idx val="0"/>
              <c:layout>
                <c:manualLayout>
                  <c:x val="1.5191797788479181E-3"/>
                  <c:y val="-0.1885308718432674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7A0-44F2-BE9D-B1A711346CF0}"/>
                </c:ext>
              </c:extLst>
            </c:dLbl>
            <c:dLbl>
              <c:idx val="1"/>
              <c:layout>
                <c:manualLayout>
                  <c:x val="-1.2578751335810686E-3"/>
                  <c:y val="-0.210911557403639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7A0-44F2-BE9D-B1A711346CF0}"/>
                </c:ext>
              </c:extLst>
            </c:dLbl>
            <c:dLbl>
              <c:idx val="2"/>
              <c:layout>
                <c:manualLayout>
                  <c:x val="6.7570770008094103E-4"/>
                  <c:y val="-0.2540733531904018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7A0-44F2-BE9D-B1A711346CF0}"/>
                </c:ext>
              </c:extLst>
            </c:dLbl>
            <c:dLbl>
              <c:idx val="3"/>
              <c:layout>
                <c:manualLayout>
                  <c:x val="5.5555406511153737E-3"/>
                  <c:y val="-0.2868064525642168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7A0-44F2-BE9D-B1A711346CF0}"/>
                </c:ext>
              </c:extLst>
            </c:dLbl>
            <c:dLbl>
              <c:idx val="4"/>
              <c:layout>
                <c:manualLayout>
                  <c:x val="3.7911530223969838E-3"/>
                  <c:y val="-0.3127252351882983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7A0-44F2-BE9D-B1A711346CF0}"/>
                </c:ext>
              </c:extLst>
            </c:dLbl>
            <c:dLbl>
              <c:idx val="5"/>
              <c:layout>
                <c:manualLayout>
                  <c:x val="-5.0492070092602618E-3"/>
                  <c:y val="-0.3281091548949688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7A0-44F2-BE9D-B1A711346CF0}"/>
                </c:ext>
              </c:extLst>
            </c:dLbl>
            <c:dLbl>
              <c:idx val="6"/>
              <c:layout>
                <c:manualLayout>
                  <c:x val="2.2714366837024492E-3"/>
                  <c:y val="-0.3882363580956874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7A0-44F2-BE9D-B1A711346CF0}"/>
                </c:ext>
              </c:extLst>
            </c:dLbl>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градостроительство!$C$3:$C$9</c:f>
              <c:strCache>
                <c:ptCount val="7"/>
                <c:pt idx="0">
                  <c:v>01.01.2011 г.</c:v>
                </c:pt>
                <c:pt idx="1">
                  <c:v>01.01.2012 г.</c:v>
                </c:pt>
                <c:pt idx="2">
                  <c:v>01.01.2013 г.</c:v>
                </c:pt>
                <c:pt idx="3">
                  <c:v>01.01.2014 г.</c:v>
                </c:pt>
                <c:pt idx="4">
                  <c:v>01.01.2015 г.</c:v>
                </c:pt>
                <c:pt idx="5">
                  <c:v>01.01.2016 г.</c:v>
                </c:pt>
                <c:pt idx="6">
                  <c:v>01.01.2017 г.</c:v>
                </c:pt>
              </c:strCache>
            </c:strRef>
          </c:cat>
          <c:val>
            <c:numRef>
              <c:f>градостроительство!$D$3:$D$9</c:f>
              <c:numCache>
                <c:formatCode>General</c:formatCode>
                <c:ptCount val="7"/>
                <c:pt idx="0">
                  <c:v>624.79999999999995</c:v>
                </c:pt>
                <c:pt idx="1">
                  <c:v>632.9</c:v>
                </c:pt>
                <c:pt idx="2">
                  <c:v>643.79999999999995</c:v>
                </c:pt>
                <c:pt idx="3">
                  <c:v>648.79999999999995</c:v>
                </c:pt>
                <c:pt idx="4">
                  <c:v>661.6</c:v>
                </c:pt>
                <c:pt idx="5">
                  <c:v>667</c:v>
                </c:pt>
                <c:pt idx="6">
                  <c:v>681.3</c:v>
                </c:pt>
              </c:numCache>
            </c:numRef>
          </c:val>
          <c:extLst xmlns:c16r2="http://schemas.microsoft.com/office/drawing/2015/06/chart">
            <c:ext xmlns:c16="http://schemas.microsoft.com/office/drawing/2014/chart" uri="{C3380CC4-5D6E-409C-BE32-E72D297353CC}">
              <c16:uniqueId val="{00000007-57A0-44F2-BE9D-B1A711346CF0}"/>
            </c:ext>
          </c:extLst>
        </c:ser>
        <c:overlap val="100"/>
        <c:axId val="171139456"/>
        <c:axId val="171140992"/>
      </c:barChart>
      <c:catAx>
        <c:axId val="171139456"/>
        <c:scaling>
          <c:orientation val="minMax"/>
        </c:scaling>
        <c:axPos val="b"/>
        <c:numFmt formatCode="General" sourceLinked="0"/>
        <c:tickLblPos val="nextTo"/>
        <c:crossAx val="171140992"/>
        <c:crosses val="autoZero"/>
        <c:auto val="1"/>
        <c:lblAlgn val="ctr"/>
        <c:lblOffset val="100"/>
      </c:catAx>
      <c:valAx>
        <c:axId val="171140992"/>
        <c:scaling>
          <c:orientation val="minMax"/>
        </c:scaling>
        <c:axPos val="l"/>
        <c:majorGridlines/>
        <c:numFmt formatCode="General" sourceLinked="1"/>
        <c:tickLblPos val="nextTo"/>
        <c:crossAx val="171139456"/>
        <c:crosses val="autoZero"/>
        <c:crossBetween val="between"/>
      </c:valAx>
    </c:plotArea>
    <c:plotVisOnly val="1"/>
    <c:dispBlanksAs val="gap"/>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градостроительство!$D$14</c:f>
              <c:strCache>
                <c:ptCount val="1"/>
                <c:pt idx="0">
                  <c:v>Доля  площади  жилых помещений в аварийных домах в общей площади жилищного фонда, %</c:v>
                </c:pt>
              </c:strCache>
            </c:strRef>
          </c:tx>
          <c:dLbls>
            <c:spPr>
              <a:noFill/>
              <a:ln>
                <a:noFill/>
              </a:ln>
              <a:effectLst/>
            </c:spPr>
            <c:txPr>
              <a:bodyPr/>
              <a:lstStyle/>
              <a:p>
                <a:pPr>
                  <a:defRPr sz="1050">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градостроительство!$C$15:$C$21</c:f>
              <c:strCache>
                <c:ptCount val="7"/>
                <c:pt idx="0">
                  <c:v>01.01.2011 г.</c:v>
                </c:pt>
                <c:pt idx="1">
                  <c:v>01.01.2012 г.</c:v>
                </c:pt>
                <c:pt idx="2">
                  <c:v>01.01.2013 г.</c:v>
                </c:pt>
                <c:pt idx="3">
                  <c:v>01.01.2014 г.</c:v>
                </c:pt>
                <c:pt idx="4">
                  <c:v>01.01.2015 г.</c:v>
                </c:pt>
                <c:pt idx="5">
                  <c:v>01.01.2016 г.</c:v>
                </c:pt>
                <c:pt idx="6">
                  <c:v>01.01.2017 г.</c:v>
                </c:pt>
              </c:strCache>
            </c:strRef>
          </c:cat>
          <c:val>
            <c:numRef>
              <c:f>градостроительство!$D$15:$D$21</c:f>
              <c:numCache>
                <c:formatCode>General</c:formatCode>
                <c:ptCount val="7"/>
                <c:pt idx="0">
                  <c:v>1.23</c:v>
                </c:pt>
                <c:pt idx="1">
                  <c:v>0.76000000000001144</c:v>
                </c:pt>
                <c:pt idx="2">
                  <c:v>0.92</c:v>
                </c:pt>
                <c:pt idx="3">
                  <c:v>0.94000000000000061</c:v>
                </c:pt>
                <c:pt idx="4">
                  <c:v>0.46900000000000008</c:v>
                </c:pt>
                <c:pt idx="5">
                  <c:v>0.45200000000000001</c:v>
                </c:pt>
                <c:pt idx="6">
                  <c:v>0.33400000000000657</c:v>
                </c:pt>
              </c:numCache>
            </c:numRef>
          </c:val>
          <c:extLst xmlns:c16r2="http://schemas.microsoft.com/office/drawing/2015/06/chart">
            <c:ext xmlns:c16="http://schemas.microsoft.com/office/drawing/2014/chart" uri="{C3380CC4-5D6E-409C-BE32-E72D297353CC}">
              <c16:uniqueId val="{00000000-1251-4537-B197-C35B5B9D0074}"/>
            </c:ext>
          </c:extLst>
        </c:ser>
        <c:overlap val="100"/>
        <c:axId val="171168896"/>
        <c:axId val="171170432"/>
      </c:barChart>
      <c:catAx>
        <c:axId val="171168896"/>
        <c:scaling>
          <c:orientation val="minMax"/>
        </c:scaling>
        <c:axPos val="b"/>
        <c:numFmt formatCode="General" sourceLinked="0"/>
        <c:tickLblPos val="nextTo"/>
        <c:crossAx val="171170432"/>
        <c:crosses val="autoZero"/>
        <c:auto val="1"/>
        <c:lblAlgn val="ctr"/>
        <c:lblOffset val="100"/>
      </c:catAx>
      <c:valAx>
        <c:axId val="171170432"/>
        <c:scaling>
          <c:orientation val="minMax"/>
        </c:scaling>
        <c:axPos val="l"/>
        <c:majorGridlines/>
        <c:numFmt formatCode="General" sourceLinked="1"/>
        <c:tickLblPos val="nextTo"/>
        <c:crossAx val="171168896"/>
        <c:crosses val="autoZero"/>
        <c:crossBetween val="between"/>
      </c:valAx>
    </c:plotArea>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Рисунки!$B$3:$H$3</c:f>
              <c:strCache>
                <c:ptCount val="7"/>
                <c:pt idx="0">
                  <c:v>01.01.2011 г.</c:v>
                </c:pt>
                <c:pt idx="1">
                  <c:v>01.01.2012 г.</c:v>
                </c:pt>
                <c:pt idx="2">
                  <c:v>01.01.2013 г.</c:v>
                </c:pt>
                <c:pt idx="3">
                  <c:v>01.01.2014 г.</c:v>
                </c:pt>
                <c:pt idx="4">
                  <c:v>01.01.2015 г.</c:v>
                </c:pt>
                <c:pt idx="5">
                  <c:v>01.01.2016 г.</c:v>
                </c:pt>
                <c:pt idx="6">
                  <c:v>01.01.2017 г.</c:v>
                </c:pt>
              </c:strCache>
            </c:strRef>
          </c:cat>
          <c:val>
            <c:numRef>
              <c:f>Рисунки!$B$6:$H$6</c:f>
              <c:numCache>
                <c:formatCode>General</c:formatCode>
                <c:ptCount val="7"/>
                <c:pt idx="0">
                  <c:v>27993</c:v>
                </c:pt>
                <c:pt idx="1">
                  <c:v>27293</c:v>
                </c:pt>
                <c:pt idx="2">
                  <c:v>28643</c:v>
                </c:pt>
                <c:pt idx="3">
                  <c:v>28650</c:v>
                </c:pt>
                <c:pt idx="4">
                  <c:v>26731</c:v>
                </c:pt>
                <c:pt idx="5">
                  <c:v>26712</c:v>
                </c:pt>
                <c:pt idx="6">
                  <c:v>26466</c:v>
                </c:pt>
              </c:numCache>
            </c:numRef>
          </c:val>
          <c:extLst xmlns:c16r2="http://schemas.microsoft.com/office/drawing/2015/06/chart">
            <c:ext xmlns:c16="http://schemas.microsoft.com/office/drawing/2014/chart" uri="{C3380CC4-5D6E-409C-BE32-E72D297353CC}">
              <c16:uniqueId val="{00000000-E931-4F7A-9962-1C85FA6A3E2F}"/>
            </c:ext>
          </c:extLst>
        </c:ser>
        <c:axId val="167301504"/>
        <c:axId val="167303040"/>
      </c:barChart>
      <c:catAx>
        <c:axId val="167301504"/>
        <c:scaling>
          <c:orientation val="minMax"/>
        </c:scaling>
        <c:axPos val="b"/>
        <c:numFmt formatCode="General" sourceLinked="0"/>
        <c:tickLblPos val="nextTo"/>
        <c:crossAx val="167303040"/>
        <c:crosses val="autoZero"/>
        <c:auto val="1"/>
        <c:lblAlgn val="ctr"/>
        <c:lblOffset val="100"/>
      </c:catAx>
      <c:valAx>
        <c:axId val="167303040"/>
        <c:scaling>
          <c:orientation val="minMax"/>
        </c:scaling>
        <c:axPos val="l"/>
        <c:majorGridlines/>
        <c:numFmt formatCode="General" sourceLinked="1"/>
        <c:tickLblPos val="nextTo"/>
        <c:crossAx val="167301504"/>
        <c:crosses val="autoZero"/>
        <c:crossBetween val="between"/>
      </c:valAx>
    </c:plotArea>
    <c:plotVisOnly val="1"/>
    <c:dispBlanksAs val="gap"/>
  </c:chart>
  <c:spPr>
    <a:ln>
      <a:noFill/>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градостроительство!$D$26</c:f>
              <c:strCache>
                <c:ptCount val="1"/>
                <c:pt idx="0">
                  <c:v>Общая площадь жилых помещений в расчете на одного жителя, кв. м.</c:v>
                </c:pt>
              </c:strCache>
            </c:strRef>
          </c:tx>
          <c:dLbls>
            <c:spPr>
              <a:noFill/>
              <a:ln>
                <a:noFill/>
              </a:ln>
              <a:effectLst/>
            </c:spPr>
            <c:txPr>
              <a:bodyPr/>
              <a:lstStyle/>
              <a:p>
                <a:pPr>
                  <a:defRPr sz="1050"/>
                </a:pPr>
                <a:endParaRPr lang="ru-RU"/>
              </a:p>
            </c:txPr>
            <c:showVal val="1"/>
            <c:extLst xmlns:c16r2="http://schemas.microsoft.com/office/drawing/2015/06/chart">
              <c:ext xmlns:c15="http://schemas.microsoft.com/office/drawing/2012/chart" uri="{CE6537A1-D6FC-4f65-9D91-7224C49458BB}">
                <c15:showLeaderLines val="0"/>
              </c:ext>
            </c:extLst>
          </c:dLbls>
          <c:cat>
            <c:strRef>
              <c:f>градостроительство!$C$27:$C$33</c:f>
              <c:strCache>
                <c:ptCount val="7"/>
                <c:pt idx="0">
                  <c:v>01.01.2011 г.</c:v>
                </c:pt>
                <c:pt idx="1">
                  <c:v>01.01.2012 г.</c:v>
                </c:pt>
                <c:pt idx="2">
                  <c:v>01.01.2013 г.</c:v>
                </c:pt>
                <c:pt idx="3">
                  <c:v>01.01.2014 г.</c:v>
                </c:pt>
                <c:pt idx="4">
                  <c:v>01.01.2015 г.</c:v>
                </c:pt>
                <c:pt idx="5">
                  <c:v>01.01.2016 г.</c:v>
                </c:pt>
                <c:pt idx="6">
                  <c:v>01.01.2017 г.</c:v>
                </c:pt>
              </c:strCache>
            </c:strRef>
          </c:cat>
          <c:val>
            <c:numRef>
              <c:f>градостроительство!$D$27:$D$33</c:f>
              <c:numCache>
                <c:formatCode>General</c:formatCode>
                <c:ptCount val="7"/>
                <c:pt idx="0">
                  <c:v>24.4</c:v>
                </c:pt>
                <c:pt idx="1">
                  <c:v>24.9</c:v>
                </c:pt>
                <c:pt idx="2">
                  <c:v>25.5</c:v>
                </c:pt>
                <c:pt idx="3">
                  <c:v>25.4</c:v>
                </c:pt>
                <c:pt idx="4">
                  <c:v>26.3</c:v>
                </c:pt>
                <c:pt idx="5">
                  <c:v>26.4</c:v>
                </c:pt>
                <c:pt idx="6">
                  <c:v>26.9</c:v>
                </c:pt>
              </c:numCache>
            </c:numRef>
          </c:val>
          <c:extLst xmlns:c16r2="http://schemas.microsoft.com/office/drawing/2015/06/chart">
            <c:ext xmlns:c16="http://schemas.microsoft.com/office/drawing/2014/chart" uri="{C3380CC4-5D6E-409C-BE32-E72D297353CC}">
              <c16:uniqueId val="{00000000-8404-4C5F-BD30-98A8044ACA78}"/>
            </c:ext>
          </c:extLst>
        </c:ser>
        <c:overlap val="100"/>
        <c:axId val="171194240"/>
        <c:axId val="171195776"/>
      </c:barChart>
      <c:catAx>
        <c:axId val="171194240"/>
        <c:scaling>
          <c:orientation val="minMax"/>
        </c:scaling>
        <c:axPos val="b"/>
        <c:numFmt formatCode="General" sourceLinked="0"/>
        <c:tickLblPos val="nextTo"/>
        <c:crossAx val="171195776"/>
        <c:crosses val="autoZero"/>
        <c:auto val="1"/>
        <c:lblAlgn val="ctr"/>
        <c:lblOffset val="100"/>
      </c:catAx>
      <c:valAx>
        <c:axId val="171195776"/>
        <c:scaling>
          <c:orientation val="minMax"/>
        </c:scaling>
        <c:axPos val="l"/>
        <c:majorGridlines/>
        <c:numFmt formatCode="General" sourceLinked="1"/>
        <c:tickLblPos val="nextTo"/>
        <c:crossAx val="171194240"/>
        <c:crosses val="autoZero"/>
        <c:crossBetween val="between"/>
      </c:valAx>
    </c:plotArea>
    <c:plotVisOnly val="1"/>
    <c:dispBlanksAs val="gap"/>
  </c:chart>
  <c:spPr>
    <a:ln>
      <a:no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градостроительство!$D$44</c:f>
              <c:strCache>
                <c:ptCount val="1"/>
                <c:pt idx="0">
                  <c:v>Количество негазифицированных  населенных пунктов, единиц</c:v>
                </c:pt>
              </c:strCache>
            </c:strRef>
          </c:tx>
          <c:dLbls>
            <c:spPr>
              <a:noFill/>
              <a:ln>
                <a:noFill/>
              </a:ln>
              <a:effectLst/>
            </c:spPr>
            <c:txPr>
              <a:bodyPr/>
              <a:lstStyle/>
              <a:p>
                <a:pPr>
                  <a:defRPr sz="1100">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градостроительство!$C$45:$C$51</c:f>
              <c:strCache>
                <c:ptCount val="7"/>
                <c:pt idx="0">
                  <c:v>01.01.2011 г.</c:v>
                </c:pt>
                <c:pt idx="1">
                  <c:v>01.01.2012 г.</c:v>
                </c:pt>
                <c:pt idx="2">
                  <c:v>01.01.2013 г.</c:v>
                </c:pt>
                <c:pt idx="3">
                  <c:v>01.01.2014 г.</c:v>
                </c:pt>
                <c:pt idx="4">
                  <c:v>01.01.2015 г.</c:v>
                </c:pt>
                <c:pt idx="5">
                  <c:v>01.01.2016 г.</c:v>
                </c:pt>
                <c:pt idx="6">
                  <c:v>01.01.2017 г.</c:v>
                </c:pt>
              </c:strCache>
            </c:strRef>
          </c:cat>
          <c:val>
            <c:numRef>
              <c:f>градостроительство!$D$45:$D$51</c:f>
              <c:numCache>
                <c:formatCode>General</c:formatCode>
                <c:ptCount val="7"/>
                <c:pt idx="0">
                  <c:v>50</c:v>
                </c:pt>
                <c:pt idx="1">
                  <c:v>50</c:v>
                </c:pt>
                <c:pt idx="2">
                  <c:v>49</c:v>
                </c:pt>
                <c:pt idx="3">
                  <c:v>46</c:v>
                </c:pt>
                <c:pt idx="4">
                  <c:v>46</c:v>
                </c:pt>
                <c:pt idx="5">
                  <c:v>46</c:v>
                </c:pt>
                <c:pt idx="6">
                  <c:v>45</c:v>
                </c:pt>
              </c:numCache>
            </c:numRef>
          </c:val>
          <c:extLst xmlns:c16r2="http://schemas.microsoft.com/office/drawing/2015/06/chart">
            <c:ext xmlns:c16="http://schemas.microsoft.com/office/drawing/2014/chart" uri="{C3380CC4-5D6E-409C-BE32-E72D297353CC}">
              <c16:uniqueId val="{00000000-1A29-43B2-98A1-A1D04E09A8DA}"/>
            </c:ext>
          </c:extLst>
        </c:ser>
        <c:overlap val="100"/>
        <c:axId val="171215488"/>
        <c:axId val="171221376"/>
      </c:barChart>
      <c:catAx>
        <c:axId val="171215488"/>
        <c:scaling>
          <c:orientation val="minMax"/>
        </c:scaling>
        <c:axPos val="b"/>
        <c:numFmt formatCode="General" sourceLinked="0"/>
        <c:tickLblPos val="nextTo"/>
        <c:crossAx val="171221376"/>
        <c:crosses val="autoZero"/>
        <c:auto val="1"/>
        <c:lblAlgn val="ctr"/>
        <c:lblOffset val="100"/>
      </c:catAx>
      <c:valAx>
        <c:axId val="171221376"/>
        <c:scaling>
          <c:orientation val="minMax"/>
        </c:scaling>
        <c:axPos val="l"/>
        <c:majorGridlines/>
        <c:numFmt formatCode="General" sourceLinked="1"/>
        <c:tickLblPos val="nextTo"/>
        <c:crossAx val="171215488"/>
        <c:crosses val="autoZero"/>
        <c:crossBetween val="between"/>
      </c:valAx>
    </c:plotArea>
    <c:plotVisOnly val="1"/>
    <c:dispBlanksAs val="gap"/>
  </c:chart>
  <c:spPr>
    <a:ln>
      <a:no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градостроительство!$D$55</c:f>
              <c:strCache>
                <c:ptCount val="1"/>
                <c:pt idx="0">
                  <c:v>Обеспечение жилого фонда сетевым газом, %</c:v>
                </c:pt>
              </c:strCache>
            </c:strRef>
          </c:tx>
          <c:dLbls>
            <c:spPr>
              <a:noFill/>
              <a:ln>
                <a:noFill/>
              </a:ln>
              <a:effectLst/>
            </c:spPr>
            <c:txPr>
              <a:bodyPr/>
              <a:lstStyle/>
              <a:p>
                <a:pPr>
                  <a:defRPr sz="1050">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градостроительство!$C$56:$C$62</c:f>
              <c:strCache>
                <c:ptCount val="7"/>
                <c:pt idx="0">
                  <c:v>01.01.2011 г.</c:v>
                </c:pt>
                <c:pt idx="1">
                  <c:v>01.01.2012 г.</c:v>
                </c:pt>
                <c:pt idx="2">
                  <c:v>01.01.2013 г.</c:v>
                </c:pt>
                <c:pt idx="3">
                  <c:v>01.01.2014 г.</c:v>
                </c:pt>
                <c:pt idx="4">
                  <c:v>01.01.2015 г.</c:v>
                </c:pt>
                <c:pt idx="5">
                  <c:v>01.01.2016 г.</c:v>
                </c:pt>
                <c:pt idx="6">
                  <c:v>01.01.2017 г.</c:v>
                </c:pt>
              </c:strCache>
            </c:strRef>
          </c:cat>
          <c:val>
            <c:numRef>
              <c:f>градостроительство!$D$56:$D$62</c:f>
              <c:numCache>
                <c:formatCode>General</c:formatCode>
                <c:ptCount val="7"/>
                <c:pt idx="0">
                  <c:v>35</c:v>
                </c:pt>
                <c:pt idx="1">
                  <c:v>38</c:v>
                </c:pt>
                <c:pt idx="2">
                  <c:v>39.700000000000003</c:v>
                </c:pt>
                <c:pt idx="3">
                  <c:v>40</c:v>
                </c:pt>
                <c:pt idx="4">
                  <c:v>41</c:v>
                </c:pt>
                <c:pt idx="5">
                  <c:v>42</c:v>
                </c:pt>
                <c:pt idx="6">
                  <c:v>42</c:v>
                </c:pt>
              </c:numCache>
            </c:numRef>
          </c:val>
          <c:extLst xmlns:c16r2="http://schemas.microsoft.com/office/drawing/2015/06/chart">
            <c:ext xmlns:c16="http://schemas.microsoft.com/office/drawing/2014/chart" uri="{C3380CC4-5D6E-409C-BE32-E72D297353CC}">
              <c16:uniqueId val="{00000000-19E7-4768-94C8-3F95253CE3C7}"/>
            </c:ext>
          </c:extLst>
        </c:ser>
        <c:overlap val="100"/>
        <c:axId val="171249024"/>
        <c:axId val="171250816"/>
      </c:barChart>
      <c:catAx>
        <c:axId val="171249024"/>
        <c:scaling>
          <c:orientation val="minMax"/>
        </c:scaling>
        <c:axPos val="b"/>
        <c:numFmt formatCode="General" sourceLinked="0"/>
        <c:tickLblPos val="nextTo"/>
        <c:crossAx val="171250816"/>
        <c:crosses val="autoZero"/>
        <c:auto val="1"/>
        <c:lblAlgn val="ctr"/>
        <c:lblOffset val="100"/>
      </c:catAx>
      <c:valAx>
        <c:axId val="171250816"/>
        <c:scaling>
          <c:orientation val="minMax"/>
        </c:scaling>
        <c:axPos val="l"/>
        <c:majorGridlines/>
        <c:numFmt formatCode="General" sourceLinked="1"/>
        <c:tickLblPos val="nextTo"/>
        <c:crossAx val="171249024"/>
        <c:crosses val="autoZero"/>
        <c:crossBetween val="between"/>
      </c:valAx>
    </c:plotArea>
    <c:plotVisOnly val="1"/>
    <c:dispBlanksAs val="gap"/>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градостроительство!$D$84</c:f>
              <c:strCache>
                <c:ptCount val="1"/>
                <c:pt idx="0">
                  <c:v>Обеспеченность жилого фонда центральной канализацией, %</c:v>
                </c:pt>
              </c:strCache>
            </c:strRef>
          </c:tx>
          <c:dLbls>
            <c:spPr>
              <a:noFill/>
              <a:ln>
                <a:noFill/>
              </a:ln>
              <a:effectLst/>
            </c:spPr>
            <c:txPr>
              <a:bodyPr/>
              <a:lstStyle/>
              <a:p>
                <a:pPr>
                  <a:defRPr sz="1100">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градостроительство!$C$85:$C$91</c:f>
              <c:strCache>
                <c:ptCount val="7"/>
                <c:pt idx="0">
                  <c:v>01.01.2011 г.</c:v>
                </c:pt>
                <c:pt idx="1">
                  <c:v>01.01.2012 г.</c:v>
                </c:pt>
                <c:pt idx="2">
                  <c:v>01.01.2013 г.</c:v>
                </c:pt>
                <c:pt idx="3">
                  <c:v>01.01.2014 г.</c:v>
                </c:pt>
                <c:pt idx="4">
                  <c:v>01.01.2015 г.</c:v>
                </c:pt>
                <c:pt idx="5">
                  <c:v>01.01.2016 г.</c:v>
                </c:pt>
                <c:pt idx="6">
                  <c:v>01.01.2017 г.</c:v>
                </c:pt>
              </c:strCache>
            </c:strRef>
          </c:cat>
          <c:val>
            <c:numRef>
              <c:f>градостроительство!$D$85:$D$91</c:f>
              <c:numCache>
                <c:formatCode>General</c:formatCode>
                <c:ptCount val="7"/>
                <c:pt idx="0">
                  <c:v>20</c:v>
                </c:pt>
                <c:pt idx="1">
                  <c:v>21</c:v>
                </c:pt>
                <c:pt idx="2">
                  <c:v>21</c:v>
                </c:pt>
                <c:pt idx="3">
                  <c:v>22</c:v>
                </c:pt>
                <c:pt idx="4">
                  <c:v>22</c:v>
                </c:pt>
                <c:pt idx="5">
                  <c:v>23</c:v>
                </c:pt>
                <c:pt idx="6">
                  <c:v>23</c:v>
                </c:pt>
              </c:numCache>
            </c:numRef>
          </c:val>
          <c:extLst xmlns:c16r2="http://schemas.microsoft.com/office/drawing/2015/06/chart">
            <c:ext xmlns:c16="http://schemas.microsoft.com/office/drawing/2014/chart" uri="{C3380CC4-5D6E-409C-BE32-E72D297353CC}">
              <c16:uniqueId val="{00000000-C9E7-4944-83FF-24D0F8FB5330}"/>
            </c:ext>
          </c:extLst>
        </c:ser>
        <c:overlap val="100"/>
        <c:axId val="171278720"/>
        <c:axId val="171280256"/>
      </c:barChart>
      <c:catAx>
        <c:axId val="171278720"/>
        <c:scaling>
          <c:orientation val="minMax"/>
        </c:scaling>
        <c:axPos val="b"/>
        <c:numFmt formatCode="General" sourceLinked="0"/>
        <c:tickLblPos val="nextTo"/>
        <c:crossAx val="171280256"/>
        <c:crosses val="autoZero"/>
        <c:auto val="1"/>
        <c:lblAlgn val="ctr"/>
        <c:lblOffset val="100"/>
      </c:catAx>
      <c:valAx>
        <c:axId val="171280256"/>
        <c:scaling>
          <c:orientation val="minMax"/>
        </c:scaling>
        <c:axPos val="l"/>
        <c:majorGridlines/>
        <c:numFmt formatCode="General" sourceLinked="1"/>
        <c:tickLblPos val="nextTo"/>
        <c:crossAx val="171278720"/>
        <c:crosses val="autoZero"/>
        <c:crossBetween val="between"/>
      </c:valAx>
    </c:plotArea>
    <c:plotVisOnly val="1"/>
    <c:dispBlanksAs val="gap"/>
  </c:chart>
  <c:spPr>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8509426517764681E-2"/>
          <c:y val="7.4548702245552628E-2"/>
          <c:w val="0.87663218568267198"/>
          <c:h val="0.79822506561679785"/>
        </c:manualLayout>
      </c:layout>
      <c:barChart>
        <c:barDir val="col"/>
        <c:grouping val="stacked"/>
        <c:ser>
          <c:idx val="0"/>
          <c:order val="0"/>
          <c:tx>
            <c:strRef>
              <c:f>экология!$D$14</c:f>
              <c:strCache>
                <c:ptCount val="1"/>
                <c:pt idx="0">
                  <c:v>Выбросы в атмосферу загрязняющих веществ от ст. источников, тонн</c:v>
                </c:pt>
              </c:strCache>
            </c:strRef>
          </c:tx>
          <c:dLbls>
            <c:spPr>
              <a:noFill/>
              <a:ln>
                <a:noFill/>
              </a:ln>
              <a:effectLst/>
            </c:spPr>
            <c:txPr>
              <a:bodyPr/>
              <a:lstStyle/>
              <a:p>
                <a:pPr>
                  <a:defRPr sz="1050">
                    <a:solidFill>
                      <a:sysClr val="windowText" lastClr="000000"/>
                    </a:solidFill>
                  </a:defRPr>
                </a:pPr>
                <a:endParaRPr lang="ru-RU"/>
              </a:p>
            </c:txPr>
            <c:dLblPos val="inEnd"/>
            <c:showVal val="1"/>
            <c:extLst xmlns:c16r2="http://schemas.microsoft.com/office/drawing/2015/06/chart">
              <c:ext xmlns:c15="http://schemas.microsoft.com/office/drawing/2012/chart" uri="{CE6537A1-D6FC-4f65-9D91-7224C49458BB}">
                <c15:showLeaderLines val="0"/>
              </c:ext>
            </c:extLst>
          </c:dLbls>
          <c:cat>
            <c:strRef>
              <c:f>экология!$C$15:$C$21</c:f>
              <c:strCache>
                <c:ptCount val="7"/>
                <c:pt idx="0">
                  <c:v>01.01.2011 г.</c:v>
                </c:pt>
                <c:pt idx="1">
                  <c:v>01.01.2012 г.</c:v>
                </c:pt>
                <c:pt idx="2">
                  <c:v>01.01.2013 г.</c:v>
                </c:pt>
                <c:pt idx="3">
                  <c:v>01.01.2014 г.</c:v>
                </c:pt>
                <c:pt idx="4">
                  <c:v>01.01.2015 г.</c:v>
                </c:pt>
                <c:pt idx="5">
                  <c:v>01.01.2016 г.</c:v>
                </c:pt>
                <c:pt idx="6">
                  <c:v>01.01.2017 г.</c:v>
                </c:pt>
              </c:strCache>
            </c:strRef>
          </c:cat>
          <c:val>
            <c:numRef>
              <c:f>экология!$D$15:$D$21</c:f>
              <c:numCache>
                <c:formatCode>General</c:formatCode>
                <c:ptCount val="7"/>
                <c:pt idx="0">
                  <c:v>12138</c:v>
                </c:pt>
                <c:pt idx="1">
                  <c:v>13990</c:v>
                </c:pt>
                <c:pt idx="2">
                  <c:v>8117</c:v>
                </c:pt>
                <c:pt idx="3">
                  <c:v>18480</c:v>
                </c:pt>
                <c:pt idx="4">
                  <c:v>6366</c:v>
                </c:pt>
                <c:pt idx="5">
                  <c:v>13446</c:v>
                </c:pt>
                <c:pt idx="6">
                  <c:v>13400</c:v>
                </c:pt>
              </c:numCache>
            </c:numRef>
          </c:val>
          <c:extLst xmlns:c16r2="http://schemas.microsoft.com/office/drawing/2015/06/chart">
            <c:ext xmlns:c16="http://schemas.microsoft.com/office/drawing/2014/chart" uri="{C3380CC4-5D6E-409C-BE32-E72D297353CC}">
              <c16:uniqueId val="{00000000-6845-4419-9651-2422A971F3A2}"/>
            </c:ext>
          </c:extLst>
        </c:ser>
        <c:overlap val="100"/>
        <c:axId val="171324544"/>
        <c:axId val="171326080"/>
      </c:barChart>
      <c:catAx>
        <c:axId val="171324544"/>
        <c:scaling>
          <c:orientation val="minMax"/>
        </c:scaling>
        <c:axPos val="b"/>
        <c:numFmt formatCode="General" sourceLinked="0"/>
        <c:tickLblPos val="nextTo"/>
        <c:crossAx val="171326080"/>
        <c:crosses val="autoZero"/>
        <c:auto val="1"/>
        <c:lblAlgn val="ctr"/>
        <c:lblOffset val="100"/>
      </c:catAx>
      <c:valAx>
        <c:axId val="171326080"/>
        <c:scaling>
          <c:orientation val="minMax"/>
        </c:scaling>
        <c:axPos val="l"/>
        <c:majorGridlines/>
        <c:numFmt formatCode="General" sourceLinked="1"/>
        <c:tickLblPos val="nextTo"/>
        <c:crossAx val="171324544"/>
        <c:crosses val="autoZero"/>
        <c:crossBetween val="between"/>
      </c:valAx>
    </c:plotArea>
    <c:plotVisOnly val="1"/>
    <c:dispBlanksAs val="gap"/>
  </c:chart>
  <c:spPr>
    <a:ln>
      <a:noFill/>
    </a:ln>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экология!$D$30</c:f>
              <c:strCache>
                <c:ptCount val="1"/>
                <c:pt idx="0">
                  <c:v>Выбросы в атмосферу загрязняющих веществ от стационарных  источников в расчете на одного жителя, кг.</c:v>
                </c:pt>
              </c:strCache>
            </c:strRef>
          </c:tx>
          <c:dLbls>
            <c:dLbl>
              <c:idx val="0"/>
              <c:layout>
                <c:manualLayout>
                  <c:x val="5.2596975673898814E-3"/>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4B8-487C-9BD5-A5002EDE408F}"/>
                </c:ext>
              </c:extLst>
            </c:dLbl>
            <c:dLbl>
              <c:idx val="1"/>
              <c:layout>
                <c:manualLayout>
                  <c:x val="1.0519395134779739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4B8-487C-9BD5-A5002EDE408F}"/>
                </c:ext>
              </c:extLst>
            </c:dLbl>
            <c:dLbl>
              <c:idx val="2"/>
              <c:layout>
                <c:manualLayout>
                  <c:x val="7.8895463510847922E-3"/>
                  <c:y val="-1.698513800424634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4B8-487C-9BD5-A5002EDE408F}"/>
                </c:ext>
              </c:extLst>
            </c:dLbl>
            <c:dLbl>
              <c:idx val="4"/>
              <c:layout>
                <c:manualLayout>
                  <c:x val="7.8895463510849032E-3"/>
                  <c:y val="-8.492569002123176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4B8-487C-9BD5-A5002EDE408F}"/>
                </c:ext>
              </c:extLst>
            </c:dLbl>
            <c:dLbl>
              <c:idx val="5"/>
              <c:layout>
                <c:manualLayout>
                  <c:x val="7.8895463510849032E-3"/>
                  <c:y val="7.7847649883441107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4B8-487C-9BD5-A5002EDE408F}"/>
                </c:ext>
              </c:extLst>
            </c:dLbl>
            <c:dLbl>
              <c:idx val="6"/>
              <c:layout>
                <c:manualLayout>
                  <c:x val="7.8895463510849032E-3"/>
                  <c:y val="7.7847649883441107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4B8-487C-9BD5-A5002EDE408F}"/>
                </c:ext>
              </c:extLst>
            </c:dLbl>
            <c:spPr>
              <a:noFill/>
              <a:ln>
                <a:noFill/>
              </a:ln>
              <a:effectLst/>
            </c:spPr>
            <c:txPr>
              <a:bodyPr/>
              <a:lstStyle/>
              <a:p>
                <a:pPr>
                  <a:defRPr sz="1100">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экология!$C$31:$C$37</c:f>
              <c:strCache>
                <c:ptCount val="7"/>
                <c:pt idx="0">
                  <c:v>01.01.2011 г.</c:v>
                </c:pt>
                <c:pt idx="1">
                  <c:v>01.01.2012 г.</c:v>
                </c:pt>
                <c:pt idx="2">
                  <c:v>01.01.2013 г.</c:v>
                </c:pt>
                <c:pt idx="3">
                  <c:v>01.01.2014 г.</c:v>
                </c:pt>
                <c:pt idx="4">
                  <c:v>01.01.2015 г.</c:v>
                </c:pt>
                <c:pt idx="5">
                  <c:v>01.01.2016 г.</c:v>
                </c:pt>
                <c:pt idx="6">
                  <c:v>01.01.2017 г.</c:v>
                </c:pt>
              </c:strCache>
            </c:strRef>
          </c:cat>
          <c:val>
            <c:numRef>
              <c:f>экология!$D$31:$D$37</c:f>
              <c:numCache>
                <c:formatCode>General</c:formatCode>
                <c:ptCount val="7"/>
                <c:pt idx="0">
                  <c:v>475.9</c:v>
                </c:pt>
                <c:pt idx="1">
                  <c:v>550.79999999999995</c:v>
                </c:pt>
                <c:pt idx="2">
                  <c:v>320.8</c:v>
                </c:pt>
                <c:pt idx="3">
                  <c:v>733</c:v>
                </c:pt>
                <c:pt idx="4">
                  <c:v>255.3</c:v>
                </c:pt>
                <c:pt idx="5">
                  <c:v>537.9</c:v>
                </c:pt>
                <c:pt idx="6">
                  <c:v>537.9</c:v>
                </c:pt>
              </c:numCache>
            </c:numRef>
          </c:val>
          <c:extLst xmlns:c16r2="http://schemas.microsoft.com/office/drawing/2015/06/chart">
            <c:ext xmlns:c16="http://schemas.microsoft.com/office/drawing/2014/chart" uri="{C3380CC4-5D6E-409C-BE32-E72D297353CC}">
              <c16:uniqueId val="{00000006-C4B8-487C-9BD5-A5002EDE408F}"/>
            </c:ext>
          </c:extLst>
        </c:ser>
        <c:overlap val="100"/>
        <c:axId val="171349888"/>
        <c:axId val="171351424"/>
      </c:barChart>
      <c:catAx>
        <c:axId val="171349888"/>
        <c:scaling>
          <c:orientation val="minMax"/>
        </c:scaling>
        <c:axPos val="b"/>
        <c:numFmt formatCode="General" sourceLinked="0"/>
        <c:tickLblPos val="nextTo"/>
        <c:crossAx val="171351424"/>
        <c:crosses val="autoZero"/>
        <c:auto val="1"/>
        <c:lblAlgn val="ctr"/>
        <c:lblOffset val="100"/>
      </c:catAx>
      <c:valAx>
        <c:axId val="171351424"/>
        <c:scaling>
          <c:orientation val="minMax"/>
        </c:scaling>
        <c:axPos val="l"/>
        <c:majorGridlines/>
        <c:numFmt formatCode="General" sourceLinked="1"/>
        <c:tickLblPos val="nextTo"/>
        <c:crossAx val="171349888"/>
        <c:crosses val="autoZero"/>
        <c:crossBetween val="between"/>
      </c:valAx>
    </c:plotArea>
    <c:plotVisOnly val="1"/>
    <c:dispBlanksAs val="gap"/>
  </c:chart>
  <c:spPr>
    <a:ln>
      <a:noFill/>
    </a:ln>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6716493223434934E-2"/>
          <c:y val="0.10340676777845992"/>
          <c:w val="0.89830367889095553"/>
          <c:h val="0.68493889876668645"/>
        </c:manualLayout>
      </c:layout>
      <c:barChart>
        <c:barDir val="col"/>
        <c:grouping val="stacked"/>
        <c:ser>
          <c:idx val="0"/>
          <c:order val="0"/>
          <c:tx>
            <c:strRef>
              <c:f>'имущественные и земельные отн'!$C$2</c:f>
              <c:strCache>
                <c:ptCount val="1"/>
                <c:pt idx="0">
                  <c:v>Площадь земельных участков предоставленных для строительства, га</c:v>
                </c:pt>
              </c:strCache>
            </c:strRef>
          </c:tx>
          <c:dLbls>
            <c:dLbl>
              <c:idx val="0"/>
              <c:layout>
                <c:manualLayout>
                  <c:x val="1.1254218261234035E-17"/>
                  <c:y val="-8.6548430647446967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3BC-4C61-8DEE-D8DC84F06CAB}"/>
                </c:ext>
              </c:extLst>
            </c:dLbl>
            <c:dLbl>
              <c:idx val="1"/>
              <c:layout>
                <c:manualLayout>
                  <c:x val="2.455494168201411E-3"/>
                  <c:y val="-9.3989752878334193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3BC-4C61-8DEE-D8DC84F06CAB}"/>
                </c:ext>
              </c:extLst>
            </c:dLbl>
            <c:dLbl>
              <c:idx val="2"/>
              <c:layout>
                <c:manualLayout>
                  <c:x val="2.455494168201411E-3"/>
                  <c:y val="-7.1598366498117363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3BC-4C61-8DEE-D8DC84F06CAB}"/>
                </c:ext>
              </c:extLst>
            </c:dLbl>
            <c:dLbl>
              <c:idx val="3"/>
              <c:layout>
                <c:manualLayout>
                  <c:x val="0"/>
                  <c:y val="-6.3376854251047013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3BC-4C61-8DEE-D8DC84F06CAB}"/>
                </c:ext>
              </c:extLst>
            </c:dLbl>
            <c:dLbl>
              <c:idx val="4"/>
              <c:layout>
                <c:manualLayout>
                  <c:x val="4.9109883364027006E-3"/>
                  <c:y val="-0.10780676377114409"/>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3BC-4C61-8DEE-D8DC84F06CAB}"/>
                </c:ext>
              </c:extLst>
            </c:dLbl>
            <c:dLbl>
              <c:idx val="5"/>
              <c:layout>
                <c:manualLayout>
                  <c:x val="4.9109883364027909E-3"/>
                  <c:y val="-8.9257628738900266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3BC-4C61-8DEE-D8DC84F06CAB}"/>
                </c:ext>
              </c:extLst>
            </c:dLbl>
            <c:dLbl>
              <c:idx val="6"/>
              <c:layout>
                <c:manualLayout>
                  <c:x val="2.455494168201411E-3"/>
                  <c:y val="-0.25655304269074974"/>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3BC-4C61-8DEE-D8DC84F06CAB}"/>
                </c:ext>
              </c:extLst>
            </c:dLbl>
            <c:spPr>
              <a:noFill/>
              <a:ln>
                <a:noFill/>
              </a:ln>
              <a:effectLst/>
            </c:spPr>
            <c:txPr>
              <a:bodyPr/>
              <a:lstStyle/>
              <a:p>
                <a:pPr>
                  <a:defRPr sz="1100">
                    <a:solidFill>
                      <a:sysClr val="windowText" lastClr="000000"/>
                    </a:solidFill>
                  </a:defRPr>
                </a:pPr>
                <a:endParaRPr lang="ru-RU"/>
              </a:p>
            </c:txPr>
            <c:dLblPos val="inEnd"/>
            <c:showVal val="1"/>
            <c:extLst xmlns:c16r2="http://schemas.microsoft.com/office/drawing/2015/06/chart">
              <c:ext xmlns:c15="http://schemas.microsoft.com/office/drawing/2012/chart" uri="{CE6537A1-D6FC-4f65-9D91-7224C49458BB}">
                <c15:showLeaderLines val="0"/>
              </c:ext>
            </c:extLst>
          </c:dLbls>
          <c:cat>
            <c:strRef>
              <c:f>'имущественные и земельные отн'!$B$3:$B$9</c:f>
              <c:strCache>
                <c:ptCount val="7"/>
                <c:pt idx="0">
                  <c:v>01.01.2011 г.</c:v>
                </c:pt>
                <c:pt idx="1">
                  <c:v>01.01.2012 г.</c:v>
                </c:pt>
                <c:pt idx="2">
                  <c:v>01.01.2013 г.</c:v>
                </c:pt>
                <c:pt idx="3">
                  <c:v>01.01.2014 г.</c:v>
                </c:pt>
                <c:pt idx="4">
                  <c:v>01.01.2015 г.</c:v>
                </c:pt>
                <c:pt idx="5">
                  <c:v>01.01.2016 г.</c:v>
                </c:pt>
                <c:pt idx="6">
                  <c:v>01.01.2017 г.</c:v>
                </c:pt>
              </c:strCache>
            </c:strRef>
          </c:cat>
          <c:val>
            <c:numRef>
              <c:f>'имущественные и земельные отн'!$C$3:$C$9</c:f>
              <c:numCache>
                <c:formatCode>General</c:formatCode>
                <c:ptCount val="7"/>
                <c:pt idx="0">
                  <c:v>19.329999999999988</c:v>
                </c:pt>
                <c:pt idx="1">
                  <c:v>17.54</c:v>
                </c:pt>
                <c:pt idx="2">
                  <c:v>11.46</c:v>
                </c:pt>
                <c:pt idx="3">
                  <c:v>11.56</c:v>
                </c:pt>
                <c:pt idx="4">
                  <c:v>25.03</c:v>
                </c:pt>
                <c:pt idx="5">
                  <c:v>18.809999999999999</c:v>
                </c:pt>
                <c:pt idx="6">
                  <c:v>76.337000000000003</c:v>
                </c:pt>
              </c:numCache>
            </c:numRef>
          </c:val>
          <c:extLst xmlns:c16r2="http://schemas.microsoft.com/office/drawing/2015/06/chart">
            <c:ext xmlns:c16="http://schemas.microsoft.com/office/drawing/2014/chart" uri="{C3380CC4-5D6E-409C-BE32-E72D297353CC}">
              <c16:uniqueId val="{00000007-43BC-4C61-8DEE-D8DC84F06CAB}"/>
            </c:ext>
          </c:extLst>
        </c:ser>
        <c:overlap val="100"/>
        <c:axId val="171387520"/>
        <c:axId val="171389312"/>
      </c:barChart>
      <c:catAx>
        <c:axId val="171387520"/>
        <c:scaling>
          <c:orientation val="minMax"/>
        </c:scaling>
        <c:axPos val="b"/>
        <c:numFmt formatCode="General" sourceLinked="0"/>
        <c:tickLblPos val="nextTo"/>
        <c:crossAx val="171389312"/>
        <c:crosses val="autoZero"/>
        <c:auto val="1"/>
        <c:lblAlgn val="ctr"/>
        <c:lblOffset val="100"/>
      </c:catAx>
      <c:valAx>
        <c:axId val="171389312"/>
        <c:scaling>
          <c:orientation val="minMax"/>
        </c:scaling>
        <c:axPos val="l"/>
        <c:majorGridlines/>
        <c:numFmt formatCode="General" sourceLinked="1"/>
        <c:tickLblPos val="nextTo"/>
        <c:crossAx val="171387520"/>
        <c:crosses val="autoZero"/>
        <c:crossBetween val="between"/>
      </c:valAx>
    </c:plotArea>
    <c:plotVisOnly val="1"/>
    <c:dispBlanksAs val="gap"/>
  </c:chart>
  <c:spPr>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Рисунки!$A$61</c:f>
              <c:strCache>
                <c:ptCount val="1"/>
                <c:pt idx="0">
                  <c:v>Количество выданных разрешений на строительство, ед.</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Рисунки!$B$59:$H$59</c:f>
              <c:strCache>
                <c:ptCount val="7"/>
                <c:pt idx="0">
                  <c:v>01.01.2011 г.</c:v>
                </c:pt>
                <c:pt idx="1">
                  <c:v>01.01.2012 г.</c:v>
                </c:pt>
                <c:pt idx="2">
                  <c:v>01.01.2013 г.</c:v>
                </c:pt>
                <c:pt idx="3">
                  <c:v>01.01.2014 г.</c:v>
                </c:pt>
                <c:pt idx="4">
                  <c:v>01.01.2015 г.</c:v>
                </c:pt>
                <c:pt idx="5">
                  <c:v>01.01.2016 г.</c:v>
                </c:pt>
                <c:pt idx="6">
                  <c:v>01.01.2017 г.</c:v>
                </c:pt>
              </c:strCache>
            </c:strRef>
          </c:cat>
          <c:val>
            <c:numRef>
              <c:f>Рисунки!$B$61:$H$61</c:f>
              <c:numCache>
                <c:formatCode>General</c:formatCode>
                <c:ptCount val="7"/>
                <c:pt idx="0">
                  <c:v>98</c:v>
                </c:pt>
                <c:pt idx="1">
                  <c:v>354</c:v>
                </c:pt>
                <c:pt idx="2">
                  <c:v>459</c:v>
                </c:pt>
                <c:pt idx="3">
                  <c:v>507</c:v>
                </c:pt>
                <c:pt idx="4">
                  <c:v>406</c:v>
                </c:pt>
                <c:pt idx="5">
                  <c:v>321</c:v>
                </c:pt>
                <c:pt idx="6">
                  <c:v>399</c:v>
                </c:pt>
              </c:numCache>
            </c:numRef>
          </c:val>
          <c:extLst xmlns:c16r2="http://schemas.microsoft.com/office/drawing/2015/06/chart">
            <c:ext xmlns:c16="http://schemas.microsoft.com/office/drawing/2014/chart" uri="{C3380CC4-5D6E-409C-BE32-E72D297353CC}">
              <c16:uniqueId val="{00000000-D297-4467-8221-997B4A6B0EE3}"/>
            </c:ext>
          </c:extLst>
        </c:ser>
        <c:shape val="box"/>
        <c:axId val="171421696"/>
        <c:axId val="171423232"/>
        <c:axId val="0"/>
      </c:bar3DChart>
      <c:catAx>
        <c:axId val="171421696"/>
        <c:scaling>
          <c:orientation val="minMax"/>
        </c:scaling>
        <c:axPos val="b"/>
        <c:numFmt formatCode="General" sourceLinked="0"/>
        <c:tickLblPos val="nextTo"/>
        <c:txPr>
          <a:bodyPr/>
          <a:lstStyle/>
          <a:p>
            <a:pPr>
              <a:defRPr sz="900"/>
            </a:pPr>
            <a:endParaRPr lang="ru-RU"/>
          </a:p>
        </c:txPr>
        <c:crossAx val="171423232"/>
        <c:crosses val="autoZero"/>
        <c:auto val="1"/>
        <c:lblAlgn val="ctr"/>
        <c:lblOffset val="100"/>
      </c:catAx>
      <c:valAx>
        <c:axId val="171423232"/>
        <c:scaling>
          <c:orientation val="minMax"/>
        </c:scaling>
        <c:axPos val="l"/>
        <c:majorGridlines/>
        <c:numFmt formatCode="General" sourceLinked="1"/>
        <c:tickLblPos val="nextTo"/>
        <c:crossAx val="171421696"/>
        <c:crosses val="autoZero"/>
        <c:crossBetween val="between"/>
      </c:valAx>
    </c:plotArea>
    <c:plotVisOnly val="1"/>
    <c:dispBlanksAs val="gap"/>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view3D>
      <c:rotX val="65"/>
      <c:rotY val="30"/>
      <c:rAngAx val="1"/>
    </c:view3D>
    <c:plotArea>
      <c:layout/>
      <c:bar3DChart>
        <c:barDir val="col"/>
        <c:grouping val="stacked"/>
        <c:ser>
          <c:idx val="0"/>
          <c:order val="0"/>
          <c:tx>
            <c:strRef>
              <c:f>Рисунки!$A$74</c:f>
              <c:strCache>
                <c:ptCount val="1"/>
                <c:pt idx="0">
                  <c:v>сельскохозяйственное производство, млн. рублей</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Рисунки!$B$61:$H$61</c:f>
              <c:strCache>
                <c:ptCount val="7"/>
                <c:pt idx="0">
                  <c:v>01.01.2011 г.</c:v>
                </c:pt>
                <c:pt idx="1">
                  <c:v>01.01.2012 г.</c:v>
                </c:pt>
                <c:pt idx="2">
                  <c:v>01.01.2013 г.</c:v>
                </c:pt>
                <c:pt idx="3">
                  <c:v>01.01.2014 г.</c:v>
                </c:pt>
                <c:pt idx="4">
                  <c:v>01.01.2015 г.</c:v>
                </c:pt>
                <c:pt idx="5">
                  <c:v>01.01.2016 г.</c:v>
                </c:pt>
                <c:pt idx="6">
                  <c:v>01.01.2017 г.</c:v>
                </c:pt>
              </c:strCache>
            </c:strRef>
          </c:cat>
          <c:val>
            <c:numRef>
              <c:f>Рисунки!$B$74:$H$74</c:f>
              <c:numCache>
                <c:formatCode>General</c:formatCode>
                <c:ptCount val="7"/>
                <c:pt idx="0">
                  <c:v>40.578000000000003</c:v>
                </c:pt>
                <c:pt idx="1">
                  <c:v>63.945</c:v>
                </c:pt>
                <c:pt idx="2">
                  <c:v>37.627000000000002</c:v>
                </c:pt>
                <c:pt idx="3">
                  <c:v>47.425000000000011</c:v>
                </c:pt>
                <c:pt idx="4">
                  <c:v>45.311999999999998</c:v>
                </c:pt>
                <c:pt idx="5">
                  <c:v>64.593000000000004</c:v>
                </c:pt>
                <c:pt idx="6">
                  <c:v>65.006</c:v>
                </c:pt>
              </c:numCache>
            </c:numRef>
          </c:val>
          <c:extLst xmlns:c16r2="http://schemas.microsoft.com/office/drawing/2015/06/chart">
            <c:ext xmlns:c16="http://schemas.microsoft.com/office/drawing/2014/chart" uri="{C3380CC4-5D6E-409C-BE32-E72D297353CC}">
              <c16:uniqueId val="{00000000-9C05-4CE8-ADE6-914AC97E7736}"/>
            </c:ext>
          </c:extLst>
        </c:ser>
        <c:ser>
          <c:idx val="1"/>
          <c:order val="1"/>
          <c:tx>
            <c:strRef>
              <c:f>Рисунки!$A$75</c:f>
              <c:strCache>
                <c:ptCount val="1"/>
                <c:pt idx="0">
                  <c:v>строительство, млн. рублей</c:v>
                </c:pt>
              </c:strCache>
            </c:strRef>
          </c:tx>
          <c:cat>
            <c:strRef>
              <c:f>Рисунки!$B$61:$H$61</c:f>
              <c:strCache>
                <c:ptCount val="7"/>
                <c:pt idx="0">
                  <c:v>01.01.2011 г.</c:v>
                </c:pt>
                <c:pt idx="1">
                  <c:v>01.01.2012 г.</c:v>
                </c:pt>
                <c:pt idx="2">
                  <c:v>01.01.2013 г.</c:v>
                </c:pt>
                <c:pt idx="3">
                  <c:v>01.01.2014 г.</c:v>
                </c:pt>
                <c:pt idx="4">
                  <c:v>01.01.2015 г.</c:v>
                </c:pt>
                <c:pt idx="5">
                  <c:v>01.01.2016 г.</c:v>
                </c:pt>
                <c:pt idx="6">
                  <c:v>01.01.2017 г.</c:v>
                </c:pt>
              </c:strCache>
            </c:strRef>
          </c:cat>
          <c:val>
            <c:numRef>
              <c:f>Рисунки!$B$75:$H$75</c:f>
              <c:numCache>
                <c:formatCode>General</c:formatCode>
                <c:ptCount val="7"/>
              </c:numCache>
            </c:numRef>
          </c:val>
          <c:extLst xmlns:c16r2="http://schemas.microsoft.com/office/drawing/2015/06/chart">
            <c:ext xmlns:c16="http://schemas.microsoft.com/office/drawing/2014/chart" uri="{C3380CC4-5D6E-409C-BE32-E72D297353CC}">
              <c16:uniqueId val="{00000001-9C05-4CE8-ADE6-914AC97E7736}"/>
            </c:ext>
          </c:extLst>
        </c:ser>
        <c:ser>
          <c:idx val="2"/>
          <c:order val="2"/>
          <c:tx>
            <c:strRef>
              <c:f>Рисунки!$A$76</c:f>
              <c:strCache>
                <c:ptCount val="1"/>
                <c:pt idx="0">
                  <c:v>добыча полезных ископаемых, обрабатывающие производства,  производство электроэнергии, газа, воды млн. рублей</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Рисунки!$B$61:$H$61</c:f>
              <c:strCache>
                <c:ptCount val="7"/>
                <c:pt idx="0">
                  <c:v>01.01.2011 г.</c:v>
                </c:pt>
                <c:pt idx="1">
                  <c:v>01.01.2012 г.</c:v>
                </c:pt>
                <c:pt idx="2">
                  <c:v>01.01.2013 г.</c:v>
                </c:pt>
                <c:pt idx="3">
                  <c:v>01.01.2014 г.</c:v>
                </c:pt>
                <c:pt idx="4">
                  <c:v>01.01.2015 г.</c:v>
                </c:pt>
                <c:pt idx="5">
                  <c:v>01.01.2016 г.</c:v>
                </c:pt>
                <c:pt idx="6">
                  <c:v>01.01.2017 г.</c:v>
                </c:pt>
              </c:strCache>
            </c:strRef>
          </c:cat>
          <c:val>
            <c:numRef>
              <c:f>Рисунки!$B$76:$H$76</c:f>
              <c:numCache>
                <c:formatCode>General</c:formatCode>
                <c:ptCount val="7"/>
                <c:pt idx="0">
                  <c:v>4.4649999999999945</c:v>
                </c:pt>
                <c:pt idx="1">
                  <c:v>7.5709999999999997</c:v>
                </c:pt>
                <c:pt idx="2">
                  <c:v>8.3070000000000004</c:v>
                </c:pt>
                <c:pt idx="3">
                  <c:v>0.18100000000000024</c:v>
                </c:pt>
                <c:pt idx="4">
                  <c:v>8.4360000000000035</c:v>
                </c:pt>
                <c:pt idx="5">
                  <c:v>10.293000000000001</c:v>
                </c:pt>
                <c:pt idx="6">
                  <c:v>10.423</c:v>
                </c:pt>
              </c:numCache>
            </c:numRef>
          </c:val>
          <c:extLst xmlns:c16r2="http://schemas.microsoft.com/office/drawing/2015/06/chart">
            <c:ext xmlns:c16="http://schemas.microsoft.com/office/drawing/2014/chart" uri="{C3380CC4-5D6E-409C-BE32-E72D297353CC}">
              <c16:uniqueId val="{00000002-9C05-4CE8-ADE6-914AC97E7736}"/>
            </c:ext>
          </c:extLst>
        </c:ser>
        <c:shape val="box"/>
        <c:axId val="179383296"/>
        <c:axId val="179766016"/>
        <c:axId val="0"/>
      </c:bar3DChart>
      <c:catAx>
        <c:axId val="179383296"/>
        <c:scaling>
          <c:orientation val="minMax"/>
        </c:scaling>
        <c:axPos val="b"/>
        <c:numFmt formatCode="General" sourceLinked="0"/>
        <c:tickLblPos val="nextTo"/>
        <c:crossAx val="179766016"/>
        <c:crosses val="autoZero"/>
        <c:auto val="1"/>
        <c:lblAlgn val="ctr"/>
        <c:lblOffset val="100"/>
      </c:catAx>
      <c:valAx>
        <c:axId val="179766016"/>
        <c:scaling>
          <c:orientation val="minMax"/>
        </c:scaling>
        <c:axPos val="l"/>
        <c:majorGridlines>
          <c:spPr>
            <a:ln w="0">
              <a:solidFill>
                <a:schemeClr val="bg1"/>
              </a:solidFill>
            </a:ln>
          </c:spPr>
        </c:majorGridlines>
        <c:numFmt formatCode="General" sourceLinked="1"/>
        <c:tickLblPos val="nextTo"/>
        <c:crossAx val="179383296"/>
        <c:crosses val="autoZero"/>
        <c:crossBetween val="between"/>
      </c:valAx>
    </c:plotArea>
    <c:legend>
      <c:legendPos val="r"/>
      <c:layout>
        <c:manualLayout>
          <c:xMode val="edge"/>
          <c:yMode val="edge"/>
          <c:x val="0.6117664981882609"/>
          <c:y val="2.4895193601782089E-2"/>
          <c:w val="0.37665604733668534"/>
          <c:h val="0.94513094998684211"/>
        </c:manualLayout>
      </c:layout>
      <c:txPr>
        <a:bodyPr/>
        <a:lstStyle/>
        <a:p>
          <a:pPr rtl="0">
            <a:defRPr sz="900" baseline="0"/>
          </a:pPr>
          <a:endParaRPr lang="ru-RU"/>
        </a:p>
      </c:txPr>
    </c:legend>
    <c:plotVisOnly val="1"/>
    <c:dispBlanksAs val="gap"/>
  </c:chart>
  <c:spPr>
    <a:ln>
      <a:noFill/>
    </a:ln>
  </c:sp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stacked"/>
        <c:ser>
          <c:idx val="0"/>
          <c:order val="0"/>
          <c:tx>
            <c:strRef>
              <c:f>Лист2!$A$56</c:f>
              <c:strCache>
                <c:ptCount val="1"/>
                <c:pt idx="0">
                  <c:v>Доля дебиторской задолженности в финансовом потоке муниципального образования,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Лист2!$B$2:$G$2</c:f>
              <c:numCache>
                <c:formatCode>General</c:formatCode>
                <c:ptCount val="6"/>
                <c:pt idx="0">
                  <c:v>2011</c:v>
                </c:pt>
                <c:pt idx="1">
                  <c:v>2012</c:v>
                </c:pt>
                <c:pt idx="2">
                  <c:v>2013</c:v>
                </c:pt>
                <c:pt idx="3">
                  <c:v>2014</c:v>
                </c:pt>
                <c:pt idx="4">
                  <c:v>2015</c:v>
                </c:pt>
                <c:pt idx="5">
                  <c:v>2016</c:v>
                </c:pt>
              </c:numCache>
            </c:numRef>
          </c:cat>
          <c:val>
            <c:numRef>
              <c:f>Лист2!$B$56:$G$56</c:f>
              <c:numCache>
                <c:formatCode>0.0%</c:formatCode>
                <c:ptCount val="6"/>
                <c:pt idx="0">
                  <c:v>0.35395175368989606</c:v>
                </c:pt>
                <c:pt idx="1">
                  <c:v>0.3923196507128055</c:v>
                </c:pt>
                <c:pt idx="2">
                  <c:v>0.33176630511739263</c:v>
                </c:pt>
                <c:pt idx="3">
                  <c:v>0.42594842085591972</c:v>
                </c:pt>
                <c:pt idx="4">
                  <c:v>0.31447201593915369</c:v>
                </c:pt>
                <c:pt idx="5">
                  <c:v>0.36841952521911464</c:v>
                </c:pt>
              </c:numCache>
            </c:numRef>
          </c:val>
          <c:extLst xmlns:c16r2="http://schemas.microsoft.com/office/drawing/2015/06/chart">
            <c:ext xmlns:c16="http://schemas.microsoft.com/office/drawing/2014/chart" uri="{C3380CC4-5D6E-409C-BE32-E72D297353CC}">
              <c16:uniqueId val="{00000000-7840-4225-AC6C-F6390E33A72B}"/>
            </c:ext>
          </c:extLst>
        </c:ser>
        <c:ser>
          <c:idx val="1"/>
          <c:order val="1"/>
          <c:tx>
            <c:strRef>
              <c:f>Лист2!$A$57</c:f>
              <c:strCache>
                <c:ptCount val="1"/>
                <c:pt idx="0">
                  <c:v>Доля кредиторскй задолженности в финансовом потоке муниципального образования,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Лист2!$B$2:$G$2</c:f>
              <c:numCache>
                <c:formatCode>General</c:formatCode>
                <c:ptCount val="6"/>
                <c:pt idx="0">
                  <c:v>2011</c:v>
                </c:pt>
                <c:pt idx="1">
                  <c:v>2012</c:v>
                </c:pt>
                <c:pt idx="2">
                  <c:v>2013</c:v>
                </c:pt>
                <c:pt idx="3">
                  <c:v>2014</c:v>
                </c:pt>
                <c:pt idx="4">
                  <c:v>2015</c:v>
                </c:pt>
                <c:pt idx="5">
                  <c:v>2016</c:v>
                </c:pt>
              </c:numCache>
            </c:numRef>
          </c:cat>
          <c:val>
            <c:numRef>
              <c:f>Лист2!$B$57:$G$57</c:f>
              <c:numCache>
                <c:formatCode>0.0%</c:formatCode>
                <c:ptCount val="6"/>
                <c:pt idx="0">
                  <c:v>0.64604824631013191</c:v>
                </c:pt>
                <c:pt idx="1">
                  <c:v>0.60768034928720249</c:v>
                </c:pt>
                <c:pt idx="2">
                  <c:v>0.66823369488261453</c:v>
                </c:pt>
                <c:pt idx="3">
                  <c:v>0.57405157914409521</c:v>
                </c:pt>
                <c:pt idx="4">
                  <c:v>0.68552798406085858</c:v>
                </c:pt>
                <c:pt idx="5">
                  <c:v>0.63158047478089263</c:v>
                </c:pt>
              </c:numCache>
            </c:numRef>
          </c:val>
          <c:extLst xmlns:c16r2="http://schemas.microsoft.com/office/drawing/2015/06/chart">
            <c:ext xmlns:c16="http://schemas.microsoft.com/office/drawing/2014/chart" uri="{C3380CC4-5D6E-409C-BE32-E72D297353CC}">
              <c16:uniqueId val="{00000001-7840-4225-AC6C-F6390E33A72B}"/>
            </c:ext>
          </c:extLst>
        </c:ser>
        <c:shape val="box"/>
        <c:axId val="181847936"/>
        <c:axId val="181849472"/>
        <c:axId val="0"/>
      </c:bar3DChart>
      <c:catAx>
        <c:axId val="181847936"/>
        <c:scaling>
          <c:orientation val="minMax"/>
        </c:scaling>
        <c:axPos val="b"/>
        <c:numFmt formatCode="General" sourceLinked="1"/>
        <c:tickLblPos val="nextTo"/>
        <c:crossAx val="181849472"/>
        <c:crosses val="autoZero"/>
        <c:auto val="1"/>
        <c:lblAlgn val="ctr"/>
        <c:lblOffset val="100"/>
      </c:catAx>
      <c:valAx>
        <c:axId val="181849472"/>
        <c:scaling>
          <c:orientation val="minMax"/>
        </c:scaling>
        <c:axPos val="l"/>
        <c:majorGridlines>
          <c:spPr>
            <a:ln w="0">
              <a:solidFill>
                <a:schemeClr val="bg1"/>
              </a:solidFill>
            </a:ln>
          </c:spPr>
        </c:majorGridlines>
        <c:numFmt formatCode="0.0%" sourceLinked="1"/>
        <c:tickLblPos val="nextTo"/>
        <c:crossAx val="181847936"/>
        <c:crosses val="autoZero"/>
        <c:crossBetween val="between"/>
      </c:valAx>
      <c:spPr>
        <a:noFill/>
        <a:ln w="25400">
          <a:noFill/>
        </a:ln>
      </c:spPr>
    </c:plotArea>
    <c:legend>
      <c:legendPos val="b"/>
      <c:txPr>
        <a:bodyPr/>
        <a:lstStyle/>
        <a:p>
          <a:pPr>
            <a:defRPr baseline="0">
              <a:latin typeface="Times New Roman" pitchFamily="18" charset="0"/>
            </a:defRPr>
          </a:pPr>
          <a:endParaRPr lang="ru-RU"/>
        </a:p>
      </c:txP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Лист1!$U$23</c:f>
              <c:strCache>
                <c:ptCount val="1"/>
                <c:pt idx="0">
                  <c:v>до</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Лист1!$T$24:$T$30</c:f>
              <c:strCache>
                <c:ptCount val="7"/>
                <c:pt idx="0">
                  <c:v>01.01.2011 г.</c:v>
                </c:pt>
                <c:pt idx="1">
                  <c:v>01.01.2012 г.</c:v>
                </c:pt>
                <c:pt idx="2">
                  <c:v>01.01.2013 г.</c:v>
                </c:pt>
                <c:pt idx="3">
                  <c:v>01.01.2014 г.</c:v>
                </c:pt>
                <c:pt idx="4">
                  <c:v>01.01.2015 г.</c:v>
                </c:pt>
                <c:pt idx="5">
                  <c:v>01.01.2016 г.</c:v>
                </c:pt>
                <c:pt idx="6">
                  <c:v>01.01.2017 г.</c:v>
                </c:pt>
              </c:strCache>
            </c:strRef>
          </c:cat>
          <c:val>
            <c:numRef>
              <c:f>Лист1!$U$24:$U$30</c:f>
              <c:numCache>
                <c:formatCode>0.0%</c:formatCode>
                <c:ptCount val="7"/>
                <c:pt idx="0">
                  <c:v>0.20284258300820129</c:v>
                </c:pt>
                <c:pt idx="1">
                  <c:v>0.20283919198345793</c:v>
                </c:pt>
                <c:pt idx="2">
                  <c:v>0.20494671857182648</c:v>
                </c:pt>
                <c:pt idx="3">
                  <c:v>0.21113707473563309</c:v>
                </c:pt>
                <c:pt idx="4">
                  <c:v>0.21853646909264576</c:v>
                </c:pt>
                <c:pt idx="5">
                  <c:v>0.22295546558704768</c:v>
                </c:pt>
                <c:pt idx="6">
                  <c:v>0.22553477521648016</c:v>
                </c:pt>
              </c:numCache>
            </c:numRef>
          </c:val>
          <c:extLst xmlns:c16r2="http://schemas.microsoft.com/office/drawing/2015/06/chart">
            <c:ext xmlns:c16="http://schemas.microsoft.com/office/drawing/2014/chart" uri="{C3380CC4-5D6E-409C-BE32-E72D297353CC}">
              <c16:uniqueId val="{00000000-B686-4B59-ADD4-AAEDC3800907}"/>
            </c:ext>
          </c:extLst>
        </c:ser>
        <c:ser>
          <c:idx val="1"/>
          <c:order val="1"/>
          <c:tx>
            <c:strRef>
              <c:f>Лист1!$V$23</c:f>
              <c:strCache>
                <c:ptCount val="1"/>
                <c:pt idx="0">
                  <c:v>трудоспособный возраст</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Лист1!$T$24:$T$30</c:f>
              <c:strCache>
                <c:ptCount val="7"/>
                <c:pt idx="0">
                  <c:v>01.01.2011 г.</c:v>
                </c:pt>
                <c:pt idx="1">
                  <c:v>01.01.2012 г.</c:v>
                </c:pt>
                <c:pt idx="2">
                  <c:v>01.01.2013 г.</c:v>
                </c:pt>
                <c:pt idx="3">
                  <c:v>01.01.2014 г.</c:v>
                </c:pt>
                <c:pt idx="4">
                  <c:v>01.01.2015 г.</c:v>
                </c:pt>
                <c:pt idx="5">
                  <c:v>01.01.2016 г.</c:v>
                </c:pt>
                <c:pt idx="6">
                  <c:v>01.01.2017 г.</c:v>
                </c:pt>
              </c:strCache>
            </c:strRef>
          </c:cat>
          <c:val>
            <c:numRef>
              <c:f>Лист1!$V$24:$V$30</c:f>
              <c:numCache>
                <c:formatCode>0.0%</c:formatCode>
                <c:ptCount val="7"/>
                <c:pt idx="0">
                  <c:v>0.56146986225019024</c:v>
                </c:pt>
                <c:pt idx="1">
                  <c:v>0.56163512008908234</c:v>
                </c:pt>
                <c:pt idx="2">
                  <c:v>0.55982855569974521</c:v>
                </c:pt>
                <c:pt idx="3">
                  <c:v>0.54814052041665018</c:v>
                </c:pt>
                <c:pt idx="4">
                  <c:v>0.53750198633402191</c:v>
                </c:pt>
                <c:pt idx="5">
                  <c:v>0.52676113360323884</c:v>
                </c:pt>
                <c:pt idx="6">
                  <c:v>0.51852437626032977</c:v>
                </c:pt>
              </c:numCache>
            </c:numRef>
          </c:val>
          <c:extLst xmlns:c16r2="http://schemas.microsoft.com/office/drawing/2015/06/chart">
            <c:ext xmlns:c16="http://schemas.microsoft.com/office/drawing/2014/chart" uri="{C3380CC4-5D6E-409C-BE32-E72D297353CC}">
              <c16:uniqueId val="{00000001-B686-4B59-ADD4-AAEDC3800907}"/>
            </c:ext>
          </c:extLst>
        </c:ser>
        <c:ser>
          <c:idx val="2"/>
          <c:order val="2"/>
          <c:tx>
            <c:strRef>
              <c:f>Лист1!$W$23</c:f>
              <c:strCache>
                <c:ptCount val="1"/>
                <c:pt idx="0">
                  <c:v>старше</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Лист1!$T$24:$T$30</c:f>
              <c:strCache>
                <c:ptCount val="7"/>
                <c:pt idx="0">
                  <c:v>01.01.2011 г.</c:v>
                </c:pt>
                <c:pt idx="1">
                  <c:v>01.01.2012 г.</c:v>
                </c:pt>
                <c:pt idx="2">
                  <c:v>01.01.2013 г.</c:v>
                </c:pt>
                <c:pt idx="3">
                  <c:v>01.01.2014 г.</c:v>
                </c:pt>
                <c:pt idx="4">
                  <c:v>01.01.2015 г.</c:v>
                </c:pt>
                <c:pt idx="5">
                  <c:v>01.01.2016 г.</c:v>
                </c:pt>
                <c:pt idx="6">
                  <c:v>01.01.2017 г.</c:v>
                </c:pt>
              </c:strCache>
            </c:strRef>
          </c:cat>
          <c:val>
            <c:numRef>
              <c:f>Лист1!$W$24:$W$30</c:f>
              <c:numCache>
                <c:formatCode>0.0%</c:formatCode>
                <c:ptCount val="7"/>
                <c:pt idx="0">
                  <c:v>0.23568755474161937</c:v>
                </c:pt>
                <c:pt idx="1">
                  <c:v>0.23552568792747094</c:v>
                </c:pt>
                <c:pt idx="2">
                  <c:v>0.23522472572844166</c:v>
                </c:pt>
                <c:pt idx="3">
                  <c:v>0.24072240484771931</c:v>
                </c:pt>
                <c:pt idx="4">
                  <c:v>0.24396154457333899</c:v>
                </c:pt>
                <c:pt idx="5">
                  <c:v>0.25028340080971662</c:v>
                </c:pt>
                <c:pt idx="6">
                  <c:v>0.25594084852318516</c:v>
                </c:pt>
              </c:numCache>
            </c:numRef>
          </c:val>
          <c:extLst xmlns:c16r2="http://schemas.microsoft.com/office/drawing/2015/06/chart">
            <c:ext xmlns:c16="http://schemas.microsoft.com/office/drawing/2014/chart" uri="{C3380CC4-5D6E-409C-BE32-E72D297353CC}">
              <c16:uniqueId val="{00000002-B686-4B59-ADD4-AAEDC3800907}"/>
            </c:ext>
          </c:extLst>
        </c:ser>
        <c:gapWidth val="219"/>
        <c:overlap val="-27"/>
        <c:axId val="167330560"/>
        <c:axId val="167332096"/>
      </c:barChart>
      <c:catAx>
        <c:axId val="1673305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332096"/>
        <c:crosses val="autoZero"/>
        <c:auto val="1"/>
        <c:lblAlgn val="ctr"/>
        <c:lblOffset val="100"/>
      </c:catAx>
      <c:valAx>
        <c:axId val="167332096"/>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3305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Лист2!$A$93</c:f>
              <c:strCache>
                <c:ptCount val="1"/>
                <c:pt idx="0">
                  <c:v>К дз/кз</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Лист2!$B$2:$G$2</c:f>
              <c:numCache>
                <c:formatCode>General</c:formatCode>
                <c:ptCount val="6"/>
                <c:pt idx="0">
                  <c:v>2011</c:v>
                </c:pt>
                <c:pt idx="1">
                  <c:v>2012</c:v>
                </c:pt>
                <c:pt idx="2">
                  <c:v>2013</c:v>
                </c:pt>
                <c:pt idx="3">
                  <c:v>2014</c:v>
                </c:pt>
                <c:pt idx="4">
                  <c:v>2015</c:v>
                </c:pt>
                <c:pt idx="5">
                  <c:v>2016</c:v>
                </c:pt>
              </c:numCache>
            </c:numRef>
          </c:cat>
          <c:val>
            <c:numRef>
              <c:f>Лист2!$B$93:$G$93</c:f>
              <c:numCache>
                <c:formatCode>0.00</c:formatCode>
                <c:ptCount val="6"/>
                <c:pt idx="0">
                  <c:v>0.54787201375667871</c:v>
                </c:pt>
                <c:pt idx="1">
                  <c:v>0.64560200304813475</c:v>
                </c:pt>
                <c:pt idx="2">
                  <c:v>0.49648245465333107</c:v>
                </c:pt>
                <c:pt idx="3">
                  <c:v>0.74200374379425349</c:v>
                </c:pt>
                <c:pt idx="4">
                  <c:v>0.45872965546396111</c:v>
                </c:pt>
                <c:pt idx="5">
                  <c:v>0.58332950420438368</c:v>
                </c:pt>
              </c:numCache>
            </c:numRef>
          </c:val>
          <c:extLst xmlns:c16r2="http://schemas.microsoft.com/office/drawing/2015/06/chart">
            <c:ext xmlns:c16="http://schemas.microsoft.com/office/drawing/2014/chart" uri="{C3380CC4-5D6E-409C-BE32-E72D297353CC}">
              <c16:uniqueId val="{00000000-0359-453B-886F-85EA386FC373}"/>
            </c:ext>
          </c:extLst>
        </c:ser>
        <c:marker val="1"/>
        <c:axId val="182798208"/>
        <c:axId val="182799744"/>
      </c:lineChart>
      <c:catAx>
        <c:axId val="182798208"/>
        <c:scaling>
          <c:orientation val="minMax"/>
        </c:scaling>
        <c:axPos val="b"/>
        <c:numFmt formatCode="General" sourceLinked="1"/>
        <c:tickLblPos val="nextTo"/>
        <c:crossAx val="182799744"/>
        <c:crosses val="autoZero"/>
        <c:auto val="1"/>
        <c:lblAlgn val="ctr"/>
        <c:lblOffset val="100"/>
      </c:catAx>
      <c:valAx>
        <c:axId val="182799744"/>
        <c:scaling>
          <c:orientation val="minMax"/>
        </c:scaling>
        <c:axPos val="l"/>
        <c:majorGridlines/>
        <c:numFmt formatCode="0.00" sourceLinked="1"/>
        <c:tickLblPos val="nextTo"/>
        <c:crossAx val="182798208"/>
        <c:crosses val="autoZero"/>
        <c:crossBetween val="between"/>
      </c:valAx>
    </c:plotArea>
    <c:plotVisOnly val="1"/>
    <c:dispBlanksAs val="gap"/>
  </c:chart>
  <c:spPr>
    <a:ln>
      <a:noFill/>
    </a:ln>
  </c:sp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Лист2!$A$72</c:f>
              <c:strCache>
                <c:ptCount val="1"/>
                <c:pt idx="0">
                  <c:v>Доля задолженности по платежам в бюджет, %</c:v>
                </c:pt>
              </c:strCache>
            </c:strRef>
          </c:tx>
          <c:dLbls>
            <c:dLbl>
              <c:idx val="0"/>
              <c:layout>
                <c:manualLayout>
                  <c:x val="-6.867926351314081E-3"/>
                  <c:y val="-1.511567058629361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6BA-4A62-AF03-22AA84BE6EC2}"/>
                </c:ext>
              </c:extLst>
            </c:dLbl>
            <c:dLbl>
              <c:idx val="1"/>
              <c:layout>
                <c:manualLayout>
                  <c:x val="-6.867926351314081E-3"/>
                  <c:y val="-2.015422744839148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6BA-4A62-AF03-22AA84BE6EC2}"/>
                </c:ext>
              </c:extLst>
            </c:dLbl>
            <c:dLbl>
              <c:idx val="2"/>
              <c:layout>
                <c:manualLayout>
                  <c:x val="-1.3735852702628167E-2"/>
                  <c:y val="-5.038556862097872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6BA-4A62-AF03-22AA84BE6EC2}"/>
                </c:ext>
              </c:extLst>
            </c:dLbl>
            <c:dLbl>
              <c:idx val="3"/>
              <c:layout>
                <c:manualLayout>
                  <c:x val="-6.867926351314081E-3"/>
                  <c:y val="-1.511567058629361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6BA-4A62-AF03-22AA84BE6EC2}"/>
                </c:ext>
              </c:extLst>
            </c:dLbl>
            <c:dLbl>
              <c:idx val="4"/>
              <c:layout>
                <c:manualLayout>
                  <c:x val="-1.1446543918856801E-2"/>
                  <c:y val="-1.00771137241957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6BA-4A62-AF03-22AA84BE6EC2}"/>
                </c:ext>
              </c:extLst>
            </c:dLbl>
            <c:dLbl>
              <c:idx val="5"/>
              <c:layout>
                <c:manualLayout>
                  <c:x val="-9.1572351350854547E-3"/>
                  <c:y val="-3.023134117258789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6BA-4A62-AF03-22AA84BE6EC2}"/>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Лист2!$B$2:$G$2</c:f>
              <c:numCache>
                <c:formatCode>General</c:formatCode>
                <c:ptCount val="6"/>
                <c:pt idx="0">
                  <c:v>2011</c:v>
                </c:pt>
                <c:pt idx="1">
                  <c:v>2012</c:v>
                </c:pt>
                <c:pt idx="2">
                  <c:v>2013</c:v>
                </c:pt>
                <c:pt idx="3">
                  <c:v>2014</c:v>
                </c:pt>
                <c:pt idx="4">
                  <c:v>2015</c:v>
                </c:pt>
                <c:pt idx="5">
                  <c:v>2016</c:v>
                </c:pt>
              </c:numCache>
            </c:numRef>
          </c:cat>
          <c:val>
            <c:numRef>
              <c:f>Лист2!$B$72:$G$72</c:f>
              <c:numCache>
                <c:formatCode>0.0%</c:formatCode>
                <c:ptCount val="6"/>
                <c:pt idx="0">
                  <c:v>6.8107842535159349E-2</c:v>
                </c:pt>
                <c:pt idx="1">
                  <c:v>6.6895275419116093E-2</c:v>
                </c:pt>
                <c:pt idx="2">
                  <c:v>5.7467367350399132E-2</c:v>
                </c:pt>
                <c:pt idx="3">
                  <c:v>6.6167494099454702E-2</c:v>
                </c:pt>
                <c:pt idx="4">
                  <c:v>5.8867047135912114E-2</c:v>
                </c:pt>
                <c:pt idx="5">
                  <c:v>2.5272251068327006E-2</c:v>
                </c:pt>
              </c:numCache>
            </c:numRef>
          </c:val>
          <c:extLst xmlns:c16r2="http://schemas.microsoft.com/office/drawing/2015/06/chart">
            <c:ext xmlns:c16="http://schemas.microsoft.com/office/drawing/2014/chart" uri="{C3380CC4-5D6E-409C-BE32-E72D297353CC}">
              <c16:uniqueId val="{00000006-D6BA-4A62-AF03-22AA84BE6EC2}"/>
            </c:ext>
          </c:extLst>
        </c:ser>
        <c:ser>
          <c:idx val="1"/>
          <c:order val="1"/>
          <c:tx>
            <c:strRef>
              <c:f>Лист2!$A$73</c:f>
              <c:strCache>
                <c:ptCount val="1"/>
                <c:pt idx="0">
                  <c:v>Доля задолженности по платежам в государственные внебюджетные фонды,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Лист2!$B$2:$G$2</c:f>
              <c:numCache>
                <c:formatCode>General</c:formatCode>
                <c:ptCount val="6"/>
                <c:pt idx="0">
                  <c:v>2011</c:v>
                </c:pt>
                <c:pt idx="1">
                  <c:v>2012</c:v>
                </c:pt>
                <c:pt idx="2">
                  <c:v>2013</c:v>
                </c:pt>
                <c:pt idx="3">
                  <c:v>2014</c:v>
                </c:pt>
                <c:pt idx="4">
                  <c:v>2015</c:v>
                </c:pt>
                <c:pt idx="5">
                  <c:v>2016</c:v>
                </c:pt>
              </c:numCache>
            </c:numRef>
          </c:cat>
          <c:val>
            <c:numRef>
              <c:f>Лист2!$B$73:$G$73</c:f>
              <c:numCache>
                <c:formatCode>0.0%</c:formatCode>
                <c:ptCount val="6"/>
                <c:pt idx="0">
                  <c:v>3.1382423386353865E-2</c:v>
                </c:pt>
                <c:pt idx="1">
                  <c:v>4.6211626387981722E-2</c:v>
                </c:pt>
                <c:pt idx="2">
                  <c:v>3.9116799457535184E-2</c:v>
                </c:pt>
                <c:pt idx="3">
                  <c:v>2.6287946610238692E-2</c:v>
                </c:pt>
                <c:pt idx="4">
                  <c:v>4.0107799619530794E-2</c:v>
                </c:pt>
                <c:pt idx="5">
                  <c:v>8.5466158158343068E-3</c:v>
                </c:pt>
              </c:numCache>
            </c:numRef>
          </c:val>
          <c:extLst xmlns:c16r2="http://schemas.microsoft.com/office/drawing/2015/06/chart">
            <c:ext xmlns:c16="http://schemas.microsoft.com/office/drawing/2014/chart" uri="{C3380CC4-5D6E-409C-BE32-E72D297353CC}">
              <c16:uniqueId val="{00000007-D6BA-4A62-AF03-22AA84BE6EC2}"/>
            </c:ext>
          </c:extLst>
        </c:ser>
        <c:ser>
          <c:idx val="2"/>
          <c:order val="2"/>
          <c:tx>
            <c:strRef>
              <c:f>Лист2!$A$74</c:f>
              <c:strCache>
                <c:ptCount val="1"/>
                <c:pt idx="0">
                  <c:v>Доля задолженности перед поставщиками и подрядчиками,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Лист2!$B$2:$G$2</c:f>
              <c:numCache>
                <c:formatCode>General</c:formatCode>
                <c:ptCount val="6"/>
                <c:pt idx="0">
                  <c:v>2011</c:v>
                </c:pt>
                <c:pt idx="1">
                  <c:v>2012</c:v>
                </c:pt>
                <c:pt idx="2">
                  <c:v>2013</c:v>
                </c:pt>
                <c:pt idx="3">
                  <c:v>2014</c:v>
                </c:pt>
                <c:pt idx="4">
                  <c:v>2015</c:v>
                </c:pt>
                <c:pt idx="5">
                  <c:v>2016</c:v>
                </c:pt>
              </c:numCache>
            </c:numRef>
          </c:cat>
          <c:val>
            <c:numRef>
              <c:f>Лист2!$B$74:$G$74</c:f>
              <c:numCache>
                <c:formatCode>0.0%</c:formatCode>
                <c:ptCount val="6"/>
                <c:pt idx="0">
                  <c:v>0.90050973407849688</c:v>
                </c:pt>
                <c:pt idx="1">
                  <c:v>0.8868930981929023</c:v>
                </c:pt>
                <c:pt idx="2">
                  <c:v>0.90341583319206642</c:v>
                </c:pt>
                <c:pt idx="3">
                  <c:v>0.90754455929030686</c:v>
                </c:pt>
                <c:pt idx="4">
                  <c:v>0.90102515324456833</c:v>
                </c:pt>
                <c:pt idx="5">
                  <c:v>0.96618113311583964</c:v>
                </c:pt>
              </c:numCache>
            </c:numRef>
          </c:val>
          <c:extLst xmlns:c16r2="http://schemas.microsoft.com/office/drawing/2015/06/chart">
            <c:ext xmlns:c16="http://schemas.microsoft.com/office/drawing/2014/chart" uri="{C3380CC4-5D6E-409C-BE32-E72D297353CC}">
              <c16:uniqueId val="{00000008-D6BA-4A62-AF03-22AA84BE6EC2}"/>
            </c:ext>
          </c:extLst>
        </c:ser>
        <c:shape val="box"/>
        <c:axId val="182855168"/>
        <c:axId val="182856704"/>
        <c:axId val="0"/>
      </c:bar3DChart>
      <c:catAx>
        <c:axId val="182855168"/>
        <c:scaling>
          <c:orientation val="minMax"/>
        </c:scaling>
        <c:axPos val="b"/>
        <c:numFmt formatCode="General" sourceLinked="1"/>
        <c:tickLblPos val="nextTo"/>
        <c:crossAx val="182856704"/>
        <c:crosses val="autoZero"/>
        <c:auto val="1"/>
        <c:lblAlgn val="ctr"/>
        <c:lblOffset val="100"/>
      </c:catAx>
      <c:valAx>
        <c:axId val="182856704"/>
        <c:scaling>
          <c:orientation val="minMax"/>
        </c:scaling>
        <c:axPos val="l"/>
        <c:majorGridlines/>
        <c:numFmt formatCode="0.0%" sourceLinked="1"/>
        <c:tickLblPos val="nextTo"/>
        <c:crossAx val="182855168"/>
        <c:crosses val="autoZero"/>
        <c:crossBetween val="between"/>
      </c:valAx>
    </c:plotArea>
    <c:legend>
      <c:legendPos val="b"/>
    </c:legend>
    <c:plotVisOnly val="1"/>
    <c:dispBlanksAs val="gap"/>
  </c:chart>
  <c:spPr>
    <a:ln>
      <a:noFill/>
    </a:ln>
  </c:sp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2103687189837399E-2"/>
          <c:y val="6.0938816135505322E-2"/>
          <c:w val="0.88436274310790142"/>
          <c:h val="0.39359217988884393"/>
        </c:manualLayout>
      </c:layout>
      <c:lineChart>
        <c:grouping val="standard"/>
        <c:ser>
          <c:idx val="0"/>
          <c:order val="0"/>
          <c:tx>
            <c:strRef>
              <c:f>Лист2!$A$87</c:f>
              <c:strCache>
                <c:ptCount val="1"/>
                <c:pt idx="0">
                  <c:v>Задолженность перед поставщиками и подрядчиками, %</c:v>
                </c:pt>
              </c:strCache>
            </c:strRef>
          </c:tx>
          <c:cat>
            <c:numRef>
              <c:f>Лист2!$B$2:$G$2</c:f>
              <c:numCache>
                <c:formatCode>General</c:formatCode>
                <c:ptCount val="6"/>
                <c:pt idx="0">
                  <c:v>2011</c:v>
                </c:pt>
                <c:pt idx="1">
                  <c:v>2012</c:v>
                </c:pt>
                <c:pt idx="2">
                  <c:v>2013</c:v>
                </c:pt>
                <c:pt idx="3">
                  <c:v>2014</c:v>
                </c:pt>
                <c:pt idx="4">
                  <c:v>2015</c:v>
                </c:pt>
                <c:pt idx="5">
                  <c:v>2016</c:v>
                </c:pt>
              </c:numCache>
            </c:numRef>
          </c:cat>
          <c:val>
            <c:numRef>
              <c:f>Лист2!$B$87:$G$87</c:f>
              <c:numCache>
                <c:formatCode>0.0</c:formatCode>
                <c:ptCount val="6"/>
                <c:pt idx="0">
                  <c:v>111.12323535429285</c:v>
                </c:pt>
                <c:pt idx="1">
                  <c:v>130.82729839204876</c:v>
                </c:pt>
                <c:pt idx="2">
                  <c:v>52.310362621381998</c:v>
                </c:pt>
                <c:pt idx="3">
                  <c:v>152.91005291005212</c:v>
                </c:pt>
                <c:pt idx="4">
                  <c:v>123.31828045275815</c:v>
                </c:pt>
                <c:pt idx="5">
                  <c:v>143.40175953079179</c:v>
                </c:pt>
              </c:numCache>
            </c:numRef>
          </c:val>
          <c:extLst xmlns:c16r2="http://schemas.microsoft.com/office/drawing/2015/06/chart">
            <c:ext xmlns:c16="http://schemas.microsoft.com/office/drawing/2014/chart" uri="{C3380CC4-5D6E-409C-BE32-E72D297353CC}">
              <c16:uniqueId val="{00000000-69CE-4CAC-9B3F-889793BA956F}"/>
            </c:ext>
          </c:extLst>
        </c:ser>
        <c:ser>
          <c:idx val="1"/>
          <c:order val="1"/>
          <c:tx>
            <c:strRef>
              <c:f>Лист2!$A$88</c:f>
              <c:strCache>
                <c:ptCount val="1"/>
                <c:pt idx="0">
                  <c:v>Задолженность по платежам в бюджет из общей суммы кредиторской задолженности, %</c:v>
                </c:pt>
              </c:strCache>
            </c:strRef>
          </c:tx>
          <c:cat>
            <c:numRef>
              <c:f>Лист2!$B$2:$G$2</c:f>
              <c:numCache>
                <c:formatCode>General</c:formatCode>
                <c:ptCount val="6"/>
                <c:pt idx="0">
                  <c:v>2011</c:v>
                </c:pt>
                <c:pt idx="1">
                  <c:v>2012</c:v>
                </c:pt>
                <c:pt idx="2">
                  <c:v>2013</c:v>
                </c:pt>
                <c:pt idx="3">
                  <c:v>2014</c:v>
                </c:pt>
                <c:pt idx="4">
                  <c:v>2015</c:v>
                </c:pt>
                <c:pt idx="5">
                  <c:v>2016</c:v>
                </c:pt>
              </c:numCache>
            </c:numRef>
          </c:cat>
          <c:val>
            <c:numRef>
              <c:f>Лист2!$B$88:$G$88</c:f>
              <c:numCache>
                <c:formatCode>0.0</c:formatCode>
                <c:ptCount val="6"/>
                <c:pt idx="0">
                  <c:v>110.82055906221822</c:v>
                </c:pt>
                <c:pt idx="1">
                  <c:v>110.33360455654955</c:v>
                </c:pt>
                <c:pt idx="2">
                  <c:v>59.955752212389413</c:v>
                </c:pt>
                <c:pt idx="3">
                  <c:v>137.02337023370112</c:v>
                </c:pt>
                <c:pt idx="4">
                  <c:v>49.371633752242843</c:v>
                </c:pt>
                <c:pt idx="5">
                  <c:v>49.594229035166805</c:v>
                </c:pt>
              </c:numCache>
            </c:numRef>
          </c:val>
          <c:extLst xmlns:c16r2="http://schemas.microsoft.com/office/drawing/2015/06/chart">
            <c:ext xmlns:c16="http://schemas.microsoft.com/office/drawing/2014/chart" uri="{C3380CC4-5D6E-409C-BE32-E72D297353CC}">
              <c16:uniqueId val="{00000001-69CE-4CAC-9B3F-889793BA956F}"/>
            </c:ext>
          </c:extLst>
        </c:ser>
        <c:ser>
          <c:idx val="2"/>
          <c:order val="2"/>
          <c:tx>
            <c:strRef>
              <c:f>Лист2!$A$89</c:f>
              <c:strCache>
                <c:ptCount val="1"/>
                <c:pt idx="0">
                  <c:v>Задолженность по платежам в государственные внебюджетные фонды из общей суммы кредиторской задолженности, %</c:v>
                </c:pt>
              </c:strCache>
            </c:strRef>
          </c:tx>
          <c:cat>
            <c:numRef>
              <c:f>Лист2!$B$2:$G$2</c:f>
              <c:numCache>
                <c:formatCode>General</c:formatCode>
                <c:ptCount val="6"/>
                <c:pt idx="0">
                  <c:v>2011</c:v>
                </c:pt>
                <c:pt idx="1">
                  <c:v>2012</c:v>
                </c:pt>
                <c:pt idx="2">
                  <c:v>2013</c:v>
                </c:pt>
                <c:pt idx="3">
                  <c:v>2014</c:v>
                </c:pt>
                <c:pt idx="4">
                  <c:v>2015</c:v>
                </c:pt>
                <c:pt idx="5">
                  <c:v>2016</c:v>
                </c:pt>
              </c:numCache>
            </c:numRef>
          </c:cat>
          <c:val>
            <c:numRef>
              <c:f>Лист2!$B$89:$G$89</c:f>
              <c:numCache>
                <c:formatCode>0.0</c:formatCode>
                <c:ptCount val="6"/>
                <c:pt idx="0">
                  <c:v>166.14481409001593</c:v>
                </c:pt>
                <c:pt idx="1">
                  <c:v>108.71613663133112</c:v>
                </c:pt>
                <c:pt idx="2">
                  <c:v>34.99458288190683</c:v>
                </c:pt>
                <c:pt idx="3">
                  <c:v>234.98452012383902</c:v>
                </c:pt>
                <c:pt idx="4">
                  <c:v>24.505928853754927</c:v>
                </c:pt>
                <c:pt idx="5">
                  <c:v>36.399217221135032</c:v>
                </c:pt>
              </c:numCache>
            </c:numRef>
          </c:val>
          <c:extLst xmlns:c16r2="http://schemas.microsoft.com/office/drawing/2015/06/chart">
            <c:ext xmlns:c16="http://schemas.microsoft.com/office/drawing/2014/chart" uri="{C3380CC4-5D6E-409C-BE32-E72D297353CC}">
              <c16:uniqueId val="{00000002-69CE-4CAC-9B3F-889793BA956F}"/>
            </c:ext>
          </c:extLst>
        </c:ser>
        <c:ser>
          <c:idx val="3"/>
          <c:order val="3"/>
          <c:tx>
            <c:strRef>
              <c:f>Лист2!$A$90</c:f>
              <c:strCache>
                <c:ptCount val="1"/>
                <c:pt idx="0">
                  <c:v>Задолженность по полученным займам и кредитам, %</c:v>
                </c:pt>
              </c:strCache>
            </c:strRef>
          </c:tx>
          <c:cat>
            <c:numRef>
              <c:f>Лист2!$B$2:$G$2</c:f>
              <c:numCache>
                <c:formatCode>General</c:formatCode>
                <c:ptCount val="6"/>
                <c:pt idx="0">
                  <c:v>2011</c:v>
                </c:pt>
                <c:pt idx="1">
                  <c:v>2012</c:v>
                </c:pt>
                <c:pt idx="2">
                  <c:v>2013</c:v>
                </c:pt>
                <c:pt idx="3">
                  <c:v>2014</c:v>
                </c:pt>
                <c:pt idx="4">
                  <c:v>2015</c:v>
                </c:pt>
                <c:pt idx="5">
                  <c:v>2016</c:v>
                </c:pt>
              </c:numCache>
            </c:numRef>
          </c:cat>
          <c:val>
            <c:numRef>
              <c:f>Лист2!$B$90:$G$90</c:f>
              <c:numCache>
                <c:formatCode>0.0</c:formatCode>
                <c:ptCount val="6"/>
                <c:pt idx="0" formatCode="0">
                  <c:v>264</c:v>
                </c:pt>
                <c:pt idx="1">
                  <c:v>15.151515151515149</c:v>
                </c:pt>
                <c:pt idx="2" formatCode="General">
                  <c:v>100</c:v>
                </c:pt>
                <c:pt idx="3" formatCode="General">
                  <c:v>100</c:v>
                </c:pt>
                <c:pt idx="4" formatCode="General">
                  <c:v>100</c:v>
                </c:pt>
                <c:pt idx="5" formatCode="0">
                  <c:v>40</c:v>
                </c:pt>
              </c:numCache>
            </c:numRef>
          </c:val>
          <c:extLst xmlns:c16r2="http://schemas.microsoft.com/office/drawing/2015/06/chart">
            <c:ext xmlns:c16="http://schemas.microsoft.com/office/drawing/2014/chart" uri="{C3380CC4-5D6E-409C-BE32-E72D297353CC}">
              <c16:uniqueId val="{00000003-69CE-4CAC-9B3F-889793BA956F}"/>
            </c:ext>
          </c:extLst>
        </c:ser>
        <c:marker val="1"/>
        <c:axId val="182904704"/>
        <c:axId val="182906240"/>
      </c:lineChart>
      <c:catAx>
        <c:axId val="182904704"/>
        <c:scaling>
          <c:orientation val="minMax"/>
        </c:scaling>
        <c:axPos val="b"/>
        <c:numFmt formatCode="General" sourceLinked="1"/>
        <c:tickLblPos val="nextTo"/>
        <c:crossAx val="182906240"/>
        <c:crosses val="autoZero"/>
        <c:auto val="1"/>
        <c:lblAlgn val="ctr"/>
        <c:lblOffset val="100"/>
      </c:catAx>
      <c:valAx>
        <c:axId val="182906240"/>
        <c:scaling>
          <c:orientation val="minMax"/>
        </c:scaling>
        <c:axPos val="l"/>
        <c:majorGridlines/>
        <c:numFmt formatCode="0.0" sourceLinked="1"/>
        <c:tickLblPos val="nextTo"/>
        <c:crossAx val="182904704"/>
        <c:crosses val="autoZero"/>
        <c:crossBetween val="between"/>
      </c:valAx>
    </c:plotArea>
    <c:legend>
      <c:legendPos val="b"/>
      <c:layout>
        <c:manualLayout>
          <c:xMode val="edge"/>
          <c:yMode val="edge"/>
          <c:x val="6.9106166646325934E-3"/>
          <c:y val="0.699874003329923"/>
          <c:w val="0.969075444938715"/>
          <c:h val="0.27291243017148831"/>
        </c:manualLayout>
      </c:layout>
      <c:txPr>
        <a:bodyPr/>
        <a:lstStyle/>
        <a:p>
          <a:pPr>
            <a:defRPr sz="800" baseline="0">
              <a:latin typeface="Times New Roman" pitchFamily="18" charset="0"/>
            </a:defRPr>
          </a:pPr>
          <a:endParaRPr lang="ru-RU"/>
        </a:p>
      </c:txPr>
    </c:legend>
    <c:plotVisOnly val="1"/>
    <c:dispBlanksAs val="gap"/>
  </c:chart>
  <c:spPr>
    <a:ln>
      <a:noFill/>
    </a:ln>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Структура!$A$32</c:f>
              <c:strCache>
                <c:ptCount val="1"/>
                <c:pt idx="0">
                  <c:v>- бюджетные средства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Структура!$B$4:$G$4</c:f>
              <c:numCache>
                <c:formatCode>General</c:formatCode>
                <c:ptCount val="6"/>
                <c:pt idx="0">
                  <c:v>2011</c:v>
                </c:pt>
                <c:pt idx="1">
                  <c:v>2012</c:v>
                </c:pt>
                <c:pt idx="2">
                  <c:v>2013</c:v>
                </c:pt>
                <c:pt idx="3">
                  <c:v>2014</c:v>
                </c:pt>
                <c:pt idx="4">
                  <c:v>2015</c:v>
                </c:pt>
                <c:pt idx="5">
                  <c:v>2016</c:v>
                </c:pt>
              </c:numCache>
            </c:numRef>
          </c:cat>
          <c:val>
            <c:numRef>
              <c:f>Структура!$B$32:$G$32</c:f>
              <c:numCache>
                <c:formatCode>0.0%</c:formatCode>
                <c:ptCount val="6"/>
                <c:pt idx="0">
                  <c:v>3.9074407648607451E-2</c:v>
                </c:pt>
                <c:pt idx="1">
                  <c:v>0.59000991554208471</c:v>
                </c:pt>
                <c:pt idx="2">
                  <c:v>9.0847699624723832E-2</c:v>
                </c:pt>
                <c:pt idx="3">
                  <c:v>0.21617262762076417</c:v>
                </c:pt>
                <c:pt idx="4">
                  <c:v>0.30084173334719388</c:v>
                </c:pt>
                <c:pt idx="5">
                  <c:v>0.36242041624311438</c:v>
                </c:pt>
              </c:numCache>
            </c:numRef>
          </c:val>
          <c:extLst xmlns:c16r2="http://schemas.microsoft.com/office/drawing/2015/06/chart">
            <c:ext xmlns:c16="http://schemas.microsoft.com/office/drawing/2014/chart" uri="{C3380CC4-5D6E-409C-BE32-E72D297353CC}">
              <c16:uniqueId val="{00000000-CF65-4AEA-BF9F-B28AB0577ABB}"/>
            </c:ext>
          </c:extLst>
        </c:ser>
        <c:ser>
          <c:idx val="1"/>
          <c:order val="1"/>
          <c:tx>
            <c:strRef>
              <c:f>Структура!$A$33</c:f>
              <c:strCache>
                <c:ptCount val="1"/>
                <c:pt idx="0">
                  <c:v>- собственные и привлеченные средства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Структура!$B$4:$G$4</c:f>
              <c:numCache>
                <c:formatCode>General</c:formatCode>
                <c:ptCount val="6"/>
                <c:pt idx="0">
                  <c:v>2011</c:v>
                </c:pt>
                <c:pt idx="1">
                  <c:v>2012</c:v>
                </c:pt>
                <c:pt idx="2">
                  <c:v>2013</c:v>
                </c:pt>
                <c:pt idx="3">
                  <c:v>2014</c:v>
                </c:pt>
                <c:pt idx="4">
                  <c:v>2015</c:v>
                </c:pt>
                <c:pt idx="5">
                  <c:v>2016</c:v>
                </c:pt>
              </c:numCache>
            </c:numRef>
          </c:cat>
          <c:val>
            <c:numRef>
              <c:f>Структура!$B$33:$G$33</c:f>
              <c:numCache>
                <c:formatCode>0.0%</c:formatCode>
                <c:ptCount val="6"/>
                <c:pt idx="0">
                  <c:v>0.96092559235140729</c:v>
                </c:pt>
                <c:pt idx="1">
                  <c:v>0.40999008445791518</c:v>
                </c:pt>
                <c:pt idx="2">
                  <c:v>0.90915230037527617</c:v>
                </c:pt>
                <c:pt idx="3">
                  <c:v>0.78382737237923572</c:v>
                </c:pt>
                <c:pt idx="4">
                  <c:v>0.69915826665282099</c:v>
                </c:pt>
                <c:pt idx="5">
                  <c:v>0.63757958375688861</c:v>
                </c:pt>
              </c:numCache>
            </c:numRef>
          </c:val>
          <c:extLst xmlns:c16r2="http://schemas.microsoft.com/office/drawing/2015/06/chart">
            <c:ext xmlns:c16="http://schemas.microsoft.com/office/drawing/2014/chart" uri="{C3380CC4-5D6E-409C-BE32-E72D297353CC}">
              <c16:uniqueId val="{00000001-CF65-4AEA-BF9F-B28AB0577ABB}"/>
            </c:ext>
          </c:extLst>
        </c:ser>
        <c:shape val="box"/>
        <c:axId val="182948608"/>
        <c:axId val="182950144"/>
        <c:axId val="0"/>
      </c:bar3DChart>
      <c:catAx>
        <c:axId val="182948608"/>
        <c:scaling>
          <c:orientation val="minMax"/>
        </c:scaling>
        <c:axPos val="b"/>
        <c:numFmt formatCode="General" sourceLinked="1"/>
        <c:tickLblPos val="nextTo"/>
        <c:crossAx val="182950144"/>
        <c:crosses val="autoZero"/>
        <c:auto val="1"/>
        <c:lblAlgn val="ctr"/>
        <c:lblOffset val="100"/>
      </c:catAx>
      <c:valAx>
        <c:axId val="182950144"/>
        <c:scaling>
          <c:orientation val="minMax"/>
        </c:scaling>
        <c:axPos val="l"/>
        <c:majorGridlines/>
        <c:numFmt formatCode="0.0%" sourceLinked="1"/>
        <c:tickLblPos val="nextTo"/>
        <c:crossAx val="182948608"/>
        <c:crosses val="autoZero"/>
        <c:crossBetween val="between"/>
      </c:valAx>
    </c:plotArea>
    <c:legend>
      <c:legendPos val="b"/>
      <c:txPr>
        <a:bodyPr/>
        <a:lstStyle/>
        <a:p>
          <a:pPr>
            <a:defRPr baseline="0">
              <a:latin typeface="Times New Roman" pitchFamily="18" charset="0"/>
            </a:defRPr>
          </a:pPr>
          <a:endParaRPr lang="ru-RU"/>
        </a:p>
      </c:txPr>
    </c:legend>
    <c:plotVisOnly val="1"/>
    <c:dispBlanksAs val="gap"/>
  </c:chart>
  <c:spPr>
    <a:ln>
      <a:noFill/>
    </a:ln>
  </c:sp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Рисунки!$A$124</c:f>
              <c:strCache>
                <c:ptCount val="1"/>
                <c:pt idx="0">
                  <c:v>Число субъектов малого предпринимательства, единиц</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Рисунки!$B$129:$H$129</c:f>
              <c:strCache>
                <c:ptCount val="7"/>
                <c:pt idx="0">
                  <c:v>01.01.2011 г.</c:v>
                </c:pt>
                <c:pt idx="1">
                  <c:v>01.01.2012 г.</c:v>
                </c:pt>
                <c:pt idx="2">
                  <c:v>01.01.2013 г.</c:v>
                </c:pt>
                <c:pt idx="3">
                  <c:v>01.01.2014 г.</c:v>
                </c:pt>
                <c:pt idx="4">
                  <c:v>01.01.2015 г.</c:v>
                </c:pt>
                <c:pt idx="5">
                  <c:v>01.01.2016 г.</c:v>
                </c:pt>
                <c:pt idx="6">
                  <c:v>01.01.2017 г.</c:v>
                </c:pt>
              </c:strCache>
            </c:strRef>
          </c:cat>
          <c:val>
            <c:numRef>
              <c:f>Рисунки!$B$124:$H$124</c:f>
              <c:numCache>
                <c:formatCode>General</c:formatCode>
                <c:ptCount val="7"/>
                <c:pt idx="0">
                  <c:v>986</c:v>
                </c:pt>
                <c:pt idx="1">
                  <c:v>821</c:v>
                </c:pt>
                <c:pt idx="2">
                  <c:v>708</c:v>
                </c:pt>
                <c:pt idx="3">
                  <c:v>853</c:v>
                </c:pt>
                <c:pt idx="4">
                  <c:v>837</c:v>
                </c:pt>
                <c:pt idx="5">
                  <c:v>835</c:v>
                </c:pt>
                <c:pt idx="6">
                  <c:v>865</c:v>
                </c:pt>
              </c:numCache>
            </c:numRef>
          </c:val>
          <c:extLst xmlns:c16r2="http://schemas.microsoft.com/office/drawing/2015/06/chart">
            <c:ext xmlns:c16="http://schemas.microsoft.com/office/drawing/2014/chart" uri="{C3380CC4-5D6E-409C-BE32-E72D297353CC}">
              <c16:uniqueId val="{00000000-21D7-4995-AA26-14B9D01790AB}"/>
            </c:ext>
          </c:extLst>
        </c:ser>
        <c:ser>
          <c:idx val="1"/>
          <c:order val="1"/>
          <c:tx>
            <c:strRef>
              <c:f>Рисунки!$A$125</c:f>
              <c:strCache>
                <c:ptCount val="1"/>
                <c:pt idx="0">
                  <c:v>Число малых  предприятий (включая микропредприятия), единиц</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Рисунки!$B$129:$H$129</c:f>
              <c:strCache>
                <c:ptCount val="7"/>
                <c:pt idx="0">
                  <c:v>01.01.2011 г.</c:v>
                </c:pt>
                <c:pt idx="1">
                  <c:v>01.01.2012 г.</c:v>
                </c:pt>
                <c:pt idx="2">
                  <c:v>01.01.2013 г.</c:v>
                </c:pt>
                <c:pt idx="3">
                  <c:v>01.01.2014 г.</c:v>
                </c:pt>
                <c:pt idx="4">
                  <c:v>01.01.2015 г.</c:v>
                </c:pt>
                <c:pt idx="5">
                  <c:v>01.01.2016 г.</c:v>
                </c:pt>
                <c:pt idx="6">
                  <c:v>01.01.2017 г.</c:v>
                </c:pt>
              </c:strCache>
            </c:strRef>
          </c:cat>
          <c:val>
            <c:numRef>
              <c:f>Рисунки!$B$125:$H$125</c:f>
              <c:numCache>
                <c:formatCode>General</c:formatCode>
                <c:ptCount val="7"/>
                <c:pt idx="0">
                  <c:v>251</c:v>
                </c:pt>
                <c:pt idx="1">
                  <c:v>252</c:v>
                </c:pt>
                <c:pt idx="2">
                  <c:v>250</c:v>
                </c:pt>
                <c:pt idx="3">
                  <c:v>253</c:v>
                </c:pt>
                <c:pt idx="4">
                  <c:v>247</c:v>
                </c:pt>
                <c:pt idx="5">
                  <c:v>247</c:v>
                </c:pt>
                <c:pt idx="6">
                  <c:v>284</c:v>
                </c:pt>
              </c:numCache>
            </c:numRef>
          </c:val>
          <c:extLst xmlns:c16r2="http://schemas.microsoft.com/office/drawing/2015/06/chart">
            <c:ext xmlns:c16="http://schemas.microsoft.com/office/drawing/2014/chart" uri="{C3380CC4-5D6E-409C-BE32-E72D297353CC}">
              <c16:uniqueId val="{00000001-21D7-4995-AA26-14B9D01790AB}"/>
            </c:ext>
          </c:extLst>
        </c:ser>
        <c:ser>
          <c:idx val="2"/>
          <c:order val="2"/>
          <c:tx>
            <c:strRef>
              <c:f>Рисунки!$A$126</c:f>
              <c:strCache>
                <c:ptCount val="1"/>
                <c:pt idx="0">
                  <c:v>Число ИП и КФХ зарегистрированных в статрегистре, единиц</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Рисунки!$B$129:$H$129</c:f>
              <c:strCache>
                <c:ptCount val="7"/>
                <c:pt idx="0">
                  <c:v>01.01.2011 г.</c:v>
                </c:pt>
                <c:pt idx="1">
                  <c:v>01.01.2012 г.</c:v>
                </c:pt>
                <c:pt idx="2">
                  <c:v>01.01.2013 г.</c:v>
                </c:pt>
                <c:pt idx="3">
                  <c:v>01.01.2014 г.</c:v>
                </c:pt>
                <c:pt idx="4">
                  <c:v>01.01.2015 г.</c:v>
                </c:pt>
                <c:pt idx="5">
                  <c:v>01.01.2016 г.</c:v>
                </c:pt>
                <c:pt idx="6">
                  <c:v>01.01.2017 г.</c:v>
                </c:pt>
              </c:strCache>
            </c:strRef>
          </c:cat>
          <c:val>
            <c:numRef>
              <c:f>Рисунки!$B$126:$H$126</c:f>
              <c:numCache>
                <c:formatCode>General</c:formatCode>
                <c:ptCount val="7"/>
                <c:pt idx="0">
                  <c:v>581</c:v>
                </c:pt>
                <c:pt idx="1">
                  <c:v>584</c:v>
                </c:pt>
                <c:pt idx="2">
                  <c:v>585</c:v>
                </c:pt>
                <c:pt idx="3">
                  <c:v>600</c:v>
                </c:pt>
                <c:pt idx="4">
                  <c:v>590</c:v>
                </c:pt>
                <c:pt idx="5">
                  <c:v>593</c:v>
                </c:pt>
                <c:pt idx="6">
                  <c:v>631</c:v>
                </c:pt>
              </c:numCache>
            </c:numRef>
          </c:val>
          <c:extLst xmlns:c16r2="http://schemas.microsoft.com/office/drawing/2015/06/chart">
            <c:ext xmlns:c16="http://schemas.microsoft.com/office/drawing/2014/chart" uri="{C3380CC4-5D6E-409C-BE32-E72D297353CC}">
              <c16:uniqueId val="{00000002-21D7-4995-AA26-14B9D01790AB}"/>
            </c:ext>
          </c:extLst>
        </c:ser>
        <c:shape val="box"/>
        <c:axId val="182981760"/>
        <c:axId val="182983296"/>
        <c:axId val="0"/>
      </c:bar3DChart>
      <c:catAx>
        <c:axId val="182981760"/>
        <c:scaling>
          <c:orientation val="minMax"/>
        </c:scaling>
        <c:axPos val="b"/>
        <c:numFmt formatCode="General" sourceLinked="0"/>
        <c:tickLblPos val="nextTo"/>
        <c:txPr>
          <a:bodyPr rot="-5400000" vert="horz"/>
          <a:lstStyle/>
          <a:p>
            <a:pPr>
              <a:defRPr/>
            </a:pPr>
            <a:endParaRPr lang="ru-RU"/>
          </a:p>
        </c:txPr>
        <c:crossAx val="182983296"/>
        <c:crosses val="autoZero"/>
        <c:auto val="1"/>
        <c:lblAlgn val="ctr"/>
        <c:lblOffset val="100"/>
      </c:catAx>
      <c:valAx>
        <c:axId val="182983296"/>
        <c:scaling>
          <c:orientation val="minMax"/>
        </c:scaling>
        <c:axPos val="l"/>
        <c:majorGridlines/>
        <c:numFmt formatCode="General" sourceLinked="1"/>
        <c:tickLblPos val="nextTo"/>
        <c:crossAx val="182981760"/>
        <c:crosses val="autoZero"/>
        <c:crossBetween val="between"/>
      </c:valAx>
    </c:plotArea>
    <c:legend>
      <c:legendPos val="b"/>
    </c:legend>
    <c:plotVisOnly val="1"/>
    <c:dispBlanksAs val="gap"/>
  </c:chart>
  <c:spPr>
    <a:ln>
      <a:noFill/>
    </a:ln>
  </c:sp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Рисунки!$B$101:$H$101</c:f>
              <c:strCache>
                <c:ptCount val="7"/>
                <c:pt idx="0">
                  <c:v>01.01.2011 г.</c:v>
                </c:pt>
                <c:pt idx="1">
                  <c:v>01.01.2012 г.</c:v>
                </c:pt>
                <c:pt idx="2">
                  <c:v>01.01.2013 г.</c:v>
                </c:pt>
                <c:pt idx="3">
                  <c:v>01.01.2014 г.</c:v>
                </c:pt>
                <c:pt idx="4">
                  <c:v>01.01.2015 г.</c:v>
                </c:pt>
                <c:pt idx="5">
                  <c:v>01.01.2016 г.</c:v>
                </c:pt>
                <c:pt idx="6">
                  <c:v>01.01.2017 г.</c:v>
                </c:pt>
              </c:strCache>
            </c:strRef>
          </c:cat>
          <c:val>
            <c:numRef>
              <c:f>Рисунки!$B$102:$H$102</c:f>
              <c:numCache>
                <c:formatCode>General</c:formatCode>
                <c:ptCount val="7"/>
                <c:pt idx="0">
                  <c:v>18687</c:v>
                </c:pt>
                <c:pt idx="1">
                  <c:v>14672</c:v>
                </c:pt>
                <c:pt idx="2">
                  <c:v>13446</c:v>
                </c:pt>
                <c:pt idx="3">
                  <c:v>14177</c:v>
                </c:pt>
                <c:pt idx="4">
                  <c:v>13534</c:v>
                </c:pt>
                <c:pt idx="5">
                  <c:v>13920</c:v>
                </c:pt>
                <c:pt idx="6">
                  <c:v>13937</c:v>
                </c:pt>
              </c:numCache>
            </c:numRef>
          </c:val>
          <c:extLst xmlns:c16r2="http://schemas.microsoft.com/office/drawing/2015/06/chart">
            <c:ext xmlns:c16="http://schemas.microsoft.com/office/drawing/2014/chart" uri="{C3380CC4-5D6E-409C-BE32-E72D297353CC}">
              <c16:uniqueId val="{00000000-CC1B-4190-9560-E31FF2B1E18C}"/>
            </c:ext>
          </c:extLst>
        </c:ser>
        <c:shape val="box"/>
        <c:axId val="183024256"/>
        <c:axId val="183038336"/>
        <c:axId val="0"/>
      </c:bar3DChart>
      <c:catAx>
        <c:axId val="183024256"/>
        <c:scaling>
          <c:orientation val="minMax"/>
        </c:scaling>
        <c:axPos val="b"/>
        <c:numFmt formatCode="General" sourceLinked="0"/>
        <c:tickLblPos val="nextTo"/>
        <c:txPr>
          <a:bodyPr/>
          <a:lstStyle/>
          <a:p>
            <a:pPr>
              <a:defRPr sz="900"/>
            </a:pPr>
            <a:endParaRPr lang="ru-RU"/>
          </a:p>
        </c:txPr>
        <c:crossAx val="183038336"/>
        <c:crosses val="autoZero"/>
        <c:auto val="1"/>
        <c:lblAlgn val="ctr"/>
        <c:lblOffset val="100"/>
      </c:catAx>
      <c:valAx>
        <c:axId val="183038336"/>
        <c:scaling>
          <c:orientation val="minMax"/>
        </c:scaling>
        <c:axPos val="l"/>
        <c:majorGridlines/>
        <c:numFmt formatCode="General" sourceLinked="1"/>
        <c:tickLblPos val="nextTo"/>
        <c:crossAx val="183024256"/>
        <c:crosses val="autoZero"/>
        <c:crossBetween val="between"/>
      </c:valAx>
    </c:plotArea>
    <c:plotVisOnly val="1"/>
    <c:dispBlanksAs val="gap"/>
  </c:chart>
  <c:spPr>
    <a:noFill/>
    <a:ln>
      <a:noFill/>
    </a:ln>
  </c:sp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'с-х'!$B$13</c:f>
              <c:strCache>
                <c:ptCount val="1"/>
                <c:pt idx="0">
                  <c:v>Урожайность посевных площадей под картофель, ц/га</c:v>
                </c:pt>
              </c:strCache>
            </c:strRef>
          </c:tx>
          <c:dLbls>
            <c:dLbl>
              <c:idx val="0"/>
              <c:layout>
                <c:manualLayout>
                  <c:x val="-3.5805626598465499E-2"/>
                  <c:y val="-4.432132963988919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F15-497B-947E-6AA449E743BF}"/>
                </c:ext>
              </c:extLst>
            </c:dLbl>
            <c:dLbl>
              <c:idx val="1"/>
              <c:layout>
                <c:manualLayout>
                  <c:x val="-1.7050298380221938E-3"/>
                  <c:y val="-3.32409972299170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F15-497B-947E-6AA449E743BF}"/>
                </c:ext>
              </c:extLst>
            </c:dLbl>
            <c:dLbl>
              <c:idx val="2"/>
              <c:layout>
                <c:manualLayout>
                  <c:x val="0"/>
                  <c:y val="-3.32409972299170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F15-497B-947E-6AA449E743BF}"/>
                </c:ext>
              </c:extLst>
            </c:dLbl>
            <c:dLbl>
              <c:idx val="3"/>
              <c:layout>
                <c:manualLayout>
                  <c:x val="-5.1150895140664966E-3"/>
                  <c:y val="-4.432132963988919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F15-497B-947E-6AA449E743BF}"/>
                </c:ext>
              </c:extLst>
            </c:dLbl>
            <c:dLbl>
              <c:idx val="4"/>
              <c:layout>
                <c:manualLayout>
                  <c:x val="-3.0690537084399661E-2"/>
                  <c:y val="-4.80147737765467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F15-497B-947E-6AA449E743BF}"/>
                </c:ext>
              </c:extLst>
            </c:dLbl>
            <c:dLbl>
              <c:idx val="6"/>
              <c:layout>
                <c:manualLayout>
                  <c:x val="-1.2503407705063661E-16"/>
                  <c:y val="-3.076921834475341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F15-497B-947E-6AA449E743BF}"/>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'с-х'!$C$12:$I$12</c:f>
              <c:strCache>
                <c:ptCount val="7"/>
                <c:pt idx="0">
                  <c:v>01.01.2011 г.</c:v>
                </c:pt>
                <c:pt idx="1">
                  <c:v>01.01.2012 г.</c:v>
                </c:pt>
                <c:pt idx="2">
                  <c:v>01.01.2013 г.</c:v>
                </c:pt>
                <c:pt idx="3">
                  <c:v>01.01.2014 г.</c:v>
                </c:pt>
                <c:pt idx="4">
                  <c:v>01.01.2015 г.</c:v>
                </c:pt>
                <c:pt idx="5">
                  <c:v>01.01.2016 г.</c:v>
                </c:pt>
                <c:pt idx="6">
                  <c:v>01.01.2017 г.</c:v>
                </c:pt>
              </c:strCache>
            </c:strRef>
          </c:cat>
          <c:val>
            <c:numRef>
              <c:f>'с-х'!$C$13:$I$13</c:f>
              <c:numCache>
                <c:formatCode>0.0</c:formatCode>
                <c:ptCount val="7"/>
                <c:pt idx="0">
                  <c:v>112.4</c:v>
                </c:pt>
                <c:pt idx="1">
                  <c:v>230</c:v>
                </c:pt>
                <c:pt idx="2">
                  <c:v>125</c:v>
                </c:pt>
                <c:pt idx="3">
                  <c:v>223</c:v>
                </c:pt>
                <c:pt idx="4">
                  <c:v>247</c:v>
                </c:pt>
                <c:pt idx="5">
                  <c:v>243</c:v>
                </c:pt>
                <c:pt idx="6">
                  <c:v>98</c:v>
                </c:pt>
              </c:numCache>
            </c:numRef>
          </c:val>
          <c:extLst xmlns:c16r2="http://schemas.microsoft.com/office/drawing/2015/06/chart">
            <c:ext xmlns:c16="http://schemas.microsoft.com/office/drawing/2014/chart" uri="{C3380CC4-5D6E-409C-BE32-E72D297353CC}">
              <c16:uniqueId val="{00000006-2F15-497B-947E-6AA449E743BF}"/>
            </c:ext>
          </c:extLst>
        </c:ser>
        <c:ser>
          <c:idx val="1"/>
          <c:order val="1"/>
          <c:tx>
            <c:strRef>
              <c:f>'с-х'!$B$14</c:f>
              <c:strCache>
                <c:ptCount val="1"/>
                <c:pt idx="0">
                  <c:v>Урожайность посевных площадей под зерновые и бобовые, ц/га</c:v>
                </c:pt>
              </c:strCache>
            </c:strRef>
          </c:tx>
          <c:dLbls>
            <c:dLbl>
              <c:idx val="0"/>
              <c:layout>
                <c:manualLayout>
                  <c:x val="-5.1150895140664966E-3"/>
                  <c:y val="2.9547553093259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F15-497B-947E-6AA449E743BF}"/>
                </c:ext>
              </c:extLst>
            </c:dLbl>
            <c:dLbl>
              <c:idx val="1"/>
              <c:layout>
                <c:manualLayout>
                  <c:x val="-3.1258519262660429E-17"/>
                  <c:y val="4.432132963988919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F15-497B-947E-6AA449E743BF}"/>
                </c:ext>
              </c:extLst>
            </c:dLbl>
            <c:dLbl>
              <c:idx val="2"/>
              <c:layout>
                <c:manualLayout>
                  <c:x val="0"/>
                  <c:y val="3.32409972299170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F15-497B-947E-6AA449E743BF}"/>
                </c:ext>
              </c:extLst>
            </c:dLbl>
            <c:dLbl>
              <c:idx val="3"/>
              <c:layout>
                <c:manualLayout>
                  <c:x val="0"/>
                  <c:y val="1.846722068328758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F15-497B-947E-6AA449E743BF}"/>
                </c:ext>
              </c:extLst>
            </c:dLbl>
            <c:dLbl>
              <c:idx val="4"/>
              <c:layout>
                <c:manualLayout>
                  <c:x val="0"/>
                  <c:y val="1.47737765466297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F15-497B-947E-6AA449E743BF}"/>
                </c:ext>
              </c:extLst>
            </c:dLbl>
            <c:dLbl>
              <c:idx val="5"/>
              <c:layout>
                <c:manualLayout>
                  <c:x val="-1.7050298380221654E-3"/>
                  <c:y val="2.9547553093259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F15-497B-947E-6AA449E743BF}"/>
                </c:ext>
              </c:extLst>
            </c:dLbl>
            <c:dLbl>
              <c:idx val="6"/>
              <c:layout>
                <c:manualLayout>
                  <c:x val="-1.0230313282450948E-2"/>
                  <c:y val="2.9547553093259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F15-497B-947E-6AA449E743BF}"/>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'с-х'!$C$12:$I$12</c:f>
              <c:strCache>
                <c:ptCount val="7"/>
                <c:pt idx="0">
                  <c:v>01.01.2011 г.</c:v>
                </c:pt>
                <c:pt idx="1">
                  <c:v>01.01.2012 г.</c:v>
                </c:pt>
                <c:pt idx="2">
                  <c:v>01.01.2013 г.</c:v>
                </c:pt>
                <c:pt idx="3">
                  <c:v>01.01.2014 г.</c:v>
                </c:pt>
                <c:pt idx="4">
                  <c:v>01.01.2015 г.</c:v>
                </c:pt>
                <c:pt idx="5">
                  <c:v>01.01.2016 г.</c:v>
                </c:pt>
                <c:pt idx="6">
                  <c:v>01.01.2017 г.</c:v>
                </c:pt>
              </c:strCache>
            </c:strRef>
          </c:cat>
          <c:val>
            <c:numRef>
              <c:f>'с-х'!$C$14:$I$14</c:f>
              <c:numCache>
                <c:formatCode>0.0</c:formatCode>
                <c:ptCount val="7"/>
                <c:pt idx="0">
                  <c:v>5.1678420310296165</c:v>
                </c:pt>
                <c:pt idx="1">
                  <c:v>12.526142251530853</c:v>
                </c:pt>
                <c:pt idx="2">
                  <c:v>8.5</c:v>
                </c:pt>
                <c:pt idx="3">
                  <c:v>6.4</c:v>
                </c:pt>
                <c:pt idx="4">
                  <c:v>16.100000000000001</c:v>
                </c:pt>
                <c:pt idx="5">
                  <c:v>14.6</c:v>
                </c:pt>
                <c:pt idx="6">
                  <c:v>8.5</c:v>
                </c:pt>
              </c:numCache>
            </c:numRef>
          </c:val>
          <c:extLst xmlns:c16r2="http://schemas.microsoft.com/office/drawing/2015/06/chart">
            <c:ext xmlns:c16="http://schemas.microsoft.com/office/drawing/2014/chart" uri="{C3380CC4-5D6E-409C-BE32-E72D297353CC}">
              <c16:uniqueId val="{0000000E-2F15-497B-947E-6AA449E743BF}"/>
            </c:ext>
          </c:extLst>
        </c:ser>
        <c:ser>
          <c:idx val="2"/>
          <c:order val="2"/>
          <c:tx>
            <c:strRef>
              <c:f>'с-х'!$B$15</c:f>
              <c:strCache>
                <c:ptCount val="1"/>
                <c:pt idx="0">
                  <c:v>Урожайность посевных площадей под овощи, ц/га</c:v>
                </c:pt>
              </c:strCache>
            </c:strRef>
          </c:tx>
          <c:dLbls>
            <c:dLbl>
              <c:idx val="5"/>
              <c:layout>
                <c:manualLayout>
                  <c:x val="-3.4100596760443312E-3"/>
                  <c:y val="-2.21606648199445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F15-497B-947E-6AA449E743BF}"/>
                </c:ext>
              </c:extLst>
            </c:dLbl>
            <c:dLbl>
              <c:idx val="6"/>
              <c:layout>
                <c:manualLayout>
                  <c:x val="-1.342543179545049E-7"/>
                  <c:y val="3.076921834475341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2F15-497B-947E-6AA449E743BF}"/>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'с-х'!$C$12:$I$12</c:f>
              <c:strCache>
                <c:ptCount val="7"/>
                <c:pt idx="0">
                  <c:v>01.01.2011 г.</c:v>
                </c:pt>
                <c:pt idx="1">
                  <c:v>01.01.2012 г.</c:v>
                </c:pt>
                <c:pt idx="2">
                  <c:v>01.01.2013 г.</c:v>
                </c:pt>
                <c:pt idx="3">
                  <c:v>01.01.2014 г.</c:v>
                </c:pt>
                <c:pt idx="4">
                  <c:v>01.01.2015 г.</c:v>
                </c:pt>
                <c:pt idx="5">
                  <c:v>01.01.2016 г.</c:v>
                </c:pt>
                <c:pt idx="6">
                  <c:v>01.01.2017 г.</c:v>
                </c:pt>
              </c:strCache>
            </c:strRef>
          </c:cat>
          <c:val>
            <c:numRef>
              <c:f>'с-х'!$C$15:$I$15</c:f>
              <c:numCache>
                <c:formatCode>0.0</c:formatCode>
                <c:ptCount val="7"/>
                <c:pt idx="0">
                  <c:v>150.19999999999999</c:v>
                </c:pt>
                <c:pt idx="1">
                  <c:v>124</c:v>
                </c:pt>
                <c:pt idx="2">
                  <c:v>43</c:v>
                </c:pt>
                <c:pt idx="3">
                  <c:v>125.6</c:v>
                </c:pt>
                <c:pt idx="4">
                  <c:v>139</c:v>
                </c:pt>
                <c:pt idx="5">
                  <c:v>138.5</c:v>
                </c:pt>
                <c:pt idx="6">
                  <c:v>84</c:v>
                </c:pt>
              </c:numCache>
            </c:numRef>
          </c:val>
          <c:extLst xmlns:c16r2="http://schemas.microsoft.com/office/drawing/2015/06/chart">
            <c:ext xmlns:c16="http://schemas.microsoft.com/office/drawing/2014/chart" uri="{C3380CC4-5D6E-409C-BE32-E72D297353CC}">
              <c16:uniqueId val="{00000011-2F15-497B-947E-6AA449E743BF}"/>
            </c:ext>
          </c:extLst>
        </c:ser>
        <c:marker val="1"/>
        <c:axId val="183097216"/>
        <c:axId val="183098752"/>
      </c:lineChart>
      <c:catAx>
        <c:axId val="183097216"/>
        <c:scaling>
          <c:orientation val="minMax"/>
        </c:scaling>
        <c:axPos val="b"/>
        <c:numFmt formatCode="General" sourceLinked="1"/>
        <c:tickLblPos val="nextTo"/>
        <c:txPr>
          <a:bodyPr/>
          <a:lstStyle/>
          <a:p>
            <a:pPr>
              <a:defRPr baseline="0">
                <a:latin typeface="Times New Roman" pitchFamily="18" charset="0"/>
              </a:defRPr>
            </a:pPr>
            <a:endParaRPr lang="ru-RU"/>
          </a:p>
        </c:txPr>
        <c:crossAx val="183098752"/>
        <c:crosses val="autoZero"/>
        <c:auto val="1"/>
        <c:lblAlgn val="ctr"/>
        <c:lblOffset val="100"/>
      </c:catAx>
      <c:valAx>
        <c:axId val="183098752"/>
        <c:scaling>
          <c:orientation val="minMax"/>
        </c:scaling>
        <c:axPos val="l"/>
        <c:majorGridlines/>
        <c:numFmt formatCode="0.0" sourceLinked="1"/>
        <c:tickLblPos val="nextTo"/>
        <c:crossAx val="183097216"/>
        <c:crosses val="autoZero"/>
        <c:crossBetween val="between"/>
      </c:valAx>
    </c:plotArea>
    <c:legend>
      <c:legendPos val="b"/>
    </c:legend>
    <c:plotVisOnly val="1"/>
    <c:dispBlanksAs val="gap"/>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'с-х'!$B$37</c:f>
              <c:strCache>
                <c:ptCount val="1"/>
                <c:pt idx="0">
                  <c:v>Производство скота и птицы на убой (в живом весе) в хозяйствах всех категорий, тн</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'с-х'!$C$36:$I$36</c:f>
              <c:strCache>
                <c:ptCount val="7"/>
                <c:pt idx="0">
                  <c:v>01.01.2011 г.</c:v>
                </c:pt>
                <c:pt idx="1">
                  <c:v>01.01.2012 г.</c:v>
                </c:pt>
                <c:pt idx="2">
                  <c:v>01.01.2013 г.</c:v>
                </c:pt>
                <c:pt idx="3">
                  <c:v>01.01.2014 г.</c:v>
                </c:pt>
                <c:pt idx="4">
                  <c:v>01.01.2015 г.</c:v>
                </c:pt>
                <c:pt idx="5">
                  <c:v>01.01.2016 г.</c:v>
                </c:pt>
                <c:pt idx="6">
                  <c:v>01.01.2017 г.</c:v>
                </c:pt>
              </c:strCache>
            </c:strRef>
          </c:cat>
          <c:val>
            <c:numRef>
              <c:f>'с-х'!$C$37:$I$37</c:f>
              <c:numCache>
                <c:formatCode>General</c:formatCode>
                <c:ptCount val="7"/>
                <c:pt idx="0">
                  <c:v>1757</c:v>
                </c:pt>
                <c:pt idx="1">
                  <c:v>1677</c:v>
                </c:pt>
                <c:pt idx="2">
                  <c:v>1580</c:v>
                </c:pt>
                <c:pt idx="3">
                  <c:v>1617</c:v>
                </c:pt>
                <c:pt idx="4">
                  <c:v>1821</c:v>
                </c:pt>
                <c:pt idx="5">
                  <c:v>1591</c:v>
                </c:pt>
                <c:pt idx="6">
                  <c:v>1480</c:v>
                </c:pt>
              </c:numCache>
            </c:numRef>
          </c:val>
          <c:extLst xmlns:c16r2="http://schemas.microsoft.com/office/drawing/2015/06/chart">
            <c:ext xmlns:c16="http://schemas.microsoft.com/office/drawing/2014/chart" uri="{C3380CC4-5D6E-409C-BE32-E72D297353CC}">
              <c16:uniqueId val="{00000000-BBA5-4E03-A036-3342474DB2C1}"/>
            </c:ext>
          </c:extLst>
        </c:ser>
        <c:ser>
          <c:idx val="1"/>
          <c:order val="1"/>
          <c:tx>
            <c:strRef>
              <c:f>'с-х'!$B$38</c:f>
              <c:strCache>
                <c:ptCount val="1"/>
                <c:pt idx="0">
                  <c:v>Производство молока в хозяйствах всех категорий,  тн</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'с-х'!$C$36:$I$36</c:f>
              <c:strCache>
                <c:ptCount val="7"/>
                <c:pt idx="0">
                  <c:v>01.01.2011 г.</c:v>
                </c:pt>
                <c:pt idx="1">
                  <c:v>01.01.2012 г.</c:v>
                </c:pt>
                <c:pt idx="2">
                  <c:v>01.01.2013 г.</c:v>
                </c:pt>
                <c:pt idx="3">
                  <c:v>01.01.2014 г.</c:v>
                </c:pt>
                <c:pt idx="4">
                  <c:v>01.01.2015 г.</c:v>
                </c:pt>
                <c:pt idx="5">
                  <c:v>01.01.2016 г.</c:v>
                </c:pt>
                <c:pt idx="6">
                  <c:v>01.01.2017 г.</c:v>
                </c:pt>
              </c:strCache>
            </c:strRef>
          </c:cat>
          <c:val>
            <c:numRef>
              <c:f>'с-х'!$C$38:$I$38</c:f>
              <c:numCache>
                <c:formatCode>General</c:formatCode>
                <c:ptCount val="7"/>
                <c:pt idx="0">
                  <c:v>6125</c:v>
                </c:pt>
                <c:pt idx="1">
                  <c:v>5583</c:v>
                </c:pt>
                <c:pt idx="2">
                  <c:v>5058</c:v>
                </c:pt>
                <c:pt idx="3">
                  <c:v>5169</c:v>
                </c:pt>
                <c:pt idx="4">
                  <c:v>4489</c:v>
                </c:pt>
                <c:pt idx="5">
                  <c:v>4755</c:v>
                </c:pt>
                <c:pt idx="6">
                  <c:v>4764</c:v>
                </c:pt>
              </c:numCache>
            </c:numRef>
          </c:val>
          <c:extLst xmlns:c16r2="http://schemas.microsoft.com/office/drawing/2015/06/chart">
            <c:ext xmlns:c16="http://schemas.microsoft.com/office/drawing/2014/chart" uri="{C3380CC4-5D6E-409C-BE32-E72D297353CC}">
              <c16:uniqueId val="{00000001-BBA5-4E03-A036-3342474DB2C1}"/>
            </c:ext>
          </c:extLst>
        </c:ser>
        <c:ser>
          <c:idx val="2"/>
          <c:order val="2"/>
          <c:tx>
            <c:strRef>
              <c:f>'с-х'!$B$39</c:f>
              <c:strCache>
                <c:ptCount val="1"/>
                <c:pt idx="0">
                  <c:v>Производство яиц в хозяйствах всех категорий, тыс. шт.</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'с-х'!$C$36:$I$36</c:f>
              <c:strCache>
                <c:ptCount val="7"/>
                <c:pt idx="0">
                  <c:v>01.01.2011 г.</c:v>
                </c:pt>
                <c:pt idx="1">
                  <c:v>01.01.2012 г.</c:v>
                </c:pt>
                <c:pt idx="2">
                  <c:v>01.01.2013 г.</c:v>
                </c:pt>
                <c:pt idx="3">
                  <c:v>01.01.2014 г.</c:v>
                </c:pt>
                <c:pt idx="4">
                  <c:v>01.01.2015 г.</c:v>
                </c:pt>
                <c:pt idx="5">
                  <c:v>01.01.2016 г.</c:v>
                </c:pt>
                <c:pt idx="6">
                  <c:v>01.01.2017 г.</c:v>
                </c:pt>
              </c:strCache>
            </c:strRef>
          </c:cat>
          <c:val>
            <c:numRef>
              <c:f>'с-х'!$C$39:$I$39</c:f>
              <c:numCache>
                <c:formatCode>General</c:formatCode>
                <c:ptCount val="7"/>
                <c:pt idx="0">
                  <c:v>743</c:v>
                </c:pt>
                <c:pt idx="1">
                  <c:v>791</c:v>
                </c:pt>
                <c:pt idx="2">
                  <c:v>758</c:v>
                </c:pt>
                <c:pt idx="3">
                  <c:v>719</c:v>
                </c:pt>
                <c:pt idx="4">
                  <c:v>1627</c:v>
                </c:pt>
                <c:pt idx="5">
                  <c:v>2251</c:v>
                </c:pt>
                <c:pt idx="6">
                  <c:v>2348</c:v>
                </c:pt>
              </c:numCache>
            </c:numRef>
          </c:val>
          <c:extLst xmlns:c16r2="http://schemas.microsoft.com/office/drawing/2015/06/chart">
            <c:ext xmlns:c16="http://schemas.microsoft.com/office/drawing/2014/chart" uri="{C3380CC4-5D6E-409C-BE32-E72D297353CC}">
              <c16:uniqueId val="{00000002-BBA5-4E03-A036-3342474DB2C1}"/>
            </c:ext>
          </c:extLst>
        </c:ser>
        <c:ser>
          <c:idx val="3"/>
          <c:order val="3"/>
          <c:tx>
            <c:strRef>
              <c:f>'с-х'!$B$40</c:f>
              <c:strCache>
                <c:ptCount val="1"/>
                <c:pt idx="0">
                  <c:v>Поголовье КРС в  хозяйствах всех категорий, голов</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'с-х'!$C$36:$I$36</c:f>
              <c:strCache>
                <c:ptCount val="7"/>
                <c:pt idx="0">
                  <c:v>01.01.2011 г.</c:v>
                </c:pt>
                <c:pt idx="1">
                  <c:v>01.01.2012 г.</c:v>
                </c:pt>
                <c:pt idx="2">
                  <c:v>01.01.2013 г.</c:v>
                </c:pt>
                <c:pt idx="3">
                  <c:v>01.01.2014 г.</c:v>
                </c:pt>
                <c:pt idx="4">
                  <c:v>01.01.2015 г.</c:v>
                </c:pt>
                <c:pt idx="5">
                  <c:v>01.01.2016 г.</c:v>
                </c:pt>
                <c:pt idx="6">
                  <c:v>01.01.2017 г.</c:v>
                </c:pt>
              </c:strCache>
            </c:strRef>
          </c:cat>
          <c:val>
            <c:numRef>
              <c:f>'с-х'!$C$40:$I$40</c:f>
              <c:numCache>
                <c:formatCode>General</c:formatCode>
                <c:ptCount val="7"/>
                <c:pt idx="0">
                  <c:v>6229</c:v>
                </c:pt>
                <c:pt idx="1">
                  <c:v>6085</c:v>
                </c:pt>
                <c:pt idx="2">
                  <c:v>6361</c:v>
                </c:pt>
                <c:pt idx="3">
                  <c:v>6121</c:v>
                </c:pt>
                <c:pt idx="4">
                  <c:v>6173</c:v>
                </c:pt>
                <c:pt idx="5">
                  <c:v>6468</c:v>
                </c:pt>
                <c:pt idx="6">
                  <c:v>6483</c:v>
                </c:pt>
              </c:numCache>
            </c:numRef>
          </c:val>
          <c:extLst xmlns:c16r2="http://schemas.microsoft.com/office/drawing/2015/06/chart">
            <c:ext xmlns:c16="http://schemas.microsoft.com/office/drawing/2014/chart" uri="{C3380CC4-5D6E-409C-BE32-E72D297353CC}">
              <c16:uniqueId val="{00000003-BBA5-4E03-A036-3342474DB2C1}"/>
            </c:ext>
          </c:extLst>
        </c:ser>
        <c:ser>
          <c:idx val="4"/>
          <c:order val="4"/>
          <c:tx>
            <c:strRef>
              <c:f>'с-х'!$B$44</c:f>
              <c:strCache>
                <c:ptCount val="1"/>
                <c:pt idx="0">
                  <c:v>Надои молока от одной коровы в с/х предприятиях, кг</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'с-х'!$C$36:$I$36</c:f>
              <c:strCache>
                <c:ptCount val="7"/>
                <c:pt idx="0">
                  <c:v>01.01.2011 г.</c:v>
                </c:pt>
                <c:pt idx="1">
                  <c:v>01.01.2012 г.</c:v>
                </c:pt>
                <c:pt idx="2">
                  <c:v>01.01.2013 г.</c:v>
                </c:pt>
                <c:pt idx="3">
                  <c:v>01.01.2014 г.</c:v>
                </c:pt>
                <c:pt idx="4">
                  <c:v>01.01.2015 г.</c:v>
                </c:pt>
                <c:pt idx="5">
                  <c:v>01.01.2016 г.</c:v>
                </c:pt>
                <c:pt idx="6">
                  <c:v>01.01.2017 г.</c:v>
                </c:pt>
              </c:strCache>
            </c:strRef>
          </c:cat>
          <c:val>
            <c:numRef>
              <c:f>'с-х'!$C$44:$I$44</c:f>
              <c:numCache>
                <c:formatCode>General</c:formatCode>
                <c:ptCount val="7"/>
                <c:pt idx="0">
                  <c:v>3718</c:v>
                </c:pt>
                <c:pt idx="1">
                  <c:v>3824</c:v>
                </c:pt>
                <c:pt idx="2">
                  <c:v>3648</c:v>
                </c:pt>
                <c:pt idx="3">
                  <c:v>4211</c:v>
                </c:pt>
                <c:pt idx="4">
                  <c:v>3653</c:v>
                </c:pt>
                <c:pt idx="5">
                  <c:v>3131</c:v>
                </c:pt>
                <c:pt idx="6">
                  <c:v>3210</c:v>
                </c:pt>
              </c:numCache>
            </c:numRef>
          </c:val>
          <c:extLst xmlns:c16r2="http://schemas.microsoft.com/office/drawing/2015/06/chart">
            <c:ext xmlns:c16="http://schemas.microsoft.com/office/drawing/2014/chart" uri="{C3380CC4-5D6E-409C-BE32-E72D297353CC}">
              <c16:uniqueId val="{00000004-BBA5-4E03-A036-3342474DB2C1}"/>
            </c:ext>
          </c:extLst>
        </c:ser>
        <c:axId val="183155328"/>
        <c:axId val="183165312"/>
      </c:barChart>
      <c:catAx>
        <c:axId val="183155328"/>
        <c:scaling>
          <c:orientation val="minMax"/>
        </c:scaling>
        <c:axPos val="b"/>
        <c:numFmt formatCode="General" sourceLinked="0"/>
        <c:tickLblPos val="nextTo"/>
        <c:crossAx val="183165312"/>
        <c:crosses val="autoZero"/>
        <c:auto val="1"/>
        <c:lblAlgn val="ctr"/>
        <c:lblOffset val="100"/>
      </c:catAx>
      <c:valAx>
        <c:axId val="183165312"/>
        <c:scaling>
          <c:orientation val="minMax"/>
        </c:scaling>
        <c:axPos val="l"/>
        <c:majorGridlines/>
        <c:numFmt formatCode="General" sourceLinked="1"/>
        <c:tickLblPos val="nextTo"/>
        <c:crossAx val="183155328"/>
        <c:crosses val="autoZero"/>
        <c:crossBetween val="between"/>
      </c:valAx>
    </c:plotArea>
    <c:legend>
      <c:legendPos val="b"/>
    </c:legend>
    <c:plotVisOnly val="1"/>
    <c:dispBlanksAs val="gap"/>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Труд!$A$3</c:f>
              <c:strCache>
                <c:ptCount val="1"/>
                <c:pt idx="0">
                  <c:v>Среднесписочная численность работников организаций  в среднегодовом исчислении, человек</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Труд!$B$2:$H$2</c:f>
              <c:strCache>
                <c:ptCount val="7"/>
                <c:pt idx="0">
                  <c:v>01.01. 2011 г.</c:v>
                </c:pt>
                <c:pt idx="1">
                  <c:v>01.01. 2012 г.</c:v>
                </c:pt>
                <c:pt idx="2">
                  <c:v>01.01. 2013 г.</c:v>
                </c:pt>
                <c:pt idx="3">
                  <c:v>01.01. 2014 г.</c:v>
                </c:pt>
                <c:pt idx="4">
                  <c:v>01.01. 2015 г.</c:v>
                </c:pt>
                <c:pt idx="5">
                  <c:v>01.01. 2016 г.</c:v>
                </c:pt>
                <c:pt idx="6">
                  <c:v>01.01. 2017 г.</c:v>
                </c:pt>
              </c:strCache>
            </c:strRef>
          </c:cat>
          <c:val>
            <c:numRef>
              <c:f>Труд!$B$3:$H$3</c:f>
              <c:numCache>
                <c:formatCode>General</c:formatCode>
                <c:ptCount val="7"/>
                <c:pt idx="0">
                  <c:v>4271</c:v>
                </c:pt>
                <c:pt idx="1">
                  <c:v>4028</c:v>
                </c:pt>
                <c:pt idx="2">
                  <c:v>3874</c:v>
                </c:pt>
                <c:pt idx="3">
                  <c:v>3767</c:v>
                </c:pt>
                <c:pt idx="4">
                  <c:v>3546</c:v>
                </c:pt>
                <c:pt idx="5">
                  <c:v>3338</c:v>
                </c:pt>
                <c:pt idx="6">
                  <c:v>3167</c:v>
                </c:pt>
              </c:numCache>
            </c:numRef>
          </c:val>
          <c:extLst xmlns:c16r2="http://schemas.microsoft.com/office/drawing/2015/06/chart">
            <c:ext xmlns:c16="http://schemas.microsoft.com/office/drawing/2014/chart" uri="{C3380CC4-5D6E-409C-BE32-E72D297353CC}">
              <c16:uniqueId val="{00000000-E59D-440F-AA0B-2DC6A4135994}"/>
            </c:ext>
          </c:extLst>
        </c:ser>
        <c:ser>
          <c:idx val="1"/>
          <c:order val="1"/>
          <c:tx>
            <c:strRef>
              <c:f>Труд!$A$5</c:f>
              <c:strCache>
                <c:ptCount val="1"/>
                <c:pt idx="0">
                  <c:v>Численность безработных зарегистрированных в государственных службах занятости, человек</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Труд!$B$2:$H$2</c:f>
              <c:strCache>
                <c:ptCount val="7"/>
                <c:pt idx="0">
                  <c:v>01.01. 2011 г.</c:v>
                </c:pt>
                <c:pt idx="1">
                  <c:v>01.01. 2012 г.</c:v>
                </c:pt>
                <c:pt idx="2">
                  <c:v>01.01. 2013 г.</c:v>
                </c:pt>
                <c:pt idx="3">
                  <c:v>01.01. 2014 г.</c:v>
                </c:pt>
                <c:pt idx="4">
                  <c:v>01.01. 2015 г.</c:v>
                </c:pt>
                <c:pt idx="5">
                  <c:v>01.01. 2016 г.</c:v>
                </c:pt>
                <c:pt idx="6">
                  <c:v>01.01. 2017 г.</c:v>
                </c:pt>
              </c:strCache>
            </c:strRef>
          </c:cat>
          <c:val>
            <c:numRef>
              <c:f>Труд!$B$5:$H$5</c:f>
              <c:numCache>
                <c:formatCode>General</c:formatCode>
                <c:ptCount val="7"/>
                <c:pt idx="0">
                  <c:v>5054</c:v>
                </c:pt>
                <c:pt idx="1">
                  <c:v>1650</c:v>
                </c:pt>
                <c:pt idx="2">
                  <c:v>1250</c:v>
                </c:pt>
                <c:pt idx="3">
                  <c:v>1080</c:v>
                </c:pt>
                <c:pt idx="4">
                  <c:v>1105</c:v>
                </c:pt>
                <c:pt idx="5">
                  <c:v>1185</c:v>
                </c:pt>
                <c:pt idx="6">
                  <c:v>984</c:v>
                </c:pt>
              </c:numCache>
            </c:numRef>
          </c:val>
          <c:extLst xmlns:c16r2="http://schemas.microsoft.com/office/drawing/2015/06/chart">
            <c:ext xmlns:c16="http://schemas.microsoft.com/office/drawing/2014/chart" uri="{C3380CC4-5D6E-409C-BE32-E72D297353CC}">
              <c16:uniqueId val="{00000001-E59D-440F-AA0B-2DC6A4135994}"/>
            </c:ext>
          </c:extLst>
        </c:ser>
        <c:shape val="box"/>
        <c:axId val="183454336"/>
        <c:axId val="183456128"/>
        <c:axId val="0"/>
      </c:bar3DChart>
      <c:catAx>
        <c:axId val="183454336"/>
        <c:scaling>
          <c:orientation val="minMax"/>
        </c:scaling>
        <c:axPos val="b"/>
        <c:numFmt formatCode="General" sourceLinked="0"/>
        <c:tickLblPos val="nextTo"/>
        <c:txPr>
          <a:bodyPr/>
          <a:lstStyle/>
          <a:p>
            <a:pPr>
              <a:defRPr sz="800"/>
            </a:pPr>
            <a:endParaRPr lang="ru-RU"/>
          </a:p>
        </c:txPr>
        <c:crossAx val="183456128"/>
        <c:crosses val="autoZero"/>
        <c:auto val="1"/>
        <c:lblAlgn val="ctr"/>
        <c:lblOffset val="100"/>
      </c:catAx>
      <c:valAx>
        <c:axId val="183456128"/>
        <c:scaling>
          <c:orientation val="minMax"/>
        </c:scaling>
        <c:axPos val="l"/>
        <c:majorGridlines/>
        <c:numFmt formatCode="General" sourceLinked="1"/>
        <c:tickLblPos val="nextTo"/>
        <c:crossAx val="183454336"/>
        <c:crosses val="autoZero"/>
        <c:crossBetween val="between"/>
      </c:valAx>
    </c:plotArea>
    <c:legend>
      <c:legendPos val="b"/>
      <c:layout>
        <c:manualLayout>
          <c:xMode val="edge"/>
          <c:yMode val="edge"/>
          <c:x val="1.1605828907371565E-2"/>
          <c:y val="0.84228593367516635"/>
          <c:w val="0.9631942423813874"/>
          <c:h val="0.13196091333793691"/>
        </c:manualLayout>
      </c:layout>
      <c:txPr>
        <a:bodyPr/>
        <a:lstStyle/>
        <a:p>
          <a:pPr>
            <a:defRPr sz="950" baseline="0">
              <a:latin typeface="Times New Roman" pitchFamily="18" charset="0"/>
            </a:defRPr>
          </a:pPr>
          <a:endParaRPr lang="ru-RU"/>
        </a:p>
      </c:txPr>
    </c:legend>
    <c:plotVisOnly val="1"/>
    <c:dispBlanksAs val="gap"/>
  </c:chart>
  <c:spPr>
    <a:ln>
      <a:noFill/>
    </a:ln>
  </c:sp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Труд!$A$6</c:f>
              <c:strCache>
                <c:ptCount val="1"/>
                <c:pt idx="0">
                  <c:v>Уровень зарегистрированной  безработицы,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Труд!$B$2:$H$2</c:f>
              <c:strCache>
                <c:ptCount val="7"/>
                <c:pt idx="0">
                  <c:v>01.01. 2011 г.</c:v>
                </c:pt>
                <c:pt idx="1">
                  <c:v>01.01. 2012 г.</c:v>
                </c:pt>
                <c:pt idx="2">
                  <c:v>01.01. 2013 г.</c:v>
                </c:pt>
                <c:pt idx="3">
                  <c:v>01.01. 2014 г.</c:v>
                </c:pt>
                <c:pt idx="4">
                  <c:v>01.01. 2015 г.</c:v>
                </c:pt>
                <c:pt idx="5">
                  <c:v>01.01. 2016 г.</c:v>
                </c:pt>
                <c:pt idx="6">
                  <c:v>01.01. 2017 г.</c:v>
                </c:pt>
              </c:strCache>
            </c:strRef>
          </c:cat>
          <c:val>
            <c:numRef>
              <c:f>Труд!$B$6:$H$6</c:f>
              <c:numCache>
                <c:formatCode>0.0%</c:formatCode>
                <c:ptCount val="7"/>
                <c:pt idx="0">
                  <c:v>4.7000000000000014E-2</c:v>
                </c:pt>
                <c:pt idx="1">
                  <c:v>4.3000000000000003E-2</c:v>
                </c:pt>
                <c:pt idx="2">
                  <c:v>5.9000000000000434E-2</c:v>
                </c:pt>
                <c:pt idx="3">
                  <c:v>3.3000000000000002E-2</c:v>
                </c:pt>
                <c:pt idx="4">
                  <c:v>4.3000000000000003E-2</c:v>
                </c:pt>
                <c:pt idx="5">
                  <c:v>3.7999999999999999E-2</c:v>
                </c:pt>
                <c:pt idx="6">
                  <c:v>3.4000000000000002E-2</c:v>
                </c:pt>
              </c:numCache>
            </c:numRef>
          </c:val>
          <c:extLst xmlns:c16r2="http://schemas.microsoft.com/office/drawing/2015/06/chart">
            <c:ext xmlns:c16="http://schemas.microsoft.com/office/drawing/2014/chart" uri="{C3380CC4-5D6E-409C-BE32-E72D297353CC}">
              <c16:uniqueId val="{00000000-994E-44CB-BA02-FDD6785D605F}"/>
            </c:ext>
          </c:extLst>
        </c:ser>
        <c:marker val="1"/>
        <c:axId val="183474816"/>
        <c:axId val="183480704"/>
      </c:lineChart>
      <c:catAx>
        <c:axId val="183474816"/>
        <c:scaling>
          <c:orientation val="minMax"/>
        </c:scaling>
        <c:axPos val="b"/>
        <c:numFmt formatCode="General" sourceLinked="0"/>
        <c:tickLblPos val="nextTo"/>
        <c:crossAx val="183480704"/>
        <c:crosses val="autoZero"/>
        <c:auto val="1"/>
        <c:lblAlgn val="ctr"/>
        <c:lblOffset val="100"/>
      </c:catAx>
      <c:valAx>
        <c:axId val="183480704"/>
        <c:scaling>
          <c:orientation val="minMax"/>
        </c:scaling>
        <c:axPos val="l"/>
        <c:majorGridlines/>
        <c:numFmt formatCode="0.0%" sourceLinked="1"/>
        <c:tickLblPos val="nextTo"/>
        <c:crossAx val="183474816"/>
        <c:crosses val="autoZero"/>
        <c:crossBetween val="between"/>
      </c:valAx>
    </c:plotArea>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spPr>
            <a:effectLst/>
          </c:spPr>
          <c:dLbls>
            <c:dLbl>
              <c:idx val="0"/>
              <c:layout>
                <c:manualLayout>
                  <c:x val="-6.3888888888888884E-2"/>
                  <c:y val="6.944444444444453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A30-4DBD-B5A2-E5C0643F868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демография!$F$99:$F$102</c:f>
              <c:strCache>
                <c:ptCount val="4"/>
                <c:pt idx="0">
                  <c:v>01.01.2013 г.</c:v>
                </c:pt>
                <c:pt idx="1">
                  <c:v>01.01.2014 г.</c:v>
                </c:pt>
                <c:pt idx="2">
                  <c:v>01.01.2015 г.</c:v>
                </c:pt>
                <c:pt idx="3">
                  <c:v>01.01.2016 г.</c:v>
                </c:pt>
              </c:strCache>
            </c:strRef>
          </c:cat>
          <c:val>
            <c:numRef>
              <c:f>демография!$G$99:$G$102</c:f>
              <c:numCache>
                <c:formatCode>General</c:formatCode>
                <c:ptCount val="4"/>
                <c:pt idx="0">
                  <c:v>-0.4</c:v>
                </c:pt>
                <c:pt idx="1">
                  <c:v>0.70000000000000062</c:v>
                </c:pt>
                <c:pt idx="2">
                  <c:v>-1.4</c:v>
                </c:pt>
                <c:pt idx="3">
                  <c:v>-0.9</c:v>
                </c:pt>
              </c:numCache>
            </c:numRef>
          </c:val>
          <c:extLst xmlns:c16r2="http://schemas.microsoft.com/office/drawing/2015/06/chart">
            <c:ext xmlns:c16="http://schemas.microsoft.com/office/drawing/2014/chart" uri="{C3380CC4-5D6E-409C-BE32-E72D297353CC}">
              <c16:uniqueId val="{00000001-3A30-4DBD-B5A2-E5C0643F868E}"/>
            </c:ext>
          </c:extLst>
        </c:ser>
        <c:marker val="1"/>
        <c:axId val="167344000"/>
        <c:axId val="167345536"/>
      </c:lineChart>
      <c:catAx>
        <c:axId val="1673440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7345536"/>
        <c:crosses val="autoZero"/>
        <c:auto val="1"/>
        <c:lblAlgn val="ctr"/>
        <c:lblOffset val="100"/>
      </c:catAx>
      <c:valAx>
        <c:axId val="1673455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34400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Труд!$A$4</c:f>
              <c:strCache>
                <c:ptCount val="1"/>
                <c:pt idx="0">
                  <c:v>Заявленная предприятиями и организациями потребность в работниках, человек</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Труд!$B$2:$H$2</c:f>
              <c:strCache>
                <c:ptCount val="7"/>
                <c:pt idx="0">
                  <c:v>01.01. 2011 г.</c:v>
                </c:pt>
                <c:pt idx="1">
                  <c:v>01.01. 2012 г.</c:v>
                </c:pt>
                <c:pt idx="2">
                  <c:v>01.01. 2013 г.</c:v>
                </c:pt>
                <c:pt idx="3">
                  <c:v>01.01. 2014 г.</c:v>
                </c:pt>
                <c:pt idx="4">
                  <c:v>01.01. 2015 г.</c:v>
                </c:pt>
                <c:pt idx="5">
                  <c:v>01.01. 2016 г.</c:v>
                </c:pt>
                <c:pt idx="6">
                  <c:v>01.01. 2017 г.</c:v>
                </c:pt>
              </c:strCache>
            </c:strRef>
          </c:cat>
          <c:val>
            <c:numRef>
              <c:f>Труд!$B$4:$H$4</c:f>
              <c:numCache>
                <c:formatCode>General</c:formatCode>
                <c:ptCount val="7"/>
                <c:pt idx="0">
                  <c:v>130</c:v>
                </c:pt>
                <c:pt idx="1">
                  <c:v>855</c:v>
                </c:pt>
                <c:pt idx="2">
                  <c:v>644</c:v>
                </c:pt>
                <c:pt idx="3">
                  <c:v>726</c:v>
                </c:pt>
                <c:pt idx="4">
                  <c:v>76</c:v>
                </c:pt>
                <c:pt idx="5">
                  <c:v>450</c:v>
                </c:pt>
                <c:pt idx="6">
                  <c:v>643</c:v>
                </c:pt>
              </c:numCache>
            </c:numRef>
          </c:val>
          <c:extLst xmlns:c16r2="http://schemas.microsoft.com/office/drawing/2015/06/chart">
            <c:ext xmlns:c16="http://schemas.microsoft.com/office/drawing/2014/chart" uri="{C3380CC4-5D6E-409C-BE32-E72D297353CC}">
              <c16:uniqueId val="{00000000-2945-4755-8CE7-40B464588E00}"/>
            </c:ext>
          </c:extLst>
        </c:ser>
        <c:ser>
          <c:idx val="1"/>
          <c:order val="1"/>
          <c:tx>
            <c:strRef>
              <c:f>Труд!$A$5</c:f>
              <c:strCache>
                <c:ptCount val="1"/>
                <c:pt idx="0">
                  <c:v>Численность безработных зарегистрированных в государственных службах занятости, человек</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Труд!$B$2:$H$2</c:f>
              <c:strCache>
                <c:ptCount val="7"/>
                <c:pt idx="0">
                  <c:v>01.01. 2011 г.</c:v>
                </c:pt>
                <c:pt idx="1">
                  <c:v>01.01. 2012 г.</c:v>
                </c:pt>
                <c:pt idx="2">
                  <c:v>01.01. 2013 г.</c:v>
                </c:pt>
                <c:pt idx="3">
                  <c:v>01.01. 2014 г.</c:v>
                </c:pt>
                <c:pt idx="4">
                  <c:v>01.01. 2015 г.</c:v>
                </c:pt>
                <c:pt idx="5">
                  <c:v>01.01. 2016 г.</c:v>
                </c:pt>
                <c:pt idx="6">
                  <c:v>01.01. 2017 г.</c:v>
                </c:pt>
              </c:strCache>
            </c:strRef>
          </c:cat>
          <c:val>
            <c:numRef>
              <c:f>Труд!$B$5:$H$5</c:f>
              <c:numCache>
                <c:formatCode>General</c:formatCode>
                <c:ptCount val="7"/>
                <c:pt idx="0">
                  <c:v>5054</c:v>
                </c:pt>
                <c:pt idx="1">
                  <c:v>1650</c:v>
                </c:pt>
                <c:pt idx="2">
                  <c:v>1250</c:v>
                </c:pt>
                <c:pt idx="3">
                  <c:v>1080</c:v>
                </c:pt>
                <c:pt idx="4">
                  <c:v>1105</c:v>
                </c:pt>
                <c:pt idx="5">
                  <c:v>1185</c:v>
                </c:pt>
                <c:pt idx="6">
                  <c:v>984</c:v>
                </c:pt>
              </c:numCache>
            </c:numRef>
          </c:val>
          <c:extLst xmlns:c16r2="http://schemas.microsoft.com/office/drawing/2015/06/chart">
            <c:ext xmlns:c16="http://schemas.microsoft.com/office/drawing/2014/chart" uri="{C3380CC4-5D6E-409C-BE32-E72D297353CC}">
              <c16:uniqueId val="{00000001-2945-4755-8CE7-40B464588E00}"/>
            </c:ext>
          </c:extLst>
        </c:ser>
        <c:marker val="1"/>
        <c:axId val="183515008"/>
        <c:axId val="183516544"/>
      </c:lineChart>
      <c:catAx>
        <c:axId val="183515008"/>
        <c:scaling>
          <c:orientation val="minMax"/>
        </c:scaling>
        <c:axPos val="b"/>
        <c:numFmt formatCode="General" sourceLinked="0"/>
        <c:tickLblPos val="nextTo"/>
        <c:crossAx val="183516544"/>
        <c:crosses val="autoZero"/>
        <c:auto val="1"/>
        <c:lblAlgn val="ctr"/>
        <c:lblOffset val="100"/>
      </c:catAx>
      <c:valAx>
        <c:axId val="183516544"/>
        <c:scaling>
          <c:orientation val="minMax"/>
        </c:scaling>
        <c:axPos val="l"/>
        <c:majorGridlines/>
        <c:numFmt formatCode="General" sourceLinked="1"/>
        <c:tickLblPos val="nextTo"/>
        <c:crossAx val="183515008"/>
        <c:crosses val="autoZero"/>
        <c:crossBetween val="between"/>
      </c:valAx>
    </c:plotArea>
    <c:legend>
      <c:legendPos val="b"/>
      <c:layout>
        <c:manualLayout>
          <c:xMode val="edge"/>
          <c:yMode val="edge"/>
          <c:x val="2.0116012863641869E-2"/>
          <c:y val="0.80558219048951596"/>
          <c:w val="0.95011891328020404"/>
          <c:h val="0.17067229412529294"/>
        </c:manualLayout>
      </c:layout>
      <c:txPr>
        <a:bodyPr/>
        <a:lstStyle/>
        <a:p>
          <a:pPr>
            <a:defRPr sz="900" baseline="0"/>
          </a:pPr>
          <a:endParaRPr lang="ru-RU"/>
        </a:p>
      </c:txPr>
    </c:legend>
    <c:plotVisOnly val="1"/>
    <c:dispBlanksAs val="gap"/>
  </c:chart>
  <c:spPr>
    <a:ln>
      <a:noFill/>
    </a:ln>
  </c:sp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зп!$A$15:$A$22</c:f>
              <c:strCache>
                <c:ptCount val="8"/>
                <c:pt idx="0">
                  <c:v>Добывающие организации</c:v>
                </c:pt>
                <c:pt idx="1">
                  <c:v>Обрабатывающие организации</c:v>
                </c:pt>
                <c:pt idx="2">
                  <c:v>Организации производства и распределения электричества, газа, воды</c:v>
                </c:pt>
                <c:pt idx="3">
                  <c:v>Организации здравоохранения</c:v>
                </c:pt>
                <c:pt idx="4">
                  <c:v>Организации бюджетной сферы</c:v>
                </c:pt>
                <c:pt idx="5">
                  <c:v>Организации образования</c:v>
                </c:pt>
                <c:pt idx="6">
                  <c:v>Организации прочих отраслей</c:v>
                </c:pt>
                <c:pt idx="7">
                  <c:v>Сельскохозяйственные организации</c:v>
                </c:pt>
              </c:strCache>
            </c:strRef>
          </c:cat>
          <c:val>
            <c:numRef>
              <c:f>зп!$H$15:$H$22</c:f>
              <c:numCache>
                <c:formatCode>0.0</c:formatCode>
                <c:ptCount val="8"/>
                <c:pt idx="0">
                  <c:v>192.01762156726602</c:v>
                </c:pt>
                <c:pt idx="1">
                  <c:v>124.21568862179872</c:v>
                </c:pt>
                <c:pt idx="2">
                  <c:v>111.3989513252089</c:v>
                </c:pt>
                <c:pt idx="3">
                  <c:v>85.569548527146608</c:v>
                </c:pt>
                <c:pt idx="4">
                  <c:v>82.27627872084021</c:v>
                </c:pt>
                <c:pt idx="5">
                  <c:v>78.982609875419982</c:v>
                </c:pt>
                <c:pt idx="6">
                  <c:v>59.928093151690724</c:v>
                </c:pt>
                <c:pt idx="7">
                  <c:v>48.882291442206295</c:v>
                </c:pt>
              </c:numCache>
            </c:numRef>
          </c:val>
          <c:extLst xmlns:c16r2="http://schemas.microsoft.com/office/drawing/2015/06/chart">
            <c:ext xmlns:c16="http://schemas.microsoft.com/office/drawing/2014/chart" uri="{C3380CC4-5D6E-409C-BE32-E72D297353CC}">
              <c16:uniqueId val="{00000000-E1EC-451A-8462-165A62E35C5E}"/>
            </c:ext>
          </c:extLst>
        </c:ser>
        <c:axId val="183553024"/>
        <c:axId val="183563008"/>
      </c:barChart>
      <c:catAx>
        <c:axId val="183553024"/>
        <c:scaling>
          <c:orientation val="minMax"/>
        </c:scaling>
        <c:axPos val="b"/>
        <c:numFmt formatCode="General" sourceLinked="0"/>
        <c:tickLblPos val="nextTo"/>
        <c:crossAx val="183563008"/>
        <c:crossesAt val="100"/>
        <c:auto val="1"/>
        <c:lblAlgn val="ctr"/>
        <c:lblOffset val="100"/>
      </c:catAx>
      <c:valAx>
        <c:axId val="183563008"/>
        <c:scaling>
          <c:orientation val="minMax"/>
        </c:scaling>
        <c:axPos val="l"/>
        <c:majorGridlines>
          <c:spPr>
            <a:ln>
              <a:gradFill>
                <a:gsLst>
                  <a:gs pos="0">
                    <a:sysClr val="window" lastClr="FFFFFF">
                      <a:alpha val="0"/>
                    </a:sysClr>
                  </a:gs>
                  <a:gs pos="50000">
                    <a:srgbClr val="4F81BD">
                      <a:tint val="44500"/>
                      <a:satMod val="160000"/>
                    </a:srgbClr>
                  </a:gs>
                  <a:gs pos="100000">
                    <a:srgbClr val="4F81BD">
                      <a:tint val="23500"/>
                      <a:satMod val="160000"/>
                    </a:srgbClr>
                  </a:gs>
                </a:gsLst>
                <a:lin ang="5400000" scaled="0"/>
              </a:gradFill>
            </a:ln>
          </c:spPr>
        </c:majorGridlines>
        <c:numFmt formatCode="0.0" sourceLinked="1"/>
        <c:tickLblPos val="nextTo"/>
        <c:crossAx val="183553024"/>
        <c:crosses val="autoZero"/>
        <c:crossBetween val="between"/>
      </c:valAx>
    </c:plotArea>
    <c:plotVisOnly val="1"/>
    <c:dispBlanksAs val="gap"/>
  </c:chart>
  <c:spPr>
    <a:ln>
      <a:noFill/>
    </a:ln>
  </c:spPr>
  <c:txPr>
    <a:bodyPr/>
    <a:lstStyle/>
    <a:p>
      <a:pPr>
        <a:defRPr baseline="0">
          <a:latin typeface="Times New Roman" pitchFamily="18" charset="0"/>
        </a:defRPr>
      </a:pPr>
      <a:endParaRPr lang="ru-RU"/>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Лист1!$A$2</c:f>
              <c:strCache>
                <c:ptCount val="1"/>
                <c:pt idx="0">
                  <c:v>Налоговые доходы</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Лист1!$B$1:$G$1</c:f>
              <c:strCache>
                <c:ptCount val="6"/>
                <c:pt idx="0">
                  <c:v>2011 год</c:v>
                </c:pt>
                <c:pt idx="1">
                  <c:v>2012 год</c:v>
                </c:pt>
                <c:pt idx="2">
                  <c:v>2013 год</c:v>
                </c:pt>
                <c:pt idx="3">
                  <c:v>2014 год</c:v>
                </c:pt>
                <c:pt idx="4">
                  <c:v>2015 год</c:v>
                </c:pt>
                <c:pt idx="5">
                  <c:v>2016 год</c:v>
                </c:pt>
              </c:strCache>
            </c:strRef>
          </c:cat>
          <c:val>
            <c:numRef>
              <c:f>Лист1!$B$9:$G$9</c:f>
              <c:numCache>
                <c:formatCode>0%</c:formatCode>
                <c:ptCount val="6"/>
                <c:pt idx="0">
                  <c:v>0.14283777322648095</c:v>
                </c:pt>
                <c:pt idx="1">
                  <c:v>9.4498041188023768E-2</c:v>
                </c:pt>
                <c:pt idx="2">
                  <c:v>0.12975999603210339</c:v>
                </c:pt>
                <c:pt idx="3">
                  <c:v>0.1382728442311692</c:v>
                </c:pt>
                <c:pt idx="4">
                  <c:v>0.15581027433625941</c:v>
                </c:pt>
                <c:pt idx="5">
                  <c:v>0.16943079989533152</c:v>
                </c:pt>
              </c:numCache>
            </c:numRef>
          </c:val>
          <c:extLst xmlns:c16r2="http://schemas.microsoft.com/office/drawing/2015/06/chart">
            <c:ext xmlns:c16="http://schemas.microsoft.com/office/drawing/2014/chart" uri="{C3380CC4-5D6E-409C-BE32-E72D297353CC}">
              <c16:uniqueId val="{00000000-D95F-4A1C-B416-483BF5AE11A1}"/>
            </c:ext>
          </c:extLst>
        </c:ser>
        <c:ser>
          <c:idx val="1"/>
          <c:order val="1"/>
          <c:tx>
            <c:strRef>
              <c:f>Лист1!$A$3</c:f>
              <c:strCache>
                <c:ptCount val="1"/>
                <c:pt idx="0">
                  <c:v>Неналоговые доходы</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Лист1!$B$1:$G$1</c:f>
              <c:strCache>
                <c:ptCount val="6"/>
                <c:pt idx="0">
                  <c:v>2011 год</c:v>
                </c:pt>
                <c:pt idx="1">
                  <c:v>2012 год</c:v>
                </c:pt>
                <c:pt idx="2">
                  <c:v>2013 год</c:v>
                </c:pt>
                <c:pt idx="3">
                  <c:v>2014 год</c:v>
                </c:pt>
                <c:pt idx="4">
                  <c:v>2015 год</c:v>
                </c:pt>
                <c:pt idx="5">
                  <c:v>2016 год</c:v>
                </c:pt>
              </c:strCache>
            </c:strRef>
          </c:cat>
          <c:val>
            <c:numRef>
              <c:f>Лист1!$B$10:$G$10</c:f>
              <c:numCache>
                <c:formatCode>0%</c:formatCode>
                <c:ptCount val="6"/>
                <c:pt idx="0">
                  <c:v>4.7845230534285792E-2</c:v>
                </c:pt>
                <c:pt idx="1">
                  <c:v>4.0358329327981973E-2</c:v>
                </c:pt>
                <c:pt idx="2">
                  <c:v>4.5760224617577824E-2</c:v>
                </c:pt>
                <c:pt idx="3">
                  <c:v>7.8916265115010514E-2</c:v>
                </c:pt>
                <c:pt idx="4">
                  <c:v>6.2998428745071514E-2</c:v>
                </c:pt>
                <c:pt idx="5">
                  <c:v>7.0158947967291302E-2</c:v>
                </c:pt>
              </c:numCache>
            </c:numRef>
          </c:val>
          <c:extLst xmlns:c16r2="http://schemas.microsoft.com/office/drawing/2015/06/chart">
            <c:ext xmlns:c16="http://schemas.microsoft.com/office/drawing/2014/chart" uri="{C3380CC4-5D6E-409C-BE32-E72D297353CC}">
              <c16:uniqueId val="{00000001-D95F-4A1C-B416-483BF5AE11A1}"/>
            </c:ext>
          </c:extLst>
        </c:ser>
        <c:ser>
          <c:idx val="2"/>
          <c:order val="2"/>
          <c:tx>
            <c:strRef>
              <c:f>Лист1!$A$4</c:f>
              <c:strCache>
                <c:ptCount val="1"/>
                <c:pt idx="0">
                  <c:v>Межбюджетные трансферты</c:v>
                </c:pt>
              </c:strCache>
            </c:strRef>
          </c:tx>
          <c:spPr>
            <a:solidFill>
              <a:schemeClr val="accent3"/>
            </a:solidFill>
            <a:ln>
              <a:noFill/>
            </a:ln>
            <a:effectLst/>
            <a:sp3d/>
          </c:spPr>
          <c:dLbls>
            <c:spPr>
              <a:noFill/>
              <a:ln>
                <a:solidFill>
                  <a:schemeClr val="accent1"/>
                </a:solid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Лист1!$B$1:$G$1</c:f>
              <c:strCache>
                <c:ptCount val="6"/>
                <c:pt idx="0">
                  <c:v>2011 год</c:v>
                </c:pt>
                <c:pt idx="1">
                  <c:v>2012 год</c:v>
                </c:pt>
                <c:pt idx="2">
                  <c:v>2013 год</c:v>
                </c:pt>
                <c:pt idx="3">
                  <c:v>2014 год</c:v>
                </c:pt>
                <c:pt idx="4">
                  <c:v>2015 год</c:v>
                </c:pt>
                <c:pt idx="5">
                  <c:v>2016 год</c:v>
                </c:pt>
              </c:strCache>
            </c:strRef>
          </c:cat>
          <c:val>
            <c:numRef>
              <c:f>Лист1!$B$11:$G$11</c:f>
              <c:numCache>
                <c:formatCode>0%</c:formatCode>
                <c:ptCount val="6"/>
                <c:pt idx="0">
                  <c:v>0.78191692059572826</c:v>
                </c:pt>
                <c:pt idx="1">
                  <c:v>0.8411193275024339</c:v>
                </c:pt>
                <c:pt idx="2">
                  <c:v>0.80218406953311461</c:v>
                </c:pt>
                <c:pt idx="3">
                  <c:v>0.77352860222661268</c:v>
                </c:pt>
                <c:pt idx="4">
                  <c:v>0.77720790963802666</c:v>
                </c:pt>
                <c:pt idx="5">
                  <c:v>0.72994989018544365</c:v>
                </c:pt>
              </c:numCache>
            </c:numRef>
          </c:val>
          <c:extLst xmlns:c16r2="http://schemas.microsoft.com/office/drawing/2015/06/chart">
            <c:ext xmlns:c16="http://schemas.microsoft.com/office/drawing/2014/chart" uri="{C3380CC4-5D6E-409C-BE32-E72D297353CC}">
              <c16:uniqueId val="{00000002-D95F-4A1C-B416-483BF5AE11A1}"/>
            </c:ext>
          </c:extLst>
        </c:ser>
        <c:ser>
          <c:idx val="3"/>
          <c:order val="3"/>
          <c:tx>
            <c:strRef>
              <c:f>Лист1!$A$5</c:f>
              <c:strCache>
                <c:ptCount val="1"/>
                <c:pt idx="0">
                  <c:v>Прочие безвозмездные поступления</c:v>
                </c:pt>
              </c:strCache>
            </c:strRef>
          </c:tx>
          <c:spPr>
            <a:solidFill>
              <a:schemeClr val="accent4"/>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Лист1!$B$1:$G$1</c:f>
              <c:strCache>
                <c:ptCount val="6"/>
                <c:pt idx="0">
                  <c:v>2011 год</c:v>
                </c:pt>
                <c:pt idx="1">
                  <c:v>2012 год</c:v>
                </c:pt>
                <c:pt idx="2">
                  <c:v>2013 год</c:v>
                </c:pt>
                <c:pt idx="3">
                  <c:v>2014 год</c:v>
                </c:pt>
                <c:pt idx="4">
                  <c:v>2015 год</c:v>
                </c:pt>
                <c:pt idx="5">
                  <c:v>2016 год</c:v>
                </c:pt>
              </c:strCache>
            </c:strRef>
          </c:cat>
          <c:val>
            <c:numRef>
              <c:f>Лист1!$B$12:$G$12</c:f>
              <c:numCache>
                <c:formatCode>0%</c:formatCode>
                <c:ptCount val="6"/>
                <c:pt idx="0">
                  <c:v>2.7400075643505571E-2</c:v>
                </c:pt>
                <c:pt idx="1">
                  <c:v>2.4024301981561632E-2</c:v>
                </c:pt>
                <c:pt idx="2">
                  <c:v>2.2295709817207212E-2</c:v>
                </c:pt>
                <c:pt idx="3">
                  <c:v>9.2822884272169247E-3</c:v>
                </c:pt>
                <c:pt idx="4">
                  <c:v>3.9833872806510394E-3</c:v>
                </c:pt>
                <c:pt idx="5">
                  <c:v>3.0460361951952383E-2</c:v>
                </c:pt>
              </c:numCache>
            </c:numRef>
          </c:val>
          <c:extLst xmlns:c16r2="http://schemas.microsoft.com/office/drawing/2015/06/chart">
            <c:ext xmlns:c16="http://schemas.microsoft.com/office/drawing/2014/chart" uri="{C3380CC4-5D6E-409C-BE32-E72D297353CC}">
              <c16:uniqueId val="{00000003-D95F-4A1C-B416-483BF5AE11A1}"/>
            </c:ext>
          </c:extLst>
        </c:ser>
        <c:dLbls>
          <c:showVal val="1"/>
        </c:dLbls>
        <c:gapWidth val="79"/>
        <c:shape val="box"/>
        <c:axId val="183644544"/>
        <c:axId val="183646080"/>
        <c:axId val="0"/>
      </c:bar3DChart>
      <c:catAx>
        <c:axId val="18364454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83646080"/>
        <c:crosses val="autoZero"/>
        <c:auto val="1"/>
        <c:lblAlgn val="ctr"/>
        <c:lblOffset val="100"/>
      </c:catAx>
      <c:valAx>
        <c:axId val="183646080"/>
        <c:scaling>
          <c:orientation val="minMax"/>
        </c:scaling>
        <c:delete val="1"/>
        <c:axPos val="l"/>
        <c:numFmt formatCode="0%" sourceLinked="1"/>
        <c:majorTickMark val="none"/>
        <c:tickLblPos val="none"/>
        <c:crossAx val="1836445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lt1"/>
    </a:solidFill>
    <a:ln w="9525" cap="flat" cmpd="sng" algn="ctr">
      <a:noFill/>
      <a:round/>
    </a:ln>
    <a:effectLst/>
  </c:spPr>
  <c:txPr>
    <a:bodyPr/>
    <a:lstStyle/>
    <a:p>
      <a:pPr>
        <a:defRPr/>
      </a:pPr>
      <a:endParaRPr lang="ru-RU"/>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Лист1!$A$2</c:f>
              <c:strCache>
                <c:ptCount val="1"/>
                <c:pt idx="0">
                  <c:v>Налоговые доходы</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Лист1!$B$1:$G$1</c:f>
              <c:strCache>
                <c:ptCount val="6"/>
                <c:pt idx="0">
                  <c:v>2011 год</c:v>
                </c:pt>
                <c:pt idx="1">
                  <c:v>2012 год</c:v>
                </c:pt>
                <c:pt idx="2">
                  <c:v>2013 год</c:v>
                </c:pt>
                <c:pt idx="3">
                  <c:v>2014 год</c:v>
                </c:pt>
                <c:pt idx="4">
                  <c:v>2015 год</c:v>
                </c:pt>
                <c:pt idx="5">
                  <c:v>2016 год</c:v>
                </c:pt>
              </c:strCache>
            </c:strRef>
          </c:cat>
          <c:val>
            <c:numRef>
              <c:f>Лист1!$B$2:$G$2</c:f>
              <c:numCache>
                <c:formatCode>#,##0</c:formatCode>
                <c:ptCount val="6"/>
                <c:pt idx="0">
                  <c:v>100080</c:v>
                </c:pt>
                <c:pt idx="1">
                  <c:v>84738</c:v>
                </c:pt>
                <c:pt idx="2">
                  <c:v>120345</c:v>
                </c:pt>
                <c:pt idx="3">
                  <c:v>111023</c:v>
                </c:pt>
                <c:pt idx="4">
                  <c:v>115624</c:v>
                </c:pt>
                <c:pt idx="5">
                  <c:v>130142</c:v>
                </c:pt>
              </c:numCache>
            </c:numRef>
          </c:val>
          <c:extLst xmlns:c16r2="http://schemas.microsoft.com/office/drawing/2015/06/chart">
            <c:ext xmlns:c16="http://schemas.microsoft.com/office/drawing/2014/chart" uri="{C3380CC4-5D6E-409C-BE32-E72D297353CC}">
              <c16:uniqueId val="{00000000-9042-44C5-BCD8-D138AC6B141B}"/>
            </c:ext>
          </c:extLst>
        </c:ser>
        <c:ser>
          <c:idx val="1"/>
          <c:order val="1"/>
          <c:tx>
            <c:strRef>
              <c:f>Лист1!$A$3</c:f>
              <c:strCache>
                <c:ptCount val="1"/>
                <c:pt idx="0">
                  <c:v>Неналоговые доходы</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Лист1!$B$1:$G$1</c:f>
              <c:strCache>
                <c:ptCount val="6"/>
                <c:pt idx="0">
                  <c:v>2011 год</c:v>
                </c:pt>
                <c:pt idx="1">
                  <c:v>2012 год</c:v>
                </c:pt>
                <c:pt idx="2">
                  <c:v>2013 год</c:v>
                </c:pt>
                <c:pt idx="3">
                  <c:v>2014 год</c:v>
                </c:pt>
                <c:pt idx="4">
                  <c:v>2015 год</c:v>
                </c:pt>
                <c:pt idx="5">
                  <c:v>2016 год</c:v>
                </c:pt>
              </c:strCache>
            </c:strRef>
          </c:cat>
          <c:val>
            <c:numRef>
              <c:f>Лист1!$B$3:$G$3</c:f>
              <c:numCache>
                <c:formatCode>#,##0</c:formatCode>
                <c:ptCount val="6"/>
                <c:pt idx="0">
                  <c:v>33523</c:v>
                </c:pt>
                <c:pt idx="1">
                  <c:v>36190</c:v>
                </c:pt>
                <c:pt idx="2">
                  <c:v>42440</c:v>
                </c:pt>
                <c:pt idx="3">
                  <c:v>63364</c:v>
                </c:pt>
                <c:pt idx="4">
                  <c:v>46750</c:v>
                </c:pt>
                <c:pt idx="5">
                  <c:v>53890</c:v>
                </c:pt>
              </c:numCache>
            </c:numRef>
          </c:val>
          <c:extLst xmlns:c16r2="http://schemas.microsoft.com/office/drawing/2015/06/chart">
            <c:ext xmlns:c16="http://schemas.microsoft.com/office/drawing/2014/chart" uri="{C3380CC4-5D6E-409C-BE32-E72D297353CC}">
              <c16:uniqueId val="{00000001-9042-44C5-BCD8-D138AC6B141B}"/>
            </c:ext>
          </c:extLst>
        </c:ser>
        <c:ser>
          <c:idx val="2"/>
          <c:order val="2"/>
          <c:tx>
            <c:strRef>
              <c:f>Лист1!$A$4</c:f>
              <c:strCache>
                <c:ptCount val="1"/>
                <c:pt idx="0">
                  <c:v>Межбюджетные трансферты</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Лист1!$B$1:$G$1</c:f>
              <c:strCache>
                <c:ptCount val="6"/>
                <c:pt idx="0">
                  <c:v>2011 год</c:v>
                </c:pt>
                <c:pt idx="1">
                  <c:v>2012 год</c:v>
                </c:pt>
                <c:pt idx="2">
                  <c:v>2013 год</c:v>
                </c:pt>
                <c:pt idx="3">
                  <c:v>2014 год</c:v>
                </c:pt>
                <c:pt idx="4">
                  <c:v>2015 год</c:v>
                </c:pt>
                <c:pt idx="5">
                  <c:v>2016 год</c:v>
                </c:pt>
              </c:strCache>
            </c:strRef>
          </c:cat>
          <c:val>
            <c:numRef>
              <c:f>Лист1!$B$4:$G$4</c:f>
              <c:numCache>
                <c:formatCode>#,##0</c:formatCode>
                <c:ptCount val="6"/>
                <c:pt idx="0">
                  <c:v>547854</c:v>
                </c:pt>
                <c:pt idx="1">
                  <c:v>754246</c:v>
                </c:pt>
                <c:pt idx="2">
                  <c:v>743980</c:v>
                </c:pt>
                <c:pt idx="3">
                  <c:v>621087</c:v>
                </c:pt>
                <c:pt idx="4">
                  <c:v>576752</c:v>
                </c:pt>
                <c:pt idx="5">
                  <c:v>560684</c:v>
                </c:pt>
              </c:numCache>
            </c:numRef>
          </c:val>
          <c:extLst xmlns:c16r2="http://schemas.microsoft.com/office/drawing/2015/06/chart">
            <c:ext xmlns:c16="http://schemas.microsoft.com/office/drawing/2014/chart" uri="{C3380CC4-5D6E-409C-BE32-E72D297353CC}">
              <c16:uniqueId val="{00000002-9042-44C5-BCD8-D138AC6B141B}"/>
            </c:ext>
          </c:extLst>
        </c:ser>
        <c:ser>
          <c:idx val="3"/>
          <c:order val="3"/>
          <c:tx>
            <c:strRef>
              <c:f>Лист1!$A$5</c:f>
              <c:strCache>
                <c:ptCount val="1"/>
                <c:pt idx="0">
                  <c:v>Прочие безвозмездные поступления</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Лист1!$B$1:$G$1</c:f>
              <c:strCache>
                <c:ptCount val="6"/>
                <c:pt idx="0">
                  <c:v>2011 год</c:v>
                </c:pt>
                <c:pt idx="1">
                  <c:v>2012 год</c:v>
                </c:pt>
                <c:pt idx="2">
                  <c:v>2013 год</c:v>
                </c:pt>
                <c:pt idx="3">
                  <c:v>2014 год</c:v>
                </c:pt>
                <c:pt idx="4">
                  <c:v>2015 год</c:v>
                </c:pt>
                <c:pt idx="5">
                  <c:v>2016 год</c:v>
                </c:pt>
              </c:strCache>
            </c:strRef>
          </c:cat>
          <c:val>
            <c:numRef>
              <c:f>Лист1!$B$5:$G$5</c:f>
              <c:numCache>
                <c:formatCode>#,##0</c:formatCode>
                <c:ptCount val="6"/>
                <c:pt idx="0">
                  <c:v>19198</c:v>
                </c:pt>
                <c:pt idx="1">
                  <c:v>21543</c:v>
                </c:pt>
                <c:pt idx="2" formatCode="General">
                  <c:v>20678</c:v>
                </c:pt>
                <c:pt idx="3">
                  <c:v>7453</c:v>
                </c:pt>
                <c:pt idx="4">
                  <c:v>2956</c:v>
                </c:pt>
                <c:pt idx="5">
                  <c:v>23397</c:v>
                </c:pt>
              </c:numCache>
            </c:numRef>
          </c:val>
          <c:extLst xmlns:c16r2="http://schemas.microsoft.com/office/drawing/2015/06/chart">
            <c:ext xmlns:c16="http://schemas.microsoft.com/office/drawing/2014/chart" uri="{C3380CC4-5D6E-409C-BE32-E72D297353CC}">
              <c16:uniqueId val="{00000003-9042-44C5-BCD8-D138AC6B141B}"/>
            </c:ext>
          </c:extLst>
        </c:ser>
        <c:dLbls>
          <c:showVal val="1"/>
        </c:dLbls>
        <c:marker val="1"/>
        <c:axId val="183710848"/>
        <c:axId val="183712384"/>
      </c:lineChart>
      <c:catAx>
        <c:axId val="1837108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712384"/>
        <c:crosses val="autoZero"/>
        <c:auto val="1"/>
        <c:lblAlgn val="ctr"/>
        <c:lblOffset val="100"/>
      </c:catAx>
      <c:valAx>
        <c:axId val="18371238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7108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9.1342996539846968E-2"/>
          <c:y val="4.3411611671708192E-2"/>
          <c:w val="0.88663498143813102"/>
          <c:h val="0.55589104147906065"/>
        </c:manualLayout>
      </c:layout>
      <c:bar3DChart>
        <c:barDir val="col"/>
        <c:grouping val="clustered"/>
        <c:ser>
          <c:idx val="0"/>
          <c:order val="0"/>
          <c:tx>
            <c:strRef>
              <c:f>Лист5!$A$2</c:f>
              <c:strCache>
                <c:ptCount val="1"/>
                <c:pt idx="0">
                  <c:v>Акцизы</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Лист5!$B$2:$G$2</c:f>
              <c:numCache>
                <c:formatCode>General</c:formatCode>
                <c:ptCount val="6"/>
                <c:pt idx="3">
                  <c:v>12074</c:v>
                </c:pt>
                <c:pt idx="4">
                  <c:v>12049</c:v>
                </c:pt>
                <c:pt idx="5">
                  <c:v>16766</c:v>
                </c:pt>
              </c:numCache>
            </c:numRef>
          </c:val>
          <c:extLst xmlns:c16r2="http://schemas.microsoft.com/office/drawing/2015/06/chart">
            <c:ext xmlns:c16="http://schemas.microsoft.com/office/drawing/2014/chart" uri="{C3380CC4-5D6E-409C-BE32-E72D297353CC}">
              <c16:uniqueId val="{00000000-F8C3-45C5-B351-CDA149B0E618}"/>
            </c:ext>
          </c:extLst>
        </c:ser>
        <c:ser>
          <c:idx val="1"/>
          <c:order val="1"/>
          <c:tx>
            <c:strRef>
              <c:f>Лист5!$A$3</c:f>
              <c:strCache>
                <c:ptCount val="1"/>
                <c:pt idx="0">
                  <c:v>Госпошлина</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Лист5!$B$3:$G$3</c:f>
              <c:numCache>
                <c:formatCode>General</c:formatCode>
                <c:ptCount val="6"/>
                <c:pt idx="0">
                  <c:v>6161</c:v>
                </c:pt>
                <c:pt idx="1">
                  <c:v>1573</c:v>
                </c:pt>
                <c:pt idx="2">
                  <c:v>1890</c:v>
                </c:pt>
                <c:pt idx="3">
                  <c:v>2308</c:v>
                </c:pt>
                <c:pt idx="4">
                  <c:v>3282</c:v>
                </c:pt>
                <c:pt idx="5">
                  <c:v>2680</c:v>
                </c:pt>
              </c:numCache>
            </c:numRef>
          </c:val>
          <c:extLst xmlns:c16r2="http://schemas.microsoft.com/office/drawing/2015/06/chart">
            <c:ext xmlns:c16="http://schemas.microsoft.com/office/drawing/2014/chart" uri="{C3380CC4-5D6E-409C-BE32-E72D297353CC}">
              <c16:uniqueId val="{00000001-F8C3-45C5-B351-CDA149B0E618}"/>
            </c:ext>
          </c:extLst>
        </c:ser>
        <c:ser>
          <c:idx val="2"/>
          <c:order val="2"/>
          <c:tx>
            <c:strRef>
              <c:f>Лист5!$A$4</c:f>
              <c:strCache>
                <c:ptCount val="1"/>
                <c:pt idx="0">
                  <c:v>ЕНВД</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Лист5!$B$4:$G$4</c:f>
              <c:numCache>
                <c:formatCode>General</c:formatCode>
                <c:ptCount val="6"/>
                <c:pt idx="0">
                  <c:v>6387</c:v>
                </c:pt>
                <c:pt idx="1">
                  <c:v>7414</c:v>
                </c:pt>
                <c:pt idx="2">
                  <c:v>7556</c:v>
                </c:pt>
                <c:pt idx="3">
                  <c:v>7697</c:v>
                </c:pt>
                <c:pt idx="4">
                  <c:v>8500</c:v>
                </c:pt>
                <c:pt idx="5">
                  <c:v>8057</c:v>
                </c:pt>
              </c:numCache>
            </c:numRef>
          </c:val>
          <c:extLst xmlns:c16r2="http://schemas.microsoft.com/office/drawing/2015/06/chart">
            <c:ext xmlns:c16="http://schemas.microsoft.com/office/drawing/2014/chart" uri="{C3380CC4-5D6E-409C-BE32-E72D297353CC}">
              <c16:uniqueId val="{00000002-F8C3-45C5-B351-CDA149B0E618}"/>
            </c:ext>
          </c:extLst>
        </c:ser>
        <c:ser>
          <c:idx val="3"/>
          <c:order val="3"/>
          <c:tx>
            <c:strRef>
              <c:f>Лист5!$A$5</c:f>
              <c:strCache>
                <c:ptCount val="1"/>
                <c:pt idx="0">
                  <c:v>ЕСХН</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Лист5!$B$5:$G$5</c:f>
              <c:numCache>
                <c:formatCode>General</c:formatCode>
                <c:ptCount val="6"/>
                <c:pt idx="0">
                  <c:v>155</c:v>
                </c:pt>
                <c:pt idx="1">
                  <c:v>293</c:v>
                </c:pt>
                <c:pt idx="2">
                  <c:v>128</c:v>
                </c:pt>
                <c:pt idx="3">
                  <c:v>183</c:v>
                </c:pt>
                <c:pt idx="4">
                  <c:v>153</c:v>
                </c:pt>
                <c:pt idx="5">
                  <c:v>182</c:v>
                </c:pt>
              </c:numCache>
            </c:numRef>
          </c:val>
          <c:extLst xmlns:c16r2="http://schemas.microsoft.com/office/drawing/2015/06/chart">
            <c:ext xmlns:c16="http://schemas.microsoft.com/office/drawing/2014/chart" uri="{C3380CC4-5D6E-409C-BE32-E72D297353CC}">
              <c16:uniqueId val="{00000003-F8C3-45C5-B351-CDA149B0E618}"/>
            </c:ext>
          </c:extLst>
        </c:ser>
        <c:ser>
          <c:idx val="4"/>
          <c:order val="4"/>
          <c:tx>
            <c:strRef>
              <c:f>Лист5!$A$6</c:f>
              <c:strCache>
                <c:ptCount val="1"/>
                <c:pt idx="0">
                  <c:v>Земельный налог</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Лист5!$B$6:$G$6</c:f>
              <c:numCache>
                <c:formatCode>General</c:formatCode>
                <c:ptCount val="6"/>
                <c:pt idx="0">
                  <c:v>1108</c:v>
                </c:pt>
                <c:pt idx="1">
                  <c:v>2336</c:v>
                </c:pt>
                <c:pt idx="2">
                  <c:v>5971</c:v>
                </c:pt>
                <c:pt idx="3">
                  <c:v>9365</c:v>
                </c:pt>
                <c:pt idx="4">
                  <c:v>9420</c:v>
                </c:pt>
                <c:pt idx="5">
                  <c:v>10606</c:v>
                </c:pt>
              </c:numCache>
            </c:numRef>
          </c:val>
          <c:extLst xmlns:c16r2="http://schemas.microsoft.com/office/drawing/2015/06/chart">
            <c:ext xmlns:c16="http://schemas.microsoft.com/office/drawing/2014/chart" uri="{C3380CC4-5D6E-409C-BE32-E72D297353CC}">
              <c16:uniqueId val="{00000004-F8C3-45C5-B351-CDA149B0E618}"/>
            </c:ext>
          </c:extLst>
        </c:ser>
        <c:ser>
          <c:idx val="5"/>
          <c:order val="5"/>
          <c:tx>
            <c:strRef>
              <c:f>Лист5!$A$7</c:f>
              <c:strCache>
                <c:ptCount val="1"/>
                <c:pt idx="0">
                  <c:v>Налог на имущество организаций</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Лист5!$B$7:$G$7</c:f>
              <c:numCache>
                <c:formatCode>General</c:formatCode>
                <c:ptCount val="6"/>
                <c:pt idx="0">
                  <c:v>26493</c:v>
                </c:pt>
              </c:numCache>
            </c:numRef>
          </c:val>
          <c:extLst xmlns:c16r2="http://schemas.microsoft.com/office/drawing/2015/06/chart">
            <c:ext xmlns:c16="http://schemas.microsoft.com/office/drawing/2014/chart" uri="{C3380CC4-5D6E-409C-BE32-E72D297353CC}">
              <c16:uniqueId val="{00000005-F8C3-45C5-B351-CDA149B0E618}"/>
            </c:ext>
          </c:extLst>
        </c:ser>
        <c:ser>
          <c:idx val="6"/>
          <c:order val="6"/>
          <c:tx>
            <c:strRef>
              <c:f>Лист5!$A$8</c:f>
              <c:strCache>
                <c:ptCount val="1"/>
                <c:pt idx="0">
                  <c:v>Налог на имущество физических лиц</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Лист5!$B$8:$G$8</c:f>
              <c:numCache>
                <c:formatCode>General</c:formatCode>
                <c:ptCount val="6"/>
                <c:pt idx="0">
                  <c:v>515</c:v>
                </c:pt>
                <c:pt idx="1">
                  <c:v>3853</c:v>
                </c:pt>
                <c:pt idx="2">
                  <c:v>4277</c:v>
                </c:pt>
                <c:pt idx="3">
                  <c:v>4700</c:v>
                </c:pt>
                <c:pt idx="4">
                  <c:v>4721</c:v>
                </c:pt>
                <c:pt idx="5">
                  <c:v>5454</c:v>
                </c:pt>
              </c:numCache>
            </c:numRef>
          </c:val>
          <c:extLst xmlns:c16r2="http://schemas.microsoft.com/office/drawing/2015/06/chart">
            <c:ext xmlns:c16="http://schemas.microsoft.com/office/drawing/2014/chart" uri="{C3380CC4-5D6E-409C-BE32-E72D297353CC}">
              <c16:uniqueId val="{00000006-F8C3-45C5-B351-CDA149B0E618}"/>
            </c:ext>
          </c:extLst>
        </c:ser>
        <c:ser>
          <c:idx val="7"/>
          <c:order val="7"/>
          <c:tx>
            <c:strRef>
              <c:f>Лист5!$A$9</c:f>
              <c:strCache>
                <c:ptCount val="1"/>
                <c:pt idx="0">
                  <c:v>НДФЛ</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Лист5!$B$9:$G$9</c:f>
              <c:numCache>
                <c:formatCode>General</c:formatCode>
                <c:ptCount val="6"/>
                <c:pt idx="0">
                  <c:v>49526</c:v>
                </c:pt>
                <c:pt idx="1">
                  <c:v>50305</c:v>
                </c:pt>
                <c:pt idx="2">
                  <c:v>78422</c:v>
                </c:pt>
                <c:pt idx="3">
                  <c:v>54473</c:v>
                </c:pt>
                <c:pt idx="4">
                  <c:v>54232</c:v>
                </c:pt>
                <c:pt idx="5">
                  <c:v>63290</c:v>
                </c:pt>
              </c:numCache>
            </c:numRef>
          </c:val>
          <c:extLst xmlns:c16r2="http://schemas.microsoft.com/office/drawing/2015/06/chart">
            <c:ext xmlns:c16="http://schemas.microsoft.com/office/drawing/2014/chart" uri="{C3380CC4-5D6E-409C-BE32-E72D297353CC}">
              <c16:uniqueId val="{00000007-F8C3-45C5-B351-CDA149B0E618}"/>
            </c:ext>
          </c:extLst>
        </c:ser>
        <c:ser>
          <c:idx val="8"/>
          <c:order val="8"/>
          <c:tx>
            <c:strRef>
              <c:f>Лист5!$A$10</c:f>
              <c:strCache>
                <c:ptCount val="1"/>
                <c:pt idx="0">
                  <c:v>Патент</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Лист5!$B$10:$G$10</c:f>
              <c:numCache>
                <c:formatCode>General</c:formatCode>
                <c:ptCount val="6"/>
                <c:pt idx="2">
                  <c:v>12</c:v>
                </c:pt>
                <c:pt idx="3">
                  <c:v>8</c:v>
                </c:pt>
                <c:pt idx="4">
                  <c:v>11</c:v>
                </c:pt>
                <c:pt idx="5">
                  <c:v>34</c:v>
                </c:pt>
              </c:numCache>
            </c:numRef>
          </c:val>
          <c:extLst xmlns:c16r2="http://schemas.microsoft.com/office/drawing/2015/06/chart">
            <c:ext xmlns:c16="http://schemas.microsoft.com/office/drawing/2014/chart" uri="{C3380CC4-5D6E-409C-BE32-E72D297353CC}">
              <c16:uniqueId val="{00000008-F8C3-45C5-B351-CDA149B0E618}"/>
            </c:ext>
          </c:extLst>
        </c:ser>
        <c:ser>
          <c:idx val="9"/>
          <c:order val="9"/>
          <c:tx>
            <c:strRef>
              <c:f>Лист5!$A$11</c:f>
              <c:strCache>
                <c:ptCount val="1"/>
                <c:pt idx="0">
                  <c:v>Прочие местные налоги</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Лист5!$B$11:$G$11</c:f>
              <c:numCache>
                <c:formatCode>General</c:formatCode>
                <c:ptCount val="6"/>
                <c:pt idx="0">
                  <c:v>57</c:v>
                </c:pt>
                <c:pt idx="1">
                  <c:v>47</c:v>
                </c:pt>
                <c:pt idx="2">
                  <c:v>54</c:v>
                </c:pt>
                <c:pt idx="3">
                  <c:v>60</c:v>
                </c:pt>
              </c:numCache>
            </c:numRef>
          </c:val>
          <c:extLst xmlns:c16r2="http://schemas.microsoft.com/office/drawing/2015/06/chart">
            <c:ext xmlns:c16="http://schemas.microsoft.com/office/drawing/2014/chart" uri="{C3380CC4-5D6E-409C-BE32-E72D297353CC}">
              <c16:uniqueId val="{00000009-F8C3-45C5-B351-CDA149B0E618}"/>
            </c:ext>
          </c:extLst>
        </c:ser>
        <c:ser>
          <c:idx val="10"/>
          <c:order val="10"/>
          <c:tx>
            <c:strRef>
              <c:f>Лист5!$A$12</c:f>
              <c:strCache>
                <c:ptCount val="1"/>
                <c:pt idx="0">
                  <c:v>Транспортный налог</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Лист5!$B$12:$G$12</c:f>
              <c:numCache>
                <c:formatCode>General</c:formatCode>
                <c:ptCount val="6"/>
                <c:pt idx="0">
                  <c:v>9678</c:v>
                </c:pt>
                <c:pt idx="1">
                  <c:v>18917</c:v>
                </c:pt>
                <c:pt idx="2">
                  <c:v>22035</c:v>
                </c:pt>
                <c:pt idx="3">
                  <c:v>20155</c:v>
                </c:pt>
                <c:pt idx="4">
                  <c:v>23256</c:v>
                </c:pt>
                <c:pt idx="5">
                  <c:v>23073</c:v>
                </c:pt>
              </c:numCache>
            </c:numRef>
          </c:val>
          <c:extLst xmlns:c16r2="http://schemas.microsoft.com/office/drawing/2015/06/chart">
            <c:ext xmlns:c16="http://schemas.microsoft.com/office/drawing/2014/chart" uri="{C3380CC4-5D6E-409C-BE32-E72D297353CC}">
              <c16:uniqueId val="{0000000A-F8C3-45C5-B351-CDA149B0E618}"/>
            </c:ext>
          </c:extLst>
        </c:ser>
        <c:shape val="box"/>
        <c:axId val="183780480"/>
        <c:axId val="183782016"/>
        <c:axId val="0"/>
      </c:bar3DChart>
      <c:catAx>
        <c:axId val="183780480"/>
        <c:scaling>
          <c:orientation val="minMax"/>
        </c:scaling>
        <c:axPos val="b"/>
        <c:numFmt formatCode="General" sourceLinked="0"/>
        <c:tickLblPos val="nextTo"/>
        <c:crossAx val="183782016"/>
        <c:crosses val="autoZero"/>
        <c:auto val="1"/>
        <c:lblAlgn val="ctr"/>
        <c:lblOffset val="100"/>
      </c:catAx>
      <c:valAx>
        <c:axId val="183782016"/>
        <c:scaling>
          <c:orientation val="minMax"/>
        </c:scaling>
        <c:axPos val="l"/>
        <c:majorGridlines/>
        <c:numFmt formatCode="General" sourceLinked="1"/>
        <c:tickLblPos val="nextTo"/>
        <c:crossAx val="183780480"/>
        <c:crosses val="autoZero"/>
        <c:crossBetween val="between"/>
      </c:valAx>
    </c:plotArea>
    <c:legend>
      <c:legendPos val="b"/>
      <c:layout>
        <c:manualLayout>
          <c:xMode val="edge"/>
          <c:yMode val="edge"/>
          <c:x val="1.1882906528575808E-2"/>
          <c:y val="0.69893458332371261"/>
          <c:w val="0.98424219495084486"/>
          <c:h val="0.27760500611910316"/>
        </c:manualLayout>
      </c:layout>
    </c:legend>
    <c:plotVisOnly val="1"/>
    <c:dispBlanksAs val="gap"/>
  </c:chart>
  <c:spPr>
    <a:ln>
      <a:noFill/>
    </a:ln>
  </c:sp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1083468117574281"/>
          <c:y val="4.1529721162803915E-2"/>
          <c:w val="0.86412350329443355"/>
          <c:h val="0.63640744143140615"/>
        </c:manualLayout>
      </c:layout>
      <c:bar3DChart>
        <c:barDir val="col"/>
        <c:grouping val="clustered"/>
        <c:ser>
          <c:idx val="0"/>
          <c:order val="0"/>
          <c:tx>
            <c:strRef>
              <c:f>Лист6!$A$2</c:f>
              <c:strCache>
                <c:ptCount val="1"/>
                <c:pt idx="0">
                  <c:v>% от ссуд</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Лист6!$B$2:$G$2</c:f>
            </c:numRef>
          </c:val>
          <c:extLst xmlns:c16r2="http://schemas.microsoft.com/office/drawing/2015/06/chart">
            <c:ext xmlns:c16="http://schemas.microsoft.com/office/drawing/2014/chart" uri="{C3380CC4-5D6E-409C-BE32-E72D297353CC}">
              <c16:uniqueId val="{00000000-DAFC-49DC-BDF0-1226EF40D192}"/>
            </c:ext>
          </c:extLst>
        </c:ser>
        <c:ser>
          <c:idx val="1"/>
          <c:order val="1"/>
          <c:tx>
            <c:strRef>
              <c:f>Лист6!$A$3</c:f>
              <c:strCache>
                <c:ptCount val="1"/>
                <c:pt idx="0">
                  <c:v>Аренда земли</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Лист6!$B$3:$G$3</c:f>
              <c:numCache>
                <c:formatCode>General</c:formatCode>
                <c:ptCount val="6"/>
                <c:pt idx="0">
                  <c:v>28845</c:v>
                </c:pt>
                <c:pt idx="1">
                  <c:v>30901</c:v>
                </c:pt>
                <c:pt idx="2">
                  <c:v>35706</c:v>
                </c:pt>
                <c:pt idx="3">
                  <c:v>37772</c:v>
                </c:pt>
                <c:pt idx="4">
                  <c:v>37378</c:v>
                </c:pt>
                <c:pt idx="5">
                  <c:v>44961</c:v>
                </c:pt>
              </c:numCache>
            </c:numRef>
          </c:val>
          <c:extLst xmlns:c16r2="http://schemas.microsoft.com/office/drawing/2015/06/chart">
            <c:ext xmlns:c16="http://schemas.microsoft.com/office/drawing/2014/chart" uri="{C3380CC4-5D6E-409C-BE32-E72D297353CC}">
              <c16:uniqueId val="{00000001-DAFC-49DC-BDF0-1226EF40D192}"/>
            </c:ext>
          </c:extLst>
        </c:ser>
        <c:ser>
          <c:idx val="2"/>
          <c:order val="2"/>
          <c:tx>
            <c:strRef>
              <c:f>Лист6!$A$4</c:f>
              <c:strCache>
                <c:ptCount val="1"/>
                <c:pt idx="0">
                  <c:v>Аренда имущества</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Лист6!$B$4:$G$4</c:f>
              <c:numCache>
                <c:formatCode>General</c:formatCode>
                <c:ptCount val="6"/>
                <c:pt idx="0">
                  <c:v>1272</c:v>
                </c:pt>
                <c:pt idx="1">
                  <c:v>733</c:v>
                </c:pt>
                <c:pt idx="2">
                  <c:v>1578</c:v>
                </c:pt>
                <c:pt idx="3">
                  <c:v>1910</c:v>
                </c:pt>
                <c:pt idx="4">
                  <c:v>1469</c:v>
                </c:pt>
                <c:pt idx="5">
                  <c:v>1652</c:v>
                </c:pt>
              </c:numCache>
            </c:numRef>
          </c:val>
          <c:extLst xmlns:c16r2="http://schemas.microsoft.com/office/drawing/2015/06/chart">
            <c:ext xmlns:c16="http://schemas.microsoft.com/office/drawing/2014/chart" uri="{C3380CC4-5D6E-409C-BE32-E72D297353CC}">
              <c16:uniqueId val="{00000002-DAFC-49DC-BDF0-1226EF40D192}"/>
            </c:ext>
          </c:extLst>
        </c:ser>
        <c:ser>
          <c:idx val="3"/>
          <c:order val="3"/>
          <c:tx>
            <c:strRef>
              <c:f>Лист6!$A$5</c:f>
              <c:strCache>
                <c:ptCount val="1"/>
                <c:pt idx="0">
                  <c:v>возврат остатков</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Лист6!$B$5:$G$5</c:f>
            </c:numRef>
          </c:val>
          <c:extLst xmlns:c16r2="http://schemas.microsoft.com/office/drawing/2015/06/chart">
            <c:ext xmlns:c16="http://schemas.microsoft.com/office/drawing/2014/chart" uri="{C3380CC4-5D6E-409C-BE32-E72D297353CC}">
              <c16:uniqueId val="{00000003-DAFC-49DC-BDF0-1226EF40D192}"/>
            </c:ext>
          </c:extLst>
        </c:ser>
        <c:ser>
          <c:idx val="4"/>
          <c:order val="4"/>
          <c:tx>
            <c:strRef>
              <c:f>Лист6!$A$6</c:f>
              <c:strCache>
                <c:ptCount val="1"/>
                <c:pt idx="0">
                  <c:v>Возмещене потерь с/х пр-ва</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Лист6!$B$6:$G$6</c:f>
            </c:numRef>
          </c:val>
          <c:extLst xmlns:c16r2="http://schemas.microsoft.com/office/drawing/2015/06/chart">
            <c:ext xmlns:c16="http://schemas.microsoft.com/office/drawing/2014/chart" uri="{C3380CC4-5D6E-409C-BE32-E72D297353CC}">
              <c16:uniqueId val="{00000004-DAFC-49DC-BDF0-1226EF40D192}"/>
            </c:ext>
          </c:extLst>
        </c:ser>
        <c:ser>
          <c:idx val="5"/>
          <c:order val="5"/>
          <c:tx>
            <c:strRef>
              <c:f>Лист6!$A$7</c:f>
              <c:strCache>
                <c:ptCount val="1"/>
                <c:pt idx="0">
                  <c:v>Доходы от продажи земли</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Лист6!$B$7:$G$7</c:f>
              <c:numCache>
                <c:formatCode>General</c:formatCode>
                <c:ptCount val="6"/>
                <c:pt idx="0">
                  <c:v>436</c:v>
                </c:pt>
                <c:pt idx="1">
                  <c:v>663</c:v>
                </c:pt>
                <c:pt idx="2">
                  <c:v>340</c:v>
                </c:pt>
                <c:pt idx="3">
                  <c:v>944</c:v>
                </c:pt>
                <c:pt idx="4">
                  <c:v>3569</c:v>
                </c:pt>
                <c:pt idx="5">
                  <c:v>2784</c:v>
                </c:pt>
              </c:numCache>
            </c:numRef>
          </c:val>
          <c:extLst xmlns:c16r2="http://schemas.microsoft.com/office/drawing/2015/06/chart">
            <c:ext xmlns:c16="http://schemas.microsoft.com/office/drawing/2014/chart" uri="{C3380CC4-5D6E-409C-BE32-E72D297353CC}">
              <c16:uniqueId val="{00000005-DAFC-49DC-BDF0-1226EF40D192}"/>
            </c:ext>
          </c:extLst>
        </c:ser>
        <c:ser>
          <c:idx val="6"/>
          <c:order val="6"/>
          <c:tx>
            <c:strRef>
              <c:f>Лист6!$A$8</c:f>
              <c:strCache>
                <c:ptCount val="1"/>
                <c:pt idx="0">
                  <c:v>компенсация затрат</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Лист6!$B$8:$G$8</c:f>
              <c:numCache>
                <c:formatCode>General</c:formatCode>
                <c:ptCount val="6"/>
                <c:pt idx="0">
                  <c:v>95</c:v>
                </c:pt>
                <c:pt idx="1">
                  <c:v>499</c:v>
                </c:pt>
                <c:pt idx="2">
                  <c:v>1593</c:v>
                </c:pt>
                <c:pt idx="3">
                  <c:v>477</c:v>
                </c:pt>
                <c:pt idx="4">
                  <c:v>580</c:v>
                </c:pt>
                <c:pt idx="5">
                  <c:v>996</c:v>
                </c:pt>
              </c:numCache>
            </c:numRef>
          </c:val>
          <c:extLst xmlns:c16r2="http://schemas.microsoft.com/office/drawing/2015/06/chart">
            <c:ext xmlns:c16="http://schemas.microsoft.com/office/drawing/2014/chart" uri="{C3380CC4-5D6E-409C-BE32-E72D297353CC}">
              <c16:uniqueId val="{00000006-DAFC-49DC-BDF0-1226EF40D192}"/>
            </c:ext>
          </c:extLst>
        </c:ser>
        <c:ser>
          <c:idx val="7"/>
          <c:order val="7"/>
          <c:tx>
            <c:strRef>
              <c:f>Лист6!$A$9</c:f>
              <c:strCache>
                <c:ptCount val="1"/>
                <c:pt idx="0">
                  <c:v>невыясненные</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Лист6!$B$9:$G$9</c:f>
              <c:numCache>
                <c:formatCode>General</c:formatCode>
                <c:ptCount val="6"/>
                <c:pt idx="0">
                  <c:v>-142</c:v>
                </c:pt>
                <c:pt idx="1">
                  <c:v>-81</c:v>
                </c:pt>
                <c:pt idx="2">
                  <c:v>-92</c:v>
                </c:pt>
                <c:pt idx="3">
                  <c:v>-52</c:v>
                </c:pt>
                <c:pt idx="4">
                  <c:v>3</c:v>
                </c:pt>
                <c:pt idx="5">
                  <c:v>-7</c:v>
                </c:pt>
              </c:numCache>
            </c:numRef>
          </c:val>
          <c:extLst xmlns:c16r2="http://schemas.microsoft.com/office/drawing/2015/06/chart">
            <c:ext xmlns:c16="http://schemas.microsoft.com/office/drawing/2014/chart" uri="{C3380CC4-5D6E-409C-BE32-E72D297353CC}">
              <c16:uniqueId val="{00000007-DAFC-49DC-BDF0-1226EF40D192}"/>
            </c:ext>
          </c:extLst>
        </c:ser>
        <c:ser>
          <c:idx val="8"/>
          <c:order val="8"/>
          <c:tx>
            <c:strRef>
              <c:f>Лист6!$A$10</c:f>
              <c:strCache>
                <c:ptCount val="1"/>
                <c:pt idx="0">
                  <c:v>Плата за негативное воздействие</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Лист6!$B$10:$G$10</c:f>
              <c:numCache>
                <c:formatCode>General</c:formatCode>
                <c:ptCount val="6"/>
                <c:pt idx="0">
                  <c:v>781</c:v>
                </c:pt>
                <c:pt idx="1">
                  <c:v>573</c:v>
                </c:pt>
                <c:pt idx="2">
                  <c:v>949</c:v>
                </c:pt>
                <c:pt idx="3">
                  <c:v>798</c:v>
                </c:pt>
                <c:pt idx="4">
                  <c:v>547</c:v>
                </c:pt>
                <c:pt idx="5">
                  <c:v>954</c:v>
                </c:pt>
              </c:numCache>
            </c:numRef>
          </c:val>
          <c:extLst xmlns:c16r2="http://schemas.microsoft.com/office/drawing/2015/06/chart">
            <c:ext xmlns:c16="http://schemas.microsoft.com/office/drawing/2014/chart" uri="{C3380CC4-5D6E-409C-BE32-E72D297353CC}">
              <c16:uniqueId val="{00000008-DAFC-49DC-BDF0-1226EF40D192}"/>
            </c:ext>
          </c:extLst>
        </c:ser>
        <c:ser>
          <c:idx val="9"/>
          <c:order val="9"/>
          <c:tx>
            <c:strRef>
              <c:f>Лист6!$A$11</c:f>
              <c:strCache>
                <c:ptCount val="1"/>
                <c:pt idx="0">
                  <c:v>Продажа имущества</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Лист6!$B$11:$G$11</c:f>
              <c:numCache>
                <c:formatCode>General</c:formatCode>
                <c:ptCount val="6"/>
                <c:pt idx="0">
                  <c:v>122</c:v>
                </c:pt>
                <c:pt idx="1">
                  <c:v>202</c:v>
                </c:pt>
                <c:pt idx="2">
                  <c:v>456</c:v>
                </c:pt>
                <c:pt idx="3">
                  <c:v>18506</c:v>
                </c:pt>
                <c:pt idx="4">
                  <c:v>1468</c:v>
                </c:pt>
                <c:pt idx="5">
                  <c:v>204</c:v>
                </c:pt>
              </c:numCache>
            </c:numRef>
          </c:val>
          <c:extLst xmlns:c16r2="http://schemas.microsoft.com/office/drawing/2015/06/chart">
            <c:ext xmlns:c16="http://schemas.microsoft.com/office/drawing/2014/chart" uri="{C3380CC4-5D6E-409C-BE32-E72D297353CC}">
              <c16:uniqueId val="{00000009-DAFC-49DC-BDF0-1226EF40D192}"/>
            </c:ext>
          </c:extLst>
        </c:ser>
        <c:ser>
          <c:idx val="10"/>
          <c:order val="10"/>
          <c:tx>
            <c:strRef>
              <c:f>Лист6!$A$12</c:f>
              <c:strCache>
                <c:ptCount val="1"/>
                <c:pt idx="0">
                  <c:v>Прочие неналоговые доходы</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Лист6!$B$12:$G$12</c:f>
              <c:numCache>
                <c:formatCode>General</c:formatCode>
                <c:ptCount val="6"/>
                <c:pt idx="0">
                  <c:v>3</c:v>
                </c:pt>
                <c:pt idx="1">
                  <c:v>1325</c:v>
                </c:pt>
                <c:pt idx="2">
                  <c:v>52</c:v>
                </c:pt>
                <c:pt idx="3">
                  <c:v>62</c:v>
                </c:pt>
                <c:pt idx="4">
                  <c:v>49</c:v>
                </c:pt>
                <c:pt idx="5">
                  <c:v>23</c:v>
                </c:pt>
              </c:numCache>
            </c:numRef>
          </c:val>
          <c:extLst xmlns:c16r2="http://schemas.microsoft.com/office/drawing/2015/06/chart">
            <c:ext xmlns:c16="http://schemas.microsoft.com/office/drawing/2014/chart" uri="{C3380CC4-5D6E-409C-BE32-E72D297353CC}">
              <c16:uniqueId val="{0000000A-DAFC-49DC-BDF0-1226EF40D192}"/>
            </c:ext>
          </c:extLst>
        </c:ser>
        <c:ser>
          <c:idx val="11"/>
          <c:order val="11"/>
          <c:tx>
            <c:strRef>
              <c:f>Лист6!$A$13</c:f>
              <c:strCache>
                <c:ptCount val="1"/>
                <c:pt idx="0">
                  <c:v>средства самообложения</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Лист6!$B$13:$G$13</c:f>
              <c:numCache>
                <c:formatCode>General</c:formatCode>
                <c:ptCount val="6"/>
                <c:pt idx="2">
                  <c:v>143</c:v>
                </c:pt>
                <c:pt idx="3">
                  <c:v>789</c:v>
                </c:pt>
                <c:pt idx="4">
                  <c:v>191</c:v>
                </c:pt>
                <c:pt idx="5">
                  <c:v>350</c:v>
                </c:pt>
              </c:numCache>
            </c:numRef>
          </c:val>
          <c:extLst xmlns:c16r2="http://schemas.microsoft.com/office/drawing/2015/06/chart">
            <c:ext xmlns:c16="http://schemas.microsoft.com/office/drawing/2014/chart" uri="{C3380CC4-5D6E-409C-BE32-E72D297353CC}">
              <c16:uniqueId val="{0000000B-DAFC-49DC-BDF0-1226EF40D192}"/>
            </c:ext>
          </c:extLst>
        </c:ser>
        <c:ser>
          <c:idx val="12"/>
          <c:order val="12"/>
          <c:tx>
            <c:strRef>
              <c:f>Лист6!$A$14</c:f>
              <c:strCache>
                <c:ptCount val="1"/>
                <c:pt idx="0">
                  <c:v>Часть прибыли МУП</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Лист6!$B$14:$G$14</c:f>
              <c:numCache>
                <c:formatCode>General</c:formatCode>
                <c:ptCount val="6"/>
                <c:pt idx="2">
                  <c:v>1</c:v>
                </c:pt>
                <c:pt idx="3">
                  <c:v>42</c:v>
                </c:pt>
              </c:numCache>
            </c:numRef>
          </c:val>
          <c:extLst xmlns:c16r2="http://schemas.microsoft.com/office/drawing/2015/06/chart">
            <c:ext xmlns:c16="http://schemas.microsoft.com/office/drawing/2014/chart" uri="{C3380CC4-5D6E-409C-BE32-E72D297353CC}">
              <c16:uniqueId val="{0000000C-DAFC-49DC-BDF0-1226EF40D192}"/>
            </c:ext>
          </c:extLst>
        </c:ser>
        <c:ser>
          <c:idx val="13"/>
          <c:order val="13"/>
          <c:tx>
            <c:strRef>
              <c:f>Лист6!$A$15</c:f>
              <c:strCache>
                <c:ptCount val="1"/>
                <c:pt idx="0">
                  <c:v>штрафы</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Лист6!$B$15:$G$15</c:f>
              <c:numCache>
                <c:formatCode>General</c:formatCode>
                <c:ptCount val="6"/>
                <c:pt idx="0">
                  <c:v>2111</c:v>
                </c:pt>
                <c:pt idx="1">
                  <c:v>1375</c:v>
                </c:pt>
                <c:pt idx="2">
                  <c:v>1714</c:v>
                </c:pt>
                <c:pt idx="3">
                  <c:v>2116</c:v>
                </c:pt>
                <c:pt idx="4">
                  <c:v>1496</c:v>
                </c:pt>
                <c:pt idx="5">
                  <c:v>1973</c:v>
                </c:pt>
              </c:numCache>
            </c:numRef>
          </c:val>
          <c:extLst xmlns:c16r2="http://schemas.microsoft.com/office/drawing/2015/06/chart">
            <c:ext xmlns:c16="http://schemas.microsoft.com/office/drawing/2014/chart" uri="{C3380CC4-5D6E-409C-BE32-E72D297353CC}">
              <c16:uniqueId val="{0000000D-DAFC-49DC-BDF0-1226EF40D192}"/>
            </c:ext>
          </c:extLst>
        </c:ser>
        <c:shape val="box"/>
        <c:axId val="183853824"/>
        <c:axId val="183855360"/>
        <c:axId val="0"/>
      </c:bar3DChart>
      <c:catAx>
        <c:axId val="183853824"/>
        <c:scaling>
          <c:orientation val="minMax"/>
        </c:scaling>
        <c:axPos val="b"/>
        <c:numFmt formatCode="General" sourceLinked="0"/>
        <c:tickLblPos val="nextTo"/>
        <c:crossAx val="183855360"/>
        <c:crosses val="autoZero"/>
        <c:auto val="1"/>
        <c:lblAlgn val="ctr"/>
        <c:lblOffset val="100"/>
      </c:catAx>
      <c:valAx>
        <c:axId val="183855360"/>
        <c:scaling>
          <c:orientation val="minMax"/>
        </c:scaling>
        <c:axPos val="l"/>
        <c:majorGridlines>
          <c:spPr>
            <a:ln w="0">
              <a:solidFill>
                <a:schemeClr val="bg1"/>
              </a:solidFill>
            </a:ln>
          </c:spPr>
        </c:majorGridlines>
        <c:numFmt formatCode="General" sourceLinked="1"/>
        <c:tickLblPos val="nextTo"/>
        <c:crossAx val="183853824"/>
        <c:crosses val="autoZero"/>
        <c:crossBetween val="between"/>
      </c:valAx>
    </c:plotArea>
    <c:legend>
      <c:legendPos val="b"/>
      <c:layout>
        <c:manualLayout>
          <c:xMode val="edge"/>
          <c:yMode val="edge"/>
          <c:x val="1.8959181840686581E-2"/>
          <c:y val="0.69702348045348872"/>
          <c:w val="0.95525187101081765"/>
          <c:h val="0.28053311624298605"/>
        </c:manualLayout>
      </c:layout>
    </c:legend>
    <c:plotVisOnly val="1"/>
    <c:dispBlanksAs val="gap"/>
  </c:chart>
  <c:spPr>
    <a:ln>
      <a:noFill/>
    </a:ln>
  </c:sp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Лист1!$A$34</c:f>
              <c:strCache>
                <c:ptCount val="1"/>
                <c:pt idx="0">
                  <c:v>дотации</c:v>
                </c:pt>
              </c:strCache>
            </c:strRef>
          </c:tx>
          <c:spPr>
            <a:solidFill>
              <a:schemeClr val="accent1"/>
            </a:solidFill>
            <a:ln>
              <a:noFill/>
            </a:ln>
            <a:effectLst/>
            <a:sp3d/>
          </c:spPr>
          <c:cat>
            <c:strRef>
              <c:f>Лист1!$B$33:$G$33</c:f>
              <c:strCache>
                <c:ptCount val="6"/>
                <c:pt idx="0">
                  <c:v>2011 год</c:v>
                </c:pt>
                <c:pt idx="1">
                  <c:v>2012 год</c:v>
                </c:pt>
                <c:pt idx="2">
                  <c:v>2013 год</c:v>
                </c:pt>
                <c:pt idx="3">
                  <c:v>2014 год</c:v>
                </c:pt>
                <c:pt idx="4">
                  <c:v>2015 год</c:v>
                </c:pt>
                <c:pt idx="5">
                  <c:v>2016 год</c:v>
                </c:pt>
              </c:strCache>
            </c:strRef>
          </c:cat>
          <c:val>
            <c:numRef>
              <c:f>Лист1!$B$34:$G$34</c:f>
              <c:numCache>
                <c:formatCode>0.00%</c:formatCode>
                <c:ptCount val="6"/>
                <c:pt idx="0">
                  <c:v>0.38700000000000445</c:v>
                </c:pt>
                <c:pt idx="1">
                  <c:v>0.30200000000000032</c:v>
                </c:pt>
                <c:pt idx="2">
                  <c:v>0.31100000000000338</c:v>
                </c:pt>
                <c:pt idx="3">
                  <c:v>0.35000000000000031</c:v>
                </c:pt>
                <c:pt idx="4">
                  <c:v>0.31100000000000338</c:v>
                </c:pt>
                <c:pt idx="5">
                  <c:v>0.31000000000000238</c:v>
                </c:pt>
              </c:numCache>
            </c:numRef>
          </c:val>
          <c:extLst xmlns:c16r2="http://schemas.microsoft.com/office/drawing/2015/06/chart">
            <c:ext xmlns:c16="http://schemas.microsoft.com/office/drawing/2014/chart" uri="{C3380CC4-5D6E-409C-BE32-E72D297353CC}">
              <c16:uniqueId val="{00000000-12A9-4738-AF19-35B6383AAA0A}"/>
            </c:ext>
          </c:extLst>
        </c:ser>
        <c:ser>
          <c:idx val="1"/>
          <c:order val="1"/>
          <c:tx>
            <c:strRef>
              <c:f>Лист1!$A$35</c:f>
              <c:strCache>
                <c:ptCount val="1"/>
                <c:pt idx="0">
                  <c:v>субвенции</c:v>
                </c:pt>
              </c:strCache>
            </c:strRef>
          </c:tx>
          <c:spPr>
            <a:solidFill>
              <a:schemeClr val="accent2"/>
            </a:solidFill>
            <a:ln>
              <a:noFill/>
            </a:ln>
            <a:effectLst/>
            <a:sp3d/>
          </c:spPr>
          <c:cat>
            <c:strRef>
              <c:f>Лист1!$B$33:$G$33</c:f>
              <c:strCache>
                <c:ptCount val="6"/>
                <c:pt idx="0">
                  <c:v>2011 год</c:v>
                </c:pt>
                <c:pt idx="1">
                  <c:v>2012 год</c:v>
                </c:pt>
                <c:pt idx="2">
                  <c:v>2013 год</c:v>
                </c:pt>
                <c:pt idx="3">
                  <c:v>2014 год</c:v>
                </c:pt>
                <c:pt idx="4">
                  <c:v>2015 год</c:v>
                </c:pt>
                <c:pt idx="5">
                  <c:v>2016 год</c:v>
                </c:pt>
              </c:strCache>
            </c:strRef>
          </c:cat>
          <c:val>
            <c:numRef>
              <c:f>Лист1!$B$35:$G$35</c:f>
              <c:numCache>
                <c:formatCode>0.00%</c:formatCode>
                <c:ptCount val="6"/>
                <c:pt idx="0">
                  <c:v>0.47800000000000031</c:v>
                </c:pt>
                <c:pt idx="1">
                  <c:v>0.47400000000000031</c:v>
                </c:pt>
                <c:pt idx="2">
                  <c:v>0.54700000000000004</c:v>
                </c:pt>
                <c:pt idx="3">
                  <c:v>0.56499999999999995</c:v>
                </c:pt>
                <c:pt idx="4">
                  <c:v>0.60400000000000065</c:v>
                </c:pt>
                <c:pt idx="5">
                  <c:v>0.62500000000000799</c:v>
                </c:pt>
              </c:numCache>
            </c:numRef>
          </c:val>
          <c:extLst xmlns:c16r2="http://schemas.microsoft.com/office/drawing/2015/06/chart">
            <c:ext xmlns:c16="http://schemas.microsoft.com/office/drawing/2014/chart" uri="{C3380CC4-5D6E-409C-BE32-E72D297353CC}">
              <c16:uniqueId val="{00000001-12A9-4738-AF19-35B6383AAA0A}"/>
            </c:ext>
          </c:extLst>
        </c:ser>
        <c:ser>
          <c:idx val="2"/>
          <c:order val="2"/>
          <c:tx>
            <c:strRef>
              <c:f>Лист1!$A$36</c:f>
              <c:strCache>
                <c:ptCount val="1"/>
                <c:pt idx="0">
                  <c:v>субсидии</c:v>
                </c:pt>
              </c:strCache>
            </c:strRef>
          </c:tx>
          <c:spPr>
            <a:solidFill>
              <a:schemeClr val="accent3"/>
            </a:solidFill>
            <a:ln>
              <a:noFill/>
            </a:ln>
            <a:effectLst/>
            <a:sp3d/>
          </c:spPr>
          <c:cat>
            <c:strRef>
              <c:f>Лист1!$B$33:$G$33</c:f>
              <c:strCache>
                <c:ptCount val="6"/>
                <c:pt idx="0">
                  <c:v>2011 год</c:v>
                </c:pt>
                <c:pt idx="1">
                  <c:v>2012 год</c:v>
                </c:pt>
                <c:pt idx="2">
                  <c:v>2013 год</c:v>
                </c:pt>
                <c:pt idx="3">
                  <c:v>2014 год</c:v>
                </c:pt>
                <c:pt idx="4">
                  <c:v>2015 год</c:v>
                </c:pt>
                <c:pt idx="5">
                  <c:v>2016 год</c:v>
                </c:pt>
              </c:strCache>
            </c:strRef>
          </c:cat>
          <c:val>
            <c:numRef>
              <c:f>Лист1!$B$36:$G$36</c:f>
              <c:numCache>
                <c:formatCode>0.00%</c:formatCode>
                <c:ptCount val="6"/>
                <c:pt idx="0">
                  <c:v>7.8000000000000014E-2</c:v>
                </c:pt>
                <c:pt idx="1">
                  <c:v>0.16700000000000001</c:v>
                </c:pt>
                <c:pt idx="2">
                  <c:v>5.7000000000000023E-2</c:v>
                </c:pt>
                <c:pt idx="3">
                  <c:v>7.9000000000000514E-2</c:v>
                </c:pt>
                <c:pt idx="4">
                  <c:v>8.6000000000000021E-2</c:v>
                </c:pt>
                <c:pt idx="5">
                  <c:v>6.8000000000000019E-2</c:v>
                </c:pt>
              </c:numCache>
            </c:numRef>
          </c:val>
          <c:extLst xmlns:c16r2="http://schemas.microsoft.com/office/drawing/2015/06/chart">
            <c:ext xmlns:c16="http://schemas.microsoft.com/office/drawing/2014/chart" uri="{C3380CC4-5D6E-409C-BE32-E72D297353CC}">
              <c16:uniqueId val="{00000002-12A9-4738-AF19-35B6383AAA0A}"/>
            </c:ext>
          </c:extLst>
        </c:ser>
        <c:ser>
          <c:idx val="3"/>
          <c:order val="3"/>
          <c:tx>
            <c:strRef>
              <c:f>Лист1!$A$37</c:f>
              <c:strCache>
                <c:ptCount val="1"/>
                <c:pt idx="0">
                  <c:v>доходы от возврата</c:v>
                </c:pt>
              </c:strCache>
            </c:strRef>
          </c:tx>
          <c:spPr>
            <a:solidFill>
              <a:schemeClr val="accent4"/>
            </a:solidFill>
            <a:ln>
              <a:noFill/>
            </a:ln>
            <a:effectLst/>
            <a:sp3d/>
          </c:spPr>
          <c:cat>
            <c:strRef>
              <c:f>Лист1!$B$33:$G$33</c:f>
              <c:strCache>
                <c:ptCount val="6"/>
                <c:pt idx="0">
                  <c:v>2011 год</c:v>
                </c:pt>
                <c:pt idx="1">
                  <c:v>2012 год</c:v>
                </c:pt>
                <c:pt idx="2">
                  <c:v>2013 год</c:v>
                </c:pt>
                <c:pt idx="3">
                  <c:v>2014 год</c:v>
                </c:pt>
                <c:pt idx="4">
                  <c:v>2015 год</c:v>
                </c:pt>
                <c:pt idx="5">
                  <c:v>2016 год</c:v>
                </c:pt>
              </c:strCache>
            </c:strRef>
          </c:cat>
          <c:val>
            <c:numRef>
              <c:f>Лист1!$B$37:$G$37</c:f>
              <c:numCache>
                <c:formatCode>General</c:formatCode>
                <c:ptCount val="6"/>
                <c:pt idx="0">
                  <c:v>0</c:v>
                </c:pt>
                <c:pt idx="1">
                  <c:v>0</c:v>
                </c:pt>
                <c:pt idx="2" formatCode="0.00%">
                  <c:v>3.0000000000000092E-3</c:v>
                </c:pt>
                <c:pt idx="3" formatCode="0.00%">
                  <c:v>1.2E-2</c:v>
                </c:pt>
                <c:pt idx="4">
                  <c:v>0</c:v>
                </c:pt>
                <c:pt idx="5">
                  <c:v>0</c:v>
                </c:pt>
              </c:numCache>
            </c:numRef>
          </c:val>
          <c:extLst xmlns:c16r2="http://schemas.microsoft.com/office/drawing/2015/06/chart">
            <c:ext xmlns:c16="http://schemas.microsoft.com/office/drawing/2014/chart" uri="{C3380CC4-5D6E-409C-BE32-E72D297353CC}">
              <c16:uniqueId val="{00000003-12A9-4738-AF19-35B6383AAA0A}"/>
            </c:ext>
          </c:extLst>
        </c:ser>
        <c:ser>
          <c:idx val="4"/>
          <c:order val="4"/>
          <c:tx>
            <c:strRef>
              <c:f>Лист1!$A$38</c:f>
              <c:strCache>
                <c:ptCount val="1"/>
                <c:pt idx="0">
                  <c:v>прочие трансферты</c:v>
                </c:pt>
              </c:strCache>
            </c:strRef>
          </c:tx>
          <c:spPr>
            <a:solidFill>
              <a:schemeClr val="accent5"/>
            </a:solidFill>
            <a:ln>
              <a:noFill/>
            </a:ln>
            <a:effectLst/>
            <a:sp3d/>
          </c:spPr>
          <c:cat>
            <c:strRef>
              <c:f>Лист1!$B$33:$G$33</c:f>
              <c:strCache>
                <c:ptCount val="6"/>
                <c:pt idx="0">
                  <c:v>2011 год</c:v>
                </c:pt>
                <c:pt idx="1">
                  <c:v>2012 год</c:v>
                </c:pt>
                <c:pt idx="2">
                  <c:v>2013 год</c:v>
                </c:pt>
                <c:pt idx="3">
                  <c:v>2014 год</c:v>
                </c:pt>
                <c:pt idx="4">
                  <c:v>2015 год</c:v>
                </c:pt>
                <c:pt idx="5">
                  <c:v>2016 год</c:v>
                </c:pt>
              </c:strCache>
            </c:strRef>
          </c:cat>
          <c:val>
            <c:numRef>
              <c:f>Лист1!$B$38:$G$38</c:f>
              <c:numCache>
                <c:formatCode>0.00%</c:formatCode>
                <c:ptCount val="6"/>
                <c:pt idx="0">
                  <c:v>7.0999999999999994E-2</c:v>
                </c:pt>
                <c:pt idx="1">
                  <c:v>6.2000000000000034E-2</c:v>
                </c:pt>
                <c:pt idx="2">
                  <c:v>0.10500000000000002</c:v>
                </c:pt>
                <c:pt idx="3">
                  <c:v>1.0000000000000005E-2</c:v>
                </c:pt>
                <c:pt idx="4">
                  <c:v>2.0000000000000052E-3</c:v>
                </c:pt>
                <c:pt idx="5">
                  <c:v>1.0000000000000041E-3</c:v>
                </c:pt>
              </c:numCache>
            </c:numRef>
          </c:val>
          <c:extLst xmlns:c16r2="http://schemas.microsoft.com/office/drawing/2015/06/chart">
            <c:ext xmlns:c16="http://schemas.microsoft.com/office/drawing/2014/chart" uri="{C3380CC4-5D6E-409C-BE32-E72D297353CC}">
              <c16:uniqueId val="{00000004-12A9-4738-AF19-35B6383AAA0A}"/>
            </c:ext>
          </c:extLst>
        </c:ser>
        <c:ser>
          <c:idx val="5"/>
          <c:order val="5"/>
          <c:tx>
            <c:strRef>
              <c:f>Лист1!$A$39</c:f>
              <c:strCache>
                <c:ptCount val="1"/>
                <c:pt idx="0">
                  <c:v>возврат остатков</c:v>
                </c:pt>
              </c:strCache>
            </c:strRef>
          </c:tx>
          <c:spPr>
            <a:solidFill>
              <a:schemeClr val="accent6"/>
            </a:solidFill>
            <a:ln>
              <a:noFill/>
            </a:ln>
            <a:effectLst/>
            <a:sp3d/>
          </c:spPr>
          <c:cat>
            <c:strRef>
              <c:f>Лист1!$B$33:$G$33</c:f>
              <c:strCache>
                <c:ptCount val="6"/>
                <c:pt idx="0">
                  <c:v>2011 год</c:v>
                </c:pt>
                <c:pt idx="1">
                  <c:v>2012 год</c:v>
                </c:pt>
                <c:pt idx="2">
                  <c:v>2013 год</c:v>
                </c:pt>
                <c:pt idx="3">
                  <c:v>2014 год</c:v>
                </c:pt>
                <c:pt idx="4">
                  <c:v>2015 год</c:v>
                </c:pt>
                <c:pt idx="5">
                  <c:v>2016 год</c:v>
                </c:pt>
              </c:strCache>
            </c:strRef>
          </c:cat>
          <c:val>
            <c:numRef>
              <c:f>Лист1!$B$39:$G$39</c:f>
              <c:numCache>
                <c:formatCode>0.00%</c:formatCode>
                <c:ptCount val="6"/>
                <c:pt idx="0">
                  <c:v>-1.4E-2</c:v>
                </c:pt>
                <c:pt idx="1">
                  <c:v>-5.0000000000000114E-3</c:v>
                </c:pt>
                <c:pt idx="2">
                  <c:v>-2.1999999999999999E-2</c:v>
                </c:pt>
                <c:pt idx="3">
                  <c:v>-1.6000000000000021E-2</c:v>
                </c:pt>
                <c:pt idx="4">
                  <c:v>-3.0000000000000092E-3</c:v>
                </c:pt>
                <c:pt idx="5">
                  <c:v>-4.0000000000000114E-3</c:v>
                </c:pt>
              </c:numCache>
            </c:numRef>
          </c:val>
          <c:extLst xmlns:c16r2="http://schemas.microsoft.com/office/drawing/2015/06/chart">
            <c:ext xmlns:c16="http://schemas.microsoft.com/office/drawing/2014/chart" uri="{C3380CC4-5D6E-409C-BE32-E72D297353CC}">
              <c16:uniqueId val="{00000005-12A9-4738-AF19-35B6383AAA0A}"/>
            </c:ext>
          </c:extLst>
        </c:ser>
        <c:shape val="box"/>
        <c:axId val="183905280"/>
        <c:axId val="183923456"/>
        <c:axId val="0"/>
      </c:bar3DChart>
      <c:catAx>
        <c:axId val="18390528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923456"/>
        <c:crosses val="autoZero"/>
        <c:auto val="1"/>
        <c:lblAlgn val="ctr"/>
        <c:lblOffset val="100"/>
      </c:catAx>
      <c:valAx>
        <c:axId val="183923456"/>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9052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[БюджетБарда.xlsx]Лист1!$A$19</c:f>
              <c:strCache>
                <c:ptCount val="1"/>
                <c:pt idx="0">
                  <c:v>Жилищно-коммунальное хозяйство</c:v>
                </c:pt>
              </c:strCache>
            </c:strRef>
          </c:tx>
          <c:dLbls>
            <c:dLbl>
              <c:idx val="3"/>
              <c:layout>
                <c:manualLayout>
                  <c:x val="0"/>
                  <c:y val="9.950248756218974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BE6-4D68-ACED-AE7C721D4F4F}"/>
                </c:ext>
              </c:extLst>
            </c:dLbl>
            <c:dLbl>
              <c:idx val="4"/>
              <c:layout>
                <c:manualLayout>
                  <c:x val="1.7361111111111373E-3"/>
                  <c:y val="9.950248756218974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BE6-4D68-ACED-AE7C721D4F4F}"/>
                </c:ext>
              </c:extLst>
            </c:dLbl>
            <c:dLbl>
              <c:idx val="5"/>
              <c:layout>
                <c:manualLayout>
                  <c:x val="-3.4722222222222242E-3"/>
                  <c:y val="9.950248756218974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BE6-4D68-ACED-AE7C721D4F4F}"/>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[БюджетБарда.xlsx]Лист1!$C$19,[БюджетБарда.xlsx]Лист1!$E$19,[БюджетБарда.xlsx]Лист1!$G$19,[БюджетБарда.xlsx]Лист1!$I$19,[БюджетБарда.xlsx]Лист1!$K$19,[БюджетБарда.xlsx]Лист1!$M$19</c:f>
              <c:numCache>
                <c:formatCode>0.0%</c:formatCode>
                <c:ptCount val="6"/>
                <c:pt idx="0">
                  <c:v>2.1669661913959051E-2</c:v>
                </c:pt>
                <c:pt idx="1">
                  <c:v>5.0805280173615713E-2</c:v>
                </c:pt>
                <c:pt idx="2">
                  <c:v>4.1343981433114074E-2</c:v>
                </c:pt>
                <c:pt idx="3">
                  <c:v>5.0928262575591965E-2</c:v>
                </c:pt>
                <c:pt idx="4">
                  <c:v>3.3864386827149172E-2</c:v>
                </c:pt>
                <c:pt idx="5">
                  <c:v>2.1803258986526217E-2</c:v>
                </c:pt>
              </c:numCache>
            </c:numRef>
          </c:val>
          <c:extLst xmlns:c16r2="http://schemas.microsoft.com/office/drawing/2015/06/chart">
            <c:ext xmlns:c16="http://schemas.microsoft.com/office/drawing/2014/chart" uri="{C3380CC4-5D6E-409C-BE32-E72D297353CC}">
              <c16:uniqueId val="{00000003-DBE6-4D68-ACED-AE7C721D4F4F}"/>
            </c:ext>
          </c:extLst>
        </c:ser>
        <c:ser>
          <c:idx val="1"/>
          <c:order val="1"/>
          <c:tx>
            <c:strRef>
              <c:f>[БюджетБарда.xlsx]Лист1!$A$20</c:f>
              <c:strCache>
                <c:ptCount val="1"/>
                <c:pt idx="0">
                  <c:v>Здравоохранение</c:v>
                </c:pt>
              </c:strCache>
            </c:strRef>
          </c:tx>
          <c:dLbls>
            <c:dLbl>
              <c:idx val="3"/>
              <c:layout>
                <c:manualLayout>
                  <c:x val="0"/>
                  <c:y val="1.194029850746289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BE6-4D68-ACED-AE7C721D4F4F}"/>
                </c:ext>
              </c:extLst>
            </c:dLbl>
            <c:dLbl>
              <c:idx val="4"/>
              <c:layout>
                <c:manualLayout>
                  <c:x val="3.4722222222222242E-3"/>
                  <c:y val="5.9701492537314639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BE6-4D68-ACED-AE7C721D4F4F}"/>
                </c:ext>
              </c:extLst>
            </c:dLbl>
            <c:dLbl>
              <c:idx val="5"/>
              <c:layout>
                <c:manualLayout>
                  <c:x val="5.2083333333334536E-3"/>
                  <c:y val="7.960199004975212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BE6-4D68-ACED-AE7C721D4F4F}"/>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[БюджетБарда.xlsx]Лист1!$C$20,[БюджетБарда.xlsx]Лист1!$E$20,[БюджетБарда.xlsx]Лист1!$G$20,[БюджетБарда.xlsx]Лист1!$I$20,[БюджетБарда.xlsx]Лист1!$K$20,[БюджетБарда.xlsx]Лист1!$M$20</c:f>
              <c:numCache>
                <c:formatCode>0.0%</c:formatCode>
                <c:ptCount val="6"/>
                <c:pt idx="0">
                  <c:v>4.3656082216541804E-2</c:v>
                </c:pt>
                <c:pt idx="1">
                  <c:v>4.1561768310610495E-2</c:v>
                </c:pt>
                <c:pt idx="2">
                  <c:v>2.8239245184274807E-2</c:v>
                </c:pt>
                <c:pt idx="3">
                  <c:v>9.7583619287960137E-5</c:v>
                </c:pt>
                <c:pt idx="4">
                  <c:v>0</c:v>
                </c:pt>
                <c:pt idx="5">
                  <c:v>0</c:v>
                </c:pt>
              </c:numCache>
            </c:numRef>
          </c:val>
          <c:extLst xmlns:c16r2="http://schemas.microsoft.com/office/drawing/2015/06/chart">
            <c:ext xmlns:c16="http://schemas.microsoft.com/office/drawing/2014/chart" uri="{C3380CC4-5D6E-409C-BE32-E72D297353CC}">
              <c16:uniqueId val="{00000007-DBE6-4D68-ACED-AE7C721D4F4F}"/>
            </c:ext>
          </c:extLst>
        </c:ser>
        <c:ser>
          <c:idx val="2"/>
          <c:order val="2"/>
          <c:tx>
            <c:strRef>
              <c:f>[БюджетБарда.xlsx]Лист1!$A$21</c:f>
              <c:strCache>
                <c:ptCount val="1"/>
                <c:pt idx="0">
                  <c:v>Культура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[БюджетБарда.xlsx]Лист1!$C$21,[БюджетБарда.xlsx]Лист1!$E$21,[БюджетБарда.xlsx]Лист1!$G$21,[БюджетБарда.xlsx]Лист1!$I$21,[БюджетБарда.xlsx]Лист1!$K$21,[БюджетБарда.xlsx]Лист1!$M$21</c:f>
              <c:numCache>
                <c:formatCode>0.0%</c:formatCode>
                <c:ptCount val="6"/>
                <c:pt idx="0">
                  <c:v>1.2998600797329764E-2</c:v>
                </c:pt>
                <c:pt idx="1">
                  <c:v>2.2476601174830992E-2</c:v>
                </c:pt>
                <c:pt idx="2">
                  <c:v>2.1350415437776552E-2</c:v>
                </c:pt>
                <c:pt idx="3">
                  <c:v>2.3452767476572652E-2</c:v>
                </c:pt>
                <c:pt idx="4">
                  <c:v>2.470891526756765E-2</c:v>
                </c:pt>
                <c:pt idx="5">
                  <c:v>2.3982524026629586E-2</c:v>
                </c:pt>
              </c:numCache>
            </c:numRef>
          </c:val>
          <c:extLst xmlns:c16r2="http://schemas.microsoft.com/office/drawing/2015/06/chart">
            <c:ext xmlns:c16="http://schemas.microsoft.com/office/drawing/2014/chart" uri="{C3380CC4-5D6E-409C-BE32-E72D297353CC}">
              <c16:uniqueId val="{00000008-DBE6-4D68-ACED-AE7C721D4F4F}"/>
            </c:ext>
          </c:extLst>
        </c:ser>
        <c:ser>
          <c:idx val="3"/>
          <c:order val="3"/>
          <c:tx>
            <c:strRef>
              <c:f>[БюджетБарда.xlsx]Лист1!$A$22</c:f>
              <c:strCache>
                <c:ptCount val="1"/>
                <c:pt idx="0">
                  <c:v>Межбюдж. трансф</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[БюджетБарда.xlsx]Лист1!$C$22,[БюджетБарда.xlsx]Лист1!$E$22,[БюджетБарда.xlsx]Лист1!$G$22,[БюджетБарда.xlsx]Лист1!$I$22,[БюджетБарда.xlsx]Лист1!$K$22,[БюджетБарда.xlsx]Лист1!$M$22</c:f>
              <c:numCache>
                <c:formatCode>0.0%</c:formatCode>
                <c:ptCount val="6"/>
                <c:pt idx="0">
                  <c:v>8.6412071978629212E-2</c:v>
                </c:pt>
                <c:pt idx="1">
                  <c:v>9.267428400727569E-2</c:v>
                </c:pt>
                <c:pt idx="2">
                  <c:v>0.1099195117564386</c:v>
                </c:pt>
                <c:pt idx="3">
                  <c:v>8.6030282979673064E-2</c:v>
                </c:pt>
                <c:pt idx="4">
                  <c:v>8.0279182066799792E-2</c:v>
                </c:pt>
                <c:pt idx="5">
                  <c:v>7.6216437814289814E-2</c:v>
                </c:pt>
              </c:numCache>
            </c:numRef>
          </c:val>
          <c:extLst xmlns:c16r2="http://schemas.microsoft.com/office/drawing/2015/06/chart">
            <c:ext xmlns:c16="http://schemas.microsoft.com/office/drawing/2014/chart" uri="{C3380CC4-5D6E-409C-BE32-E72D297353CC}">
              <c16:uniqueId val="{00000009-DBE6-4D68-ACED-AE7C721D4F4F}"/>
            </c:ext>
          </c:extLst>
        </c:ser>
        <c:ser>
          <c:idx val="4"/>
          <c:order val="4"/>
          <c:tx>
            <c:strRef>
              <c:f>[БюджетБарда.xlsx]Лист1!$A$23</c:f>
              <c:strCache>
                <c:ptCount val="1"/>
                <c:pt idx="0">
                  <c:v>Национальная экономика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[БюджетБарда.xlsx]Лист1!$C$23,[БюджетБарда.xlsx]Лист1!$E$23,[БюджетБарда.xlsx]Лист1!$G$23,[БюджетБарда.xlsx]Лист1!$I$23,[БюджетБарда.xlsx]Лист1!$K$23,[БюджетБарда.xlsx]Лист1!$M$23</c:f>
              <c:numCache>
                <c:formatCode>0.0%</c:formatCode>
                <c:ptCount val="6"/>
                <c:pt idx="0">
                  <c:v>6.3982477603567803E-2</c:v>
                </c:pt>
                <c:pt idx="1">
                  <c:v>7.2374087765184669E-2</c:v>
                </c:pt>
                <c:pt idx="2">
                  <c:v>7.9658664396063714E-2</c:v>
                </c:pt>
                <c:pt idx="3">
                  <c:v>7.8023296967085723E-2</c:v>
                </c:pt>
                <c:pt idx="4">
                  <c:v>8.5217081949393633E-2</c:v>
                </c:pt>
                <c:pt idx="5">
                  <c:v>7.7306360980519184E-2</c:v>
                </c:pt>
              </c:numCache>
            </c:numRef>
          </c:val>
          <c:extLst xmlns:c16r2="http://schemas.microsoft.com/office/drawing/2015/06/chart">
            <c:ext xmlns:c16="http://schemas.microsoft.com/office/drawing/2014/chart" uri="{C3380CC4-5D6E-409C-BE32-E72D297353CC}">
              <c16:uniqueId val="{0000000A-DBE6-4D68-ACED-AE7C721D4F4F}"/>
            </c:ext>
          </c:extLst>
        </c:ser>
        <c:ser>
          <c:idx val="5"/>
          <c:order val="5"/>
          <c:tx>
            <c:strRef>
              <c:f>[БюджетБарда.xlsx]Лист1!$A$24</c:f>
              <c:strCache>
                <c:ptCount val="1"/>
                <c:pt idx="0">
                  <c:v>Образование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[БюджетБарда.xlsx]Лист1!$C$24,[БюджетБарда.xlsx]Лист1!$E$24,[БюджетБарда.xlsx]Лист1!$G$24,[БюджетБарда.xlsx]Лист1!$I$24,[БюджетБарда.xlsx]Лист1!$K$24,[БюджетБарда.xlsx]Лист1!$M$24</c:f>
              <c:numCache>
                <c:formatCode>0.0%</c:formatCode>
                <c:ptCount val="6"/>
                <c:pt idx="0">
                  <c:v>0.45824838364523068</c:v>
                </c:pt>
                <c:pt idx="1">
                  <c:v>0.42171582530855367</c:v>
                </c:pt>
                <c:pt idx="2">
                  <c:v>0.44927458394944175</c:v>
                </c:pt>
                <c:pt idx="3">
                  <c:v>0.54787008683788063</c:v>
                </c:pt>
                <c:pt idx="4">
                  <c:v>0.60354542466133165</c:v>
                </c:pt>
                <c:pt idx="5">
                  <c:v>0.61075690222910806</c:v>
                </c:pt>
              </c:numCache>
            </c:numRef>
          </c:val>
          <c:extLst xmlns:c16r2="http://schemas.microsoft.com/office/drawing/2015/06/chart">
            <c:ext xmlns:c16="http://schemas.microsoft.com/office/drawing/2014/chart" uri="{C3380CC4-5D6E-409C-BE32-E72D297353CC}">
              <c16:uniqueId val="{0000000B-DBE6-4D68-ACED-AE7C721D4F4F}"/>
            </c:ext>
          </c:extLst>
        </c:ser>
        <c:ser>
          <c:idx val="6"/>
          <c:order val="6"/>
          <c:tx>
            <c:strRef>
              <c:f>[БюджетБарда.xlsx]Лист1!$A$25</c:f>
              <c:strCache>
                <c:ptCount val="1"/>
                <c:pt idx="0">
                  <c:v>Общегосударственные вопросы</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[БюджетБарда.xlsx]Лист1!$C$25,[БюджетБарда.xlsx]Лист1!$E$25,[БюджетБарда.xlsx]Лист1!$G$25,[БюджетБарда.xlsx]Лист1!$I$25,[БюджетБарда.xlsx]Лист1!$K$25,[БюджетБарда.xlsx]Лист1!$M$25</c:f>
              <c:numCache>
                <c:formatCode>0.0%</c:formatCode>
                <c:ptCount val="6"/>
                <c:pt idx="0">
                  <c:v>5.5225914096467467E-2</c:v>
                </c:pt>
                <c:pt idx="1">
                  <c:v>4.4892146188457036E-2</c:v>
                </c:pt>
                <c:pt idx="2">
                  <c:v>5.9269536752753704E-2</c:v>
                </c:pt>
                <c:pt idx="3">
                  <c:v>5.7328645216222732E-2</c:v>
                </c:pt>
                <c:pt idx="4">
                  <c:v>7.2842461697372837E-2</c:v>
                </c:pt>
                <c:pt idx="5">
                  <c:v>6.5257333039393184E-2</c:v>
                </c:pt>
              </c:numCache>
            </c:numRef>
          </c:val>
          <c:extLst xmlns:c16r2="http://schemas.microsoft.com/office/drawing/2015/06/chart">
            <c:ext xmlns:c16="http://schemas.microsoft.com/office/drawing/2014/chart" uri="{C3380CC4-5D6E-409C-BE32-E72D297353CC}">
              <c16:uniqueId val="{0000000C-DBE6-4D68-ACED-AE7C721D4F4F}"/>
            </c:ext>
          </c:extLst>
        </c:ser>
        <c:ser>
          <c:idx val="7"/>
          <c:order val="7"/>
          <c:tx>
            <c:strRef>
              <c:f>[БюджетБарда.xlsx]Лист1!$A$26</c:f>
              <c:strCache>
                <c:ptCount val="1"/>
                <c:pt idx="0">
                  <c:v>Социальная политика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[БюджетБарда.xlsx]Лист1!$C$26,[БюджетБарда.xlsx]Лист1!$E$26,[БюджетБарда.xlsx]Лист1!$G$26,[БюджетБарда.xlsx]Лист1!$I$26,[БюджетБарда.xlsx]Лист1!$K$26,[БюджетБарда.xlsx]Лист1!$M$26</c:f>
              <c:numCache>
                <c:formatCode>0.0%</c:formatCode>
                <c:ptCount val="6"/>
                <c:pt idx="0">
                  <c:v>0.17059564800823379</c:v>
                </c:pt>
                <c:pt idx="1">
                  <c:v>0.20930983426184321</c:v>
                </c:pt>
                <c:pt idx="2">
                  <c:v>0.16884490660725221</c:v>
                </c:pt>
                <c:pt idx="3">
                  <c:v>4.7934330455834832E-2</c:v>
                </c:pt>
                <c:pt idx="4">
                  <c:v>6.7223961434737023E-2</c:v>
                </c:pt>
                <c:pt idx="5">
                  <c:v>7.3468959496856584E-2</c:v>
                </c:pt>
              </c:numCache>
            </c:numRef>
          </c:val>
          <c:extLst xmlns:c16r2="http://schemas.microsoft.com/office/drawing/2015/06/chart">
            <c:ext xmlns:c16="http://schemas.microsoft.com/office/drawing/2014/chart" uri="{C3380CC4-5D6E-409C-BE32-E72D297353CC}">
              <c16:uniqueId val="{0000000D-DBE6-4D68-ACED-AE7C721D4F4F}"/>
            </c:ext>
          </c:extLst>
        </c:ser>
        <c:ser>
          <c:idx val="8"/>
          <c:order val="8"/>
          <c:tx>
            <c:strRef>
              <c:f>[БюджетБарда.xlsx]Лист1!$A$27</c:f>
              <c:strCache>
                <c:ptCount val="1"/>
                <c:pt idx="0">
                  <c:v>Спорт и физ.культура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[БюджетБарда.xlsx]Лист1!$C$27,[БюджетБарда.xlsx]Лист1!$E$27,[БюджетБарда.xlsx]Лист1!$G$27,[БюджетБарда.xlsx]Лист1!$I$27,[БюджетБарда.xlsx]Лист1!$K$27,[БюджетБарда.xlsx]Лист1!$M$27</c:f>
              <c:numCache>
                <c:formatCode>0.0%</c:formatCode>
                <c:ptCount val="6"/>
                <c:pt idx="0">
                  <c:v>3.3084151133066488E-2</c:v>
                </c:pt>
                <c:pt idx="1">
                  <c:v>3.4097968807545592E-2</c:v>
                </c:pt>
                <c:pt idx="2">
                  <c:v>3.1261244665065774E-2</c:v>
                </c:pt>
                <c:pt idx="3">
                  <c:v>2.0117356804694272E-2</c:v>
                </c:pt>
                <c:pt idx="4">
                  <c:v>1.8593966538118775E-2</c:v>
                </c:pt>
                <c:pt idx="5">
                  <c:v>3.7262293207061196E-2</c:v>
                </c:pt>
              </c:numCache>
            </c:numRef>
          </c:val>
          <c:extLst xmlns:c16r2="http://schemas.microsoft.com/office/drawing/2015/06/chart">
            <c:ext xmlns:c16="http://schemas.microsoft.com/office/drawing/2014/chart" uri="{C3380CC4-5D6E-409C-BE32-E72D297353CC}">
              <c16:uniqueId val="{0000000E-DBE6-4D68-ACED-AE7C721D4F4F}"/>
            </c:ext>
          </c:extLst>
        </c:ser>
        <c:ser>
          <c:idx val="9"/>
          <c:order val="9"/>
          <c:tx>
            <c:strRef>
              <c:f>[БюджетБарда.xlsx]Лист1!$A$28</c:f>
              <c:strCache>
                <c:ptCount val="1"/>
                <c:pt idx="0">
                  <c:v>СМИ</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[БюджетБарда.xlsx]Лист1!$C$28,[БюджетБарда.xlsx]Лист1!$E$28,[БюджетБарда.xlsx]Лист1!$G$28,[БюджетБарда.xlsx]Лист1!$I$28,[БюджетБарда.xlsx]Лист1!$K$28,[БюджетБарда.xlsx]Лист1!$M$28</c:f>
              <c:numCache>
                <c:formatCode>0.0%</c:formatCode>
                <c:ptCount val="6"/>
                <c:pt idx="0">
                  <c:v>8.3367227972546542E-3</c:v>
                </c:pt>
                <c:pt idx="1">
                  <c:v>8.0407859756183764E-4</c:v>
                </c:pt>
                <c:pt idx="2">
                  <c:v>9.3001108030163707E-3</c:v>
                </c:pt>
                <c:pt idx="3">
                  <c:v>1.0194090100071196E-2</c:v>
                </c:pt>
                <c:pt idx="4">
                  <c:v>1.1728072293889424E-2</c:v>
                </c:pt>
                <c:pt idx="5">
                  <c:v>1.1226353935254786E-2</c:v>
                </c:pt>
              </c:numCache>
            </c:numRef>
          </c:val>
          <c:extLst xmlns:c16r2="http://schemas.microsoft.com/office/drawing/2015/06/chart">
            <c:ext xmlns:c16="http://schemas.microsoft.com/office/drawing/2014/chart" uri="{C3380CC4-5D6E-409C-BE32-E72D297353CC}">
              <c16:uniqueId val="{0000000F-DBE6-4D68-ACED-AE7C721D4F4F}"/>
            </c:ext>
          </c:extLst>
        </c:ser>
        <c:ser>
          <c:idx val="10"/>
          <c:order val="10"/>
          <c:tx>
            <c:strRef>
              <c:f>[БюджетБарда.xlsx]Лист1!$A$29</c:f>
              <c:strCache>
                <c:ptCount val="1"/>
                <c:pt idx="0">
                  <c:v>Национальная безопасность</c:v>
                </c:pt>
              </c:strCache>
            </c:strRef>
          </c:tx>
          <c:dLbls>
            <c:dLbl>
              <c:idx val="0"/>
              <c:layout>
                <c:manualLayout>
                  <c:x val="5.2083333333334631E-3"/>
                  <c:y val="-3.184079601990049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DBE6-4D68-ACED-AE7C721D4F4F}"/>
                </c:ext>
              </c:extLst>
            </c:dLbl>
            <c:dLbl>
              <c:idx val="1"/>
              <c:layout>
                <c:manualLayout>
                  <c:x val="1.7361111111111373E-3"/>
                  <c:y val="-2.388059701492561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DBE6-4D68-ACED-AE7C721D4F4F}"/>
                </c:ext>
              </c:extLst>
            </c:dLbl>
            <c:dLbl>
              <c:idx val="2"/>
              <c:layout>
                <c:manualLayout>
                  <c:x val="3.4722222222222242E-3"/>
                  <c:y val="-1.791044776119403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DBE6-4D68-ACED-AE7C721D4F4F}"/>
                </c:ext>
              </c:extLst>
            </c:dLbl>
            <c:dLbl>
              <c:idx val="3"/>
              <c:layout>
                <c:manualLayout>
                  <c:x val="0"/>
                  <c:y val="-1.59203980099503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DBE6-4D68-ACED-AE7C721D4F4F}"/>
                </c:ext>
              </c:extLst>
            </c:dLbl>
            <c:dLbl>
              <c:idx val="4"/>
              <c:layout>
                <c:manualLayout>
                  <c:x val="3.4722222222222242E-3"/>
                  <c:y val="-2.189054726368160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DBE6-4D68-ACED-AE7C721D4F4F}"/>
                </c:ext>
              </c:extLst>
            </c:dLbl>
            <c:dLbl>
              <c:idx val="5"/>
              <c:layout>
                <c:manualLayout>
                  <c:x val="0"/>
                  <c:y val="-2.388059701492561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DBE6-4D68-ACED-AE7C721D4F4F}"/>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[БюджетБарда.xlsx]Лист1!$C$29,[БюджетБарда.xlsx]Лист1!$E$29,[БюджетБарда.xlsx]Лист1!$G$29,[БюджетБарда.xlsx]Лист1!$I$29,[БюджетБарда.xlsx]Лист1!$K$29,[БюджетБарда.xlsx]Лист1!$M$29</c:f>
              <c:numCache>
                <c:formatCode>0.0%</c:formatCode>
                <c:ptCount val="6"/>
                <c:pt idx="0">
                  <c:v>4.5790285809720825E-2</c:v>
                </c:pt>
                <c:pt idx="1">
                  <c:v>2.3892391217985392E-3</c:v>
                </c:pt>
                <c:pt idx="2">
                  <c:v>1.5420476802668231E-3</c:v>
                </c:pt>
                <c:pt idx="3">
                  <c:v>7.8023296967085723E-2</c:v>
                </c:pt>
                <c:pt idx="4">
                  <c:v>1.9966966163691485E-3</c:v>
                </c:pt>
                <c:pt idx="5">
                  <c:v>2.7195762843764096E-3</c:v>
                </c:pt>
              </c:numCache>
            </c:numRef>
          </c:val>
          <c:extLst xmlns:c16r2="http://schemas.microsoft.com/office/drawing/2015/06/chart">
            <c:ext xmlns:c16="http://schemas.microsoft.com/office/drawing/2014/chart" uri="{C3380CC4-5D6E-409C-BE32-E72D297353CC}">
              <c16:uniqueId val="{00000016-DBE6-4D68-ACED-AE7C721D4F4F}"/>
            </c:ext>
          </c:extLst>
        </c:ser>
        <c:shape val="box"/>
        <c:axId val="184078336"/>
        <c:axId val="184079872"/>
        <c:axId val="0"/>
      </c:bar3DChart>
      <c:catAx>
        <c:axId val="184078336"/>
        <c:scaling>
          <c:orientation val="minMax"/>
        </c:scaling>
        <c:axPos val="b"/>
        <c:numFmt formatCode="General" sourceLinked="1"/>
        <c:tickLblPos val="nextTo"/>
        <c:crossAx val="184079872"/>
        <c:crosses val="autoZero"/>
        <c:auto val="1"/>
        <c:lblAlgn val="ctr"/>
        <c:lblOffset val="100"/>
      </c:catAx>
      <c:valAx>
        <c:axId val="184079872"/>
        <c:scaling>
          <c:orientation val="minMax"/>
        </c:scaling>
        <c:axPos val="l"/>
        <c:majorGridlines/>
        <c:numFmt formatCode="0.0%" sourceLinked="1"/>
        <c:tickLblPos val="nextTo"/>
        <c:crossAx val="184078336"/>
        <c:crosses val="autoZero"/>
        <c:crossBetween val="between"/>
      </c:valAx>
    </c:plotArea>
    <c:legend>
      <c:legendPos val="r"/>
    </c:legend>
    <c:plotVisOnly val="1"/>
    <c:dispBlanksAs val="gap"/>
  </c:chart>
  <c:spPr>
    <a:ln>
      <a:noFill/>
    </a:ln>
  </c:sp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[БюджетБарда.xlsx]ЖКХ!$B$1</c:f>
              <c:strCache>
                <c:ptCount val="1"/>
                <c:pt idx="0">
                  <c:v>План</c:v>
                </c:pt>
              </c:strCache>
            </c:strRef>
          </c:tx>
          <c:dLbls>
            <c:dLbl>
              <c:idx val="0"/>
              <c:layout>
                <c:manualLayout>
                  <c:x val="-3.1907887062590082E-2"/>
                  <c:y val="-3.506375494852771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9D0-4127-833F-8F9F5A7B95CA}"/>
                </c:ext>
              </c:extLst>
            </c:dLbl>
            <c:dLbl>
              <c:idx val="1"/>
              <c:layout>
                <c:manualLayout>
                  <c:x val="-9.1165391607400548E-3"/>
                  <c:y val="-2.62978162113958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9D0-4127-833F-8F9F5A7B95CA}"/>
                </c:ext>
              </c:extLst>
            </c:dLbl>
            <c:dLbl>
              <c:idx val="2"/>
              <c:layout>
                <c:manualLayout>
                  <c:x val="-9.1165391607400548E-3"/>
                  <c:y val="-1.753187747426386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9D0-4127-833F-8F9F5A7B95CA}"/>
                </c:ext>
              </c:extLst>
            </c:dLbl>
            <c:dLbl>
              <c:idx val="3"/>
              <c:layout>
                <c:manualLayout>
                  <c:x val="-6.8374043705550095E-3"/>
                  <c:y val="-4.38296936856596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9D0-4127-833F-8F9F5A7B95CA}"/>
                </c:ext>
              </c:extLst>
            </c:dLbl>
            <c:dLbl>
              <c:idx val="4"/>
              <c:layout>
                <c:manualLayout>
                  <c:x val="-2.2791347901850744E-3"/>
                  <c:y val="-5.25956324227920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9D0-4127-833F-8F9F5A7B95CA}"/>
                </c:ext>
              </c:extLst>
            </c:dLbl>
            <c:dLbl>
              <c:idx val="5"/>
              <c:layout>
                <c:manualLayout>
                  <c:x val="-2.0512213111665081E-2"/>
                  <c:y val="-5.25956324227920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9D0-4127-833F-8F9F5A7B95CA}"/>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[БюджетБарда.xlsx]ЖКХ!$A$2:$A$7</c:f>
              <c:strCache>
                <c:ptCount val="6"/>
                <c:pt idx="0">
                  <c:v>2011 год</c:v>
                </c:pt>
                <c:pt idx="1">
                  <c:v>2012 год</c:v>
                </c:pt>
                <c:pt idx="2">
                  <c:v>2013 год</c:v>
                </c:pt>
                <c:pt idx="3">
                  <c:v>2014 год</c:v>
                </c:pt>
                <c:pt idx="4">
                  <c:v>2015 год</c:v>
                </c:pt>
                <c:pt idx="5">
                  <c:v>2016 год</c:v>
                </c:pt>
              </c:strCache>
            </c:strRef>
          </c:cat>
          <c:val>
            <c:numRef>
              <c:f>[БюджетБарда.xlsx]ЖКХ!$B$2:$B$7</c:f>
              <c:numCache>
                <c:formatCode>General</c:formatCode>
                <c:ptCount val="6"/>
                <c:pt idx="0">
                  <c:v>41286.699999999997</c:v>
                </c:pt>
                <c:pt idx="1">
                  <c:v>63179.3</c:v>
                </c:pt>
                <c:pt idx="2">
                  <c:v>50654.7</c:v>
                </c:pt>
                <c:pt idx="3">
                  <c:v>43731.5</c:v>
                </c:pt>
                <c:pt idx="4">
                  <c:v>24007</c:v>
                </c:pt>
                <c:pt idx="5">
                  <c:v>27650.5</c:v>
                </c:pt>
              </c:numCache>
            </c:numRef>
          </c:val>
          <c:extLst xmlns:c16r2="http://schemas.microsoft.com/office/drawing/2015/06/chart">
            <c:ext xmlns:c16="http://schemas.microsoft.com/office/drawing/2014/chart" uri="{C3380CC4-5D6E-409C-BE32-E72D297353CC}">
              <c16:uniqueId val="{00000006-79D0-4127-833F-8F9F5A7B95CA}"/>
            </c:ext>
          </c:extLst>
        </c:ser>
        <c:ser>
          <c:idx val="1"/>
          <c:order val="1"/>
          <c:tx>
            <c:strRef>
              <c:f>[БюджетБарда.xlsx]ЖКХ!$C$1</c:f>
              <c:strCache>
                <c:ptCount val="1"/>
                <c:pt idx="0">
                  <c:v>Факт</c:v>
                </c:pt>
              </c:strCache>
            </c:strRef>
          </c:tx>
          <c:dLbls>
            <c:dLbl>
              <c:idx val="0"/>
              <c:layout>
                <c:manualLayout>
                  <c:x val="0"/>
                  <c:y val="3.506375494852771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9D0-4127-833F-8F9F5A7B95CA}"/>
                </c:ext>
              </c:extLst>
            </c:dLbl>
            <c:dLbl>
              <c:idx val="1"/>
              <c:layout>
                <c:manualLayout>
                  <c:x val="-2.2791347901850744E-3"/>
                  <c:y val="4.38296936856596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9D0-4127-833F-8F9F5A7B95CA}"/>
                </c:ext>
              </c:extLst>
            </c:dLbl>
            <c:dLbl>
              <c:idx val="2"/>
              <c:layout>
                <c:manualLayout>
                  <c:x val="-1.367480874111035E-2"/>
                  <c:y val="3.944672431709368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9D0-4127-833F-8F9F5A7B95CA}"/>
                </c:ext>
              </c:extLst>
            </c:dLbl>
            <c:dLbl>
              <c:idx val="3"/>
              <c:layout>
                <c:manualLayout>
                  <c:x val="-1.367480874111035E-2"/>
                  <c:y val="7.451047926562208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9D0-4127-833F-8F9F5A7B95CA}"/>
                </c:ext>
              </c:extLst>
            </c:dLbl>
            <c:dLbl>
              <c:idx val="4"/>
              <c:layout>
                <c:manualLayout>
                  <c:x val="-5.0140965384069647E-2"/>
                  <c:y val="6.574454052848947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9D0-4127-833F-8F9F5A7B95CA}"/>
                </c:ext>
              </c:extLst>
            </c:dLbl>
            <c:dLbl>
              <c:idx val="5"/>
              <c:layout>
                <c:manualLayout>
                  <c:x val="-6.8374043705550095E-3"/>
                  <c:y val="5.25956324227920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9D0-4127-833F-8F9F5A7B95CA}"/>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[БюджетБарда.xlsx]ЖКХ!$A$2:$A$7</c:f>
              <c:strCache>
                <c:ptCount val="6"/>
                <c:pt idx="0">
                  <c:v>2011 год</c:v>
                </c:pt>
                <c:pt idx="1">
                  <c:v>2012 год</c:v>
                </c:pt>
                <c:pt idx="2">
                  <c:v>2013 год</c:v>
                </c:pt>
                <c:pt idx="3">
                  <c:v>2014 год</c:v>
                </c:pt>
                <c:pt idx="4">
                  <c:v>2015 год</c:v>
                </c:pt>
                <c:pt idx="5">
                  <c:v>2016 год</c:v>
                </c:pt>
              </c:strCache>
            </c:strRef>
          </c:cat>
          <c:val>
            <c:numRef>
              <c:f>[БюджетБарда.xlsx]ЖКХ!$C$2:$C$7</c:f>
              <c:numCache>
                <c:formatCode>General</c:formatCode>
                <c:ptCount val="6"/>
                <c:pt idx="0">
                  <c:v>13559</c:v>
                </c:pt>
                <c:pt idx="1">
                  <c:v>44184.9</c:v>
                </c:pt>
                <c:pt idx="2">
                  <c:v>37951.1</c:v>
                </c:pt>
                <c:pt idx="3">
                  <c:v>39716.1</c:v>
                </c:pt>
                <c:pt idx="4">
                  <c:v>22674.1</c:v>
                </c:pt>
                <c:pt idx="5">
                  <c:v>15003.3</c:v>
                </c:pt>
              </c:numCache>
            </c:numRef>
          </c:val>
          <c:extLst xmlns:c16r2="http://schemas.microsoft.com/office/drawing/2015/06/chart">
            <c:ext xmlns:c16="http://schemas.microsoft.com/office/drawing/2014/chart" uri="{C3380CC4-5D6E-409C-BE32-E72D297353CC}">
              <c16:uniqueId val="{0000000D-79D0-4127-833F-8F9F5A7B95CA}"/>
            </c:ext>
          </c:extLst>
        </c:ser>
        <c:upDownBars>
          <c:gapWidth val="150"/>
          <c:upBars>
            <c:spPr>
              <a:gradFill>
                <a:gsLst>
                  <a:gs pos="0">
                    <a:srgbClr val="FFF200"/>
                  </a:gs>
                  <a:gs pos="45000">
                    <a:srgbClr val="FF7A00"/>
                  </a:gs>
                  <a:gs pos="70000">
                    <a:srgbClr val="FF0300"/>
                  </a:gs>
                  <a:gs pos="100000">
                    <a:srgbClr val="4D0808"/>
                  </a:gs>
                </a:gsLst>
                <a:lin ang="5400000" scaled="0"/>
              </a:gradFill>
            </c:spPr>
          </c:upBars>
          <c:downBar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c:spPr>
          </c:downBars>
        </c:upDownBars>
        <c:marker val="1"/>
        <c:axId val="184121984"/>
        <c:axId val="184160640"/>
      </c:lineChart>
      <c:catAx>
        <c:axId val="184121984"/>
        <c:scaling>
          <c:orientation val="minMax"/>
        </c:scaling>
        <c:axPos val="b"/>
        <c:numFmt formatCode="General" sourceLinked="0"/>
        <c:tickLblPos val="nextTo"/>
        <c:crossAx val="184160640"/>
        <c:crosses val="autoZero"/>
        <c:auto val="1"/>
        <c:lblAlgn val="ctr"/>
        <c:lblOffset val="100"/>
      </c:catAx>
      <c:valAx>
        <c:axId val="184160640"/>
        <c:scaling>
          <c:orientation val="minMax"/>
        </c:scaling>
        <c:axPos val="l"/>
        <c:majorGridlines>
          <c:spPr>
            <a:ln w="0">
              <a:solidFill>
                <a:schemeClr val="bg1"/>
              </a:solidFill>
            </a:ln>
          </c:spPr>
        </c:majorGridlines>
        <c:numFmt formatCode="General" sourceLinked="1"/>
        <c:tickLblPos val="nextTo"/>
        <c:crossAx val="184121984"/>
        <c:crosses val="autoZero"/>
        <c:crossBetween val="between"/>
      </c:valAx>
    </c:plotArea>
    <c:legend>
      <c:legendPos val="b"/>
    </c:legend>
    <c:plotVisOnly val="1"/>
    <c:dispBlanksAs val="gap"/>
  </c:chart>
  <c:spPr>
    <a:ln>
      <a:noFill/>
    </a:ln>
  </c:sp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[БюджетБарда.xlsx]Здоровье!$B$1</c:f>
              <c:strCache>
                <c:ptCount val="1"/>
                <c:pt idx="0">
                  <c:v>План</c:v>
                </c:pt>
              </c:strCache>
            </c:strRef>
          </c:tx>
          <c:dLbls>
            <c:dLbl>
              <c:idx val="1"/>
              <c:layout>
                <c:manualLayout>
                  <c:x val="-4.6598886690220505E-3"/>
                  <c:y val="-2.064564625587144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524-436F-8C80-C35ED6721FBE}"/>
                </c:ext>
              </c:extLst>
            </c:dLbl>
            <c:dLbl>
              <c:idx val="2"/>
              <c:layout>
                <c:manualLayout>
                  <c:x val="6.9898330035332475E-3"/>
                  <c:y val="-1.238738775352284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524-436F-8C80-C35ED6721FBE}"/>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[БюджетБарда.xlsx]Здоровье!$A$2:$A$7</c:f>
              <c:strCache>
                <c:ptCount val="6"/>
                <c:pt idx="0">
                  <c:v>2011 год</c:v>
                </c:pt>
                <c:pt idx="1">
                  <c:v>2012 год</c:v>
                </c:pt>
                <c:pt idx="2">
                  <c:v>2013 год</c:v>
                </c:pt>
                <c:pt idx="3">
                  <c:v>2014 год</c:v>
                </c:pt>
                <c:pt idx="4">
                  <c:v>2015 год</c:v>
                </c:pt>
                <c:pt idx="5">
                  <c:v>2016 год</c:v>
                </c:pt>
              </c:strCache>
            </c:strRef>
          </c:cat>
          <c:val>
            <c:numRef>
              <c:f>[БюджетБарда.xlsx]Здоровье!$B$2:$B$7</c:f>
              <c:numCache>
                <c:formatCode>General</c:formatCode>
                <c:ptCount val="6"/>
                <c:pt idx="0">
                  <c:v>31646.400000000001</c:v>
                </c:pt>
                <c:pt idx="1">
                  <c:v>38025</c:v>
                </c:pt>
                <c:pt idx="2">
                  <c:v>28604.2</c:v>
                </c:pt>
                <c:pt idx="3">
                  <c:v>76.099999999999994</c:v>
                </c:pt>
                <c:pt idx="4">
                  <c:v>0</c:v>
                </c:pt>
                <c:pt idx="5">
                  <c:v>0</c:v>
                </c:pt>
              </c:numCache>
            </c:numRef>
          </c:val>
          <c:extLst xmlns:c16r2="http://schemas.microsoft.com/office/drawing/2015/06/chart">
            <c:ext xmlns:c16="http://schemas.microsoft.com/office/drawing/2014/chart" uri="{C3380CC4-5D6E-409C-BE32-E72D297353CC}">
              <c16:uniqueId val="{00000002-9524-436F-8C80-C35ED6721FBE}"/>
            </c:ext>
          </c:extLst>
        </c:ser>
        <c:ser>
          <c:idx val="1"/>
          <c:order val="1"/>
          <c:tx>
            <c:strRef>
              <c:f>[БюджетБарда.xlsx]Здоровье!$C$1</c:f>
              <c:strCache>
                <c:ptCount val="1"/>
                <c:pt idx="0">
                  <c:v>Факт</c:v>
                </c:pt>
              </c:strCache>
            </c:strRef>
          </c:tx>
          <c:dLbls>
            <c:dLbl>
              <c:idx val="1"/>
              <c:layout>
                <c:manualLayout>
                  <c:x val="-1.3979666007066153E-2"/>
                  <c:y val="3.716216326056854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524-436F-8C80-C35ED6721FBE}"/>
                </c:ext>
              </c:extLst>
            </c:dLbl>
            <c:dLbl>
              <c:idx val="2"/>
              <c:layout>
                <c:manualLayout>
                  <c:x val="0"/>
                  <c:y val="2.477477550704569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524-436F-8C80-C35ED6721FBE}"/>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[БюджетБарда.xlsx]Здоровье!$A$2:$A$7</c:f>
              <c:strCache>
                <c:ptCount val="6"/>
                <c:pt idx="0">
                  <c:v>2011 год</c:v>
                </c:pt>
                <c:pt idx="1">
                  <c:v>2012 год</c:v>
                </c:pt>
                <c:pt idx="2">
                  <c:v>2013 год</c:v>
                </c:pt>
                <c:pt idx="3">
                  <c:v>2014 год</c:v>
                </c:pt>
                <c:pt idx="4">
                  <c:v>2015 год</c:v>
                </c:pt>
                <c:pt idx="5">
                  <c:v>2016 год</c:v>
                </c:pt>
              </c:strCache>
            </c:strRef>
          </c:cat>
          <c:val>
            <c:numRef>
              <c:f>[БюджетБарда.xlsx]Здоровье!$C$2:$C$7</c:f>
              <c:numCache>
                <c:formatCode>General</c:formatCode>
                <c:ptCount val="6"/>
                <c:pt idx="0">
                  <c:v>27316.2</c:v>
                </c:pt>
                <c:pt idx="1">
                  <c:v>36145.9</c:v>
                </c:pt>
                <c:pt idx="2">
                  <c:v>25921.8</c:v>
                </c:pt>
                <c:pt idx="3">
                  <c:v>76.099999999999994</c:v>
                </c:pt>
                <c:pt idx="4">
                  <c:v>0</c:v>
                </c:pt>
                <c:pt idx="5">
                  <c:v>0</c:v>
                </c:pt>
              </c:numCache>
            </c:numRef>
          </c:val>
          <c:extLst xmlns:c16r2="http://schemas.microsoft.com/office/drawing/2015/06/chart">
            <c:ext xmlns:c16="http://schemas.microsoft.com/office/drawing/2014/chart" uri="{C3380CC4-5D6E-409C-BE32-E72D297353CC}">
              <c16:uniqueId val="{00000005-9524-436F-8C80-C35ED6721FBE}"/>
            </c:ext>
          </c:extLst>
        </c:ser>
        <c:upDownBars>
          <c:gapWidth val="150"/>
          <c:upBars>
            <c:spPr>
              <a:gradFill>
                <a:gsLst>
                  <a:gs pos="0">
                    <a:srgbClr val="FFFF00"/>
                  </a:gs>
                  <a:gs pos="45000">
                    <a:srgbClr val="FF7A00"/>
                  </a:gs>
                  <a:gs pos="70000">
                    <a:srgbClr val="FF0300"/>
                  </a:gs>
                  <a:gs pos="100000">
                    <a:srgbClr val="4D0808"/>
                  </a:gs>
                </a:gsLst>
                <a:lin ang="5400000" scaled="0"/>
              </a:gradFill>
            </c:spPr>
          </c:upBars>
          <c:downBars>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c:spPr>
          </c:downBars>
        </c:upDownBars>
        <c:marker val="1"/>
        <c:axId val="184174464"/>
        <c:axId val="184176000"/>
      </c:lineChart>
      <c:catAx>
        <c:axId val="184174464"/>
        <c:scaling>
          <c:orientation val="minMax"/>
        </c:scaling>
        <c:axPos val="b"/>
        <c:numFmt formatCode="General" sourceLinked="0"/>
        <c:tickLblPos val="nextTo"/>
        <c:crossAx val="184176000"/>
        <c:crosses val="autoZero"/>
        <c:auto val="1"/>
        <c:lblAlgn val="ctr"/>
        <c:lblOffset val="100"/>
      </c:catAx>
      <c:valAx>
        <c:axId val="184176000"/>
        <c:scaling>
          <c:orientation val="minMax"/>
        </c:scaling>
        <c:axPos val="l"/>
        <c:majorGridlines>
          <c:spPr>
            <a:ln w="0">
              <a:solidFill>
                <a:schemeClr val="bg1"/>
              </a:solidFill>
            </a:ln>
          </c:spPr>
        </c:majorGridlines>
        <c:numFmt formatCode="General" sourceLinked="1"/>
        <c:tickLblPos val="nextTo"/>
        <c:crossAx val="184174464"/>
        <c:crosses val="autoZero"/>
        <c:crossBetween val="between"/>
      </c:valAx>
      <c:spPr>
        <a:ln>
          <a:noFill/>
        </a:ln>
      </c:spPr>
    </c:plotArea>
    <c:legend>
      <c:legendPos val="b"/>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демография!$G$216</c:f>
              <c:strCache>
                <c:ptCount val="1"/>
                <c:pt idx="0">
                  <c:v>Число родившихся, человек</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демография!$F$217:$F$223</c:f>
              <c:strCache>
                <c:ptCount val="7"/>
                <c:pt idx="0">
                  <c:v>01.01.2011 г.</c:v>
                </c:pt>
                <c:pt idx="1">
                  <c:v>01.01.2012 г.</c:v>
                </c:pt>
                <c:pt idx="2">
                  <c:v>01.01.2013 г.</c:v>
                </c:pt>
                <c:pt idx="3">
                  <c:v>01.01.2014 г.</c:v>
                </c:pt>
                <c:pt idx="4">
                  <c:v>01.01.2015 г.</c:v>
                </c:pt>
                <c:pt idx="5">
                  <c:v>01.01.2016 г.</c:v>
                </c:pt>
                <c:pt idx="6">
                  <c:v>01.01.2017 г.</c:v>
                </c:pt>
              </c:strCache>
            </c:strRef>
          </c:cat>
          <c:val>
            <c:numRef>
              <c:f>демография!$G$217:$G$223</c:f>
              <c:numCache>
                <c:formatCode>General</c:formatCode>
                <c:ptCount val="7"/>
                <c:pt idx="0">
                  <c:v>414</c:v>
                </c:pt>
                <c:pt idx="1">
                  <c:v>477</c:v>
                </c:pt>
                <c:pt idx="2">
                  <c:v>459</c:v>
                </c:pt>
                <c:pt idx="3">
                  <c:v>495</c:v>
                </c:pt>
                <c:pt idx="4">
                  <c:v>441</c:v>
                </c:pt>
                <c:pt idx="5">
                  <c:v>411</c:v>
                </c:pt>
                <c:pt idx="6">
                  <c:v>350</c:v>
                </c:pt>
              </c:numCache>
            </c:numRef>
          </c:val>
          <c:extLst xmlns:c16r2="http://schemas.microsoft.com/office/drawing/2015/06/chart">
            <c:ext xmlns:c16="http://schemas.microsoft.com/office/drawing/2014/chart" uri="{C3380CC4-5D6E-409C-BE32-E72D297353CC}">
              <c16:uniqueId val="{00000000-0D46-47F4-9C15-F93E582E4736}"/>
            </c:ext>
          </c:extLst>
        </c:ser>
        <c:ser>
          <c:idx val="1"/>
          <c:order val="1"/>
          <c:tx>
            <c:strRef>
              <c:f>демография!$H$216</c:f>
              <c:strCache>
                <c:ptCount val="1"/>
                <c:pt idx="0">
                  <c:v>Число умерших, человек</c:v>
                </c:pt>
              </c:strCache>
            </c:strRef>
          </c:tx>
          <c:spPr>
            <a:solidFill>
              <a:schemeClr val="accent2"/>
            </a:solidFill>
            <a:ln>
              <a:noFill/>
            </a:ln>
            <a:effectLst/>
          </c:spPr>
          <c:dLbls>
            <c:dLbl>
              <c:idx val="1"/>
              <c:layout>
                <c:manualLayout>
                  <c:x val="1.1111111111111125E-2"/>
                  <c:y val="-9.259259259259548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D46-47F4-9C15-F93E582E4736}"/>
                </c:ext>
              </c:extLst>
            </c:dLbl>
            <c:dLbl>
              <c:idx val="2"/>
              <c:layout>
                <c:manualLayout>
                  <c:x val="1.3888888888889157E-2"/>
                  <c:y val="-4.629629629629701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D46-47F4-9C15-F93E582E4736}"/>
                </c:ext>
              </c:extLst>
            </c:dLbl>
            <c:dLbl>
              <c:idx val="3"/>
              <c:layout>
                <c:manualLayout>
                  <c:x val="1.6666666666666701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D46-47F4-9C15-F93E582E473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демография!$F$217:$F$223</c:f>
              <c:strCache>
                <c:ptCount val="7"/>
                <c:pt idx="0">
                  <c:v>01.01.2011 г.</c:v>
                </c:pt>
                <c:pt idx="1">
                  <c:v>01.01.2012 г.</c:v>
                </c:pt>
                <c:pt idx="2">
                  <c:v>01.01.2013 г.</c:v>
                </c:pt>
                <c:pt idx="3">
                  <c:v>01.01.2014 г.</c:v>
                </c:pt>
                <c:pt idx="4">
                  <c:v>01.01.2015 г.</c:v>
                </c:pt>
                <c:pt idx="5">
                  <c:v>01.01.2016 г.</c:v>
                </c:pt>
                <c:pt idx="6">
                  <c:v>01.01.2017 г.</c:v>
                </c:pt>
              </c:strCache>
            </c:strRef>
          </c:cat>
          <c:val>
            <c:numRef>
              <c:f>демография!$H$217:$H$223</c:f>
              <c:numCache>
                <c:formatCode>General</c:formatCode>
                <c:ptCount val="7"/>
                <c:pt idx="0">
                  <c:v>469</c:v>
                </c:pt>
                <c:pt idx="1">
                  <c:v>465</c:v>
                </c:pt>
                <c:pt idx="2">
                  <c:v>470</c:v>
                </c:pt>
                <c:pt idx="3">
                  <c:v>477</c:v>
                </c:pt>
                <c:pt idx="4">
                  <c:v>477</c:v>
                </c:pt>
                <c:pt idx="5">
                  <c:v>432</c:v>
                </c:pt>
                <c:pt idx="6">
                  <c:v>440</c:v>
                </c:pt>
              </c:numCache>
            </c:numRef>
          </c:val>
          <c:extLst xmlns:c16r2="http://schemas.microsoft.com/office/drawing/2015/06/chart">
            <c:ext xmlns:c16="http://schemas.microsoft.com/office/drawing/2014/chart" uri="{C3380CC4-5D6E-409C-BE32-E72D297353CC}">
              <c16:uniqueId val="{00000004-0D46-47F4-9C15-F93E582E4736}"/>
            </c:ext>
          </c:extLst>
        </c:ser>
        <c:gapWidth val="219"/>
        <c:overlap val="-27"/>
        <c:axId val="167452672"/>
        <c:axId val="167454208"/>
      </c:barChart>
      <c:catAx>
        <c:axId val="1674526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454208"/>
        <c:crosses val="autoZero"/>
        <c:auto val="1"/>
        <c:lblAlgn val="ctr"/>
        <c:lblOffset val="100"/>
      </c:catAx>
      <c:valAx>
        <c:axId val="1674542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4526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118285214348209"/>
          <c:y val="5.1400554097404488E-2"/>
          <c:w val="0.68310870516185451"/>
          <c:h val="0.79822506561679785"/>
        </c:manualLayout>
      </c:layout>
      <c:lineChart>
        <c:grouping val="standard"/>
        <c:ser>
          <c:idx val="0"/>
          <c:order val="0"/>
          <c:tx>
            <c:strRef>
              <c:f>Культура!$B$1</c:f>
              <c:strCache>
                <c:ptCount val="1"/>
                <c:pt idx="0">
                  <c:v>План</c:v>
                </c:pt>
              </c:strCache>
            </c:strRef>
          </c:tx>
          <c:dLbls>
            <c:dLbl>
              <c:idx val="0"/>
              <c:layout>
                <c:manualLayout>
                  <c:x val="-4.5988292083478884E-2"/>
                  <c:y val="-4.060910955542238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0B6-46B3-86B8-ADF85EB28B04}"/>
                </c:ext>
              </c:extLst>
            </c:dLbl>
            <c:dLbl>
              <c:idx val="2"/>
              <c:layout>
                <c:manualLayout>
                  <c:x val="0"/>
                  <c:y val="-3.3840947546531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0B6-46B3-86B8-ADF85EB28B04}"/>
                </c:ext>
              </c:extLst>
            </c:dLbl>
            <c:dLbl>
              <c:idx val="3"/>
              <c:layout>
                <c:manualLayout>
                  <c:x val="0"/>
                  <c:y val="-2.03045685279187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0B6-46B3-86B8-ADF85EB28B04}"/>
                </c:ext>
              </c:extLst>
            </c:dLbl>
            <c:dLbl>
              <c:idx val="4"/>
              <c:layout>
                <c:manualLayout>
                  <c:x val="0"/>
                  <c:y val="-2.03045685279187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0B6-46B3-86B8-ADF85EB28B04}"/>
                </c:ext>
              </c:extLst>
            </c:dLbl>
            <c:dLbl>
              <c:idx val="5"/>
              <c:layout>
                <c:manualLayout>
                  <c:x val="0"/>
                  <c:y val="-3.72250423011844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0B6-46B3-86B8-ADF85EB28B04}"/>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Культура!$A$2:$A$7</c:f>
              <c:strCache>
                <c:ptCount val="6"/>
                <c:pt idx="0">
                  <c:v>2011 год</c:v>
                </c:pt>
                <c:pt idx="1">
                  <c:v>2012 год</c:v>
                </c:pt>
                <c:pt idx="2">
                  <c:v>2013 год</c:v>
                </c:pt>
                <c:pt idx="3">
                  <c:v>2014 год</c:v>
                </c:pt>
                <c:pt idx="4">
                  <c:v>2015 год</c:v>
                </c:pt>
                <c:pt idx="5">
                  <c:v>2016 год</c:v>
                </c:pt>
              </c:strCache>
            </c:strRef>
          </c:cat>
          <c:val>
            <c:numRef>
              <c:f>Культура!$B$2:$B$7</c:f>
              <c:numCache>
                <c:formatCode>General</c:formatCode>
                <c:ptCount val="6"/>
                <c:pt idx="0">
                  <c:v>8159</c:v>
                </c:pt>
                <c:pt idx="1">
                  <c:v>26223.1</c:v>
                </c:pt>
                <c:pt idx="2">
                  <c:v>20267.5</c:v>
                </c:pt>
                <c:pt idx="3">
                  <c:v>18533.400000000001</c:v>
                </c:pt>
                <c:pt idx="4">
                  <c:v>16602.8</c:v>
                </c:pt>
                <c:pt idx="5">
                  <c:v>52480.4</c:v>
                </c:pt>
              </c:numCache>
            </c:numRef>
          </c:val>
          <c:extLst xmlns:c16r2="http://schemas.microsoft.com/office/drawing/2015/06/chart">
            <c:ext xmlns:c16="http://schemas.microsoft.com/office/drawing/2014/chart" uri="{C3380CC4-5D6E-409C-BE32-E72D297353CC}">
              <c16:uniqueId val="{00000005-D0B6-46B3-86B8-ADF85EB28B04}"/>
            </c:ext>
          </c:extLst>
        </c:ser>
        <c:ser>
          <c:idx val="1"/>
          <c:order val="1"/>
          <c:tx>
            <c:strRef>
              <c:f>Культура!$C$1</c:f>
              <c:strCache>
                <c:ptCount val="1"/>
                <c:pt idx="0">
                  <c:v>Факт</c:v>
                </c:pt>
              </c:strCache>
            </c:strRef>
          </c:tx>
          <c:dLbls>
            <c:dLbl>
              <c:idx val="0"/>
              <c:layout>
                <c:manualLayout>
                  <c:x val="-4.2862421459745711E-2"/>
                  <c:y val="3.400914054399025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0B6-46B3-86B8-ADF85EB28B04}"/>
                </c:ext>
              </c:extLst>
            </c:dLbl>
            <c:dLbl>
              <c:idx val="1"/>
              <c:layout>
                <c:manualLayout>
                  <c:x val="-6.3091482649843302E-3"/>
                  <c:y val="4.060913705583757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0B6-46B3-86B8-ADF85EB28B04}"/>
                </c:ext>
              </c:extLst>
            </c:dLbl>
            <c:dLbl>
              <c:idx val="2"/>
              <c:layout>
                <c:manualLayout>
                  <c:x val="0"/>
                  <c:y val="4.060913705583757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0B6-46B3-86B8-ADF85EB28B04}"/>
                </c:ext>
              </c:extLst>
            </c:dLbl>
            <c:dLbl>
              <c:idx val="3"/>
              <c:layout>
                <c:manualLayout>
                  <c:x val="0"/>
                  <c:y val="4.399323181049215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0B6-46B3-86B8-ADF85EB28B04}"/>
                </c:ext>
              </c:extLst>
            </c:dLbl>
            <c:dLbl>
              <c:idx val="4"/>
              <c:layout>
                <c:manualLayout>
                  <c:x val="0"/>
                  <c:y val="3.3840947546531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0B6-46B3-86B8-ADF85EB28B04}"/>
                </c:ext>
              </c:extLst>
            </c:dLbl>
            <c:dLbl>
              <c:idx val="5"/>
              <c:layout>
                <c:manualLayout>
                  <c:x val="2.1030494216614211E-3"/>
                  <c:y val="2.707275803722546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0B6-46B3-86B8-ADF85EB28B04}"/>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Культура!$A$2:$A$7</c:f>
              <c:strCache>
                <c:ptCount val="6"/>
                <c:pt idx="0">
                  <c:v>2011 год</c:v>
                </c:pt>
                <c:pt idx="1">
                  <c:v>2012 год</c:v>
                </c:pt>
                <c:pt idx="2">
                  <c:v>2013 год</c:v>
                </c:pt>
                <c:pt idx="3">
                  <c:v>2014 год</c:v>
                </c:pt>
                <c:pt idx="4">
                  <c:v>2015 год</c:v>
                </c:pt>
                <c:pt idx="5">
                  <c:v>2016 год</c:v>
                </c:pt>
              </c:strCache>
            </c:strRef>
          </c:cat>
          <c:val>
            <c:numRef>
              <c:f>Культура!$C$2:$C$7</c:f>
              <c:numCache>
                <c:formatCode>General</c:formatCode>
                <c:ptCount val="6"/>
                <c:pt idx="0">
                  <c:v>8133.4</c:v>
                </c:pt>
                <c:pt idx="1">
                  <c:v>19547.7</c:v>
                </c:pt>
                <c:pt idx="2">
                  <c:v>19598.3</c:v>
                </c:pt>
                <c:pt idx="3">
                  <c:v>18289.5</c:v>
                </c:pt>
                <c:pt idx="4">
                  <c:v>16544</c:v>
                </c:pt>
                <c:pt idx="5">
                  <c:v>52446.2</c:v>
                </c:pt>
              </c:numCache>
            </c:numRef>
          </c:val>
          <c:extLst xmlns:c16r2="http://schemas.microsoft.com/office/drawing/2015/06/chart">
            <c:ext xmlns:c16="http://schemas.microsoft.com/office/drawing/2014/chart" uri="{C3380CC4-5D6E-409C-BE32-E72D297353CC}">
              <c16:uniqueId val="{0000000C-D0B6-46B3-86B8-ADF85EB28B04}"/>
            </c:ext>
          </c:extLst>
        </c:ser>
        <c:upDownBars>
          <c:gapWidth val="150"/>
          <c:upBars>
            <c:spPr>
              <a:gradFill>
                <a:gsLst>
                  <a:gs pos="0">
                    <a:srgbClr val="FFF200"/>
                  </a:gs>
                  <a:gs pos="45000">
                    <a:srgbClr val="FF7A00"/>
                  </a:gs>
                  <a:gs pos="70000">
                    <a:srgbClr val="FF0300"/>
                  </a:gs>
                  <a:gs pos="100000">
                    <a:srgbClr val="4D0808"/>
                  </a:gs>
                </a:gsLst>
                <a:lin ang="5400000" scaled="0"/>
              </a:gradFill>
            </c:spPr>
          </c:upBars>
          <c:downBars>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c:spPr>
          </c:downBars>
        </c:upDownBars>
        <c:marker val="1"/>
        <c:axId val="184255616"/>
        <c:axId val="184257152"/>
      </c:lineChart>
      <c:catAx>
        <c:axId val="184255616"/>
        <c:scaling>
          <c:orientation val="minMax"/>
        </c:scaling>
        <c:axPos val="b"/>
        <c:numFmt formatCode="General" sourceLinked="0"/>
        <c:tickLblPos val="nextTo"/>
        <c:crossAx val="184257152"/>
        <c:crosses val="autoZero"/>
        <c:auto val="1"/>
        <c:lblAlgn val="ctr"/>
        <c:lblOffset val="100"/>
      </c:catAx>
      <c:valAx>
        <c:axId val="184257152"/>
        <c:scaling>
          <c:orientation val="minMax"/>
        </c:scaling>
        <c:axPos val="l"/>
        <c:majorGridlines>
          <c:spPr>
            <a:ln w="0">
              <a:solidFill>
                <a:schemeClr val="bg1"/>
              </a:solidFill>
            </a:ln>
          </c:spPr>
        </c:majorGridlines>
        <c:numFmt formatCode="General" sourceLinked="1"/>
        <c:tickLblPos val="nextTo"/>
        <c:crossAx val="184255616"/>
        <c:crosses val="autoZero"/>
        <c:crossBetween val="between"/>
      </c:valAx>
    </c:plotArea>
    <c:legend>
      <c:legendPos val="b"/>
    </c:legend>
    <c:plotVisOnly val="1"/>
    <c:dispBlanksAs val="gap"/>
  </c:chart>
  <c:spPr>
    <a:ln>
      <a:noFill/>
    </a:ln>
  </c:sp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Безопасность!$B$1</c:f>
              <c:strCache>
                <c:ptCount val="1"/>
                <c:pt idx="0">
                  <c:v>План</c:v>
                </c:pt>
              </c:strCache>
            </c:strRef>
          </c:tx>
          <c:dLbls>
            <c:dLbl>
              <c:idx val="0"/>
              <c:layout>
                <c:manualLayout>
                  <c:x val="-5.5555555555555455E-2"/>
                  <c:y val="7.4074074074074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89C-41E0-BFD2-32DF5800B4E3}"/>
                </c:ext>
              </c:extLst>
            </c:dLbl>
            <c:dLbl>
              <c:idx val="1"/>
              <c:layout>
                <c:manualLayout>
                  <c:x val="-2.7777777777778557E-2"/>
                  <c:y val="-7.4074074074074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89C-41E0-BFD2-32DF5800B4E3}"/>
                </c:ext>
              </c:extLst>
            </c:dLbl>
            <c:dLbl>
              <c:idx val="2"/>
              <c:layout>
                <c:manualLayout>
                  <c:x val="-2.2222222222222251E-2"/>
                  <c:y val="-6.94444444444445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89C-41E0-BFD2-32DF5800B4E3}"/>
                </c:ext>
              </c:extLst>
            </c:dLbl>
            <c:dLbl>
              <c:idx val="3"/>
              <c:layout>
                <c:manualLayout>
                  <c:x val="-1.9444444444444445E-2"/>
                  <c:y val="3.240740740740807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89C-41E0-BFD2-32DF5800B4E3}"/>
                </c:ext>
              </c:extLst>
            </c:dLbl>
            <c:dLbl>
              <c:idx val="4"/>
              <c:layout>
                <c:manualLayout>
                  <c:x val="-3.055577427821525E-2"/>
                  <c:y val="-5.5555555555555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89C-41E0-BFD2-32DF5800B4E3}"/>
                </c:ext>
              </c:extLst>
            </c:dLbl>
            <c:dLbl>
              <c:idx val="5"/>
              <c:layout>
                <c:manualLayout>
                  <c:x val="-3.888888888888889E-2"/>
                  <c:y val="-6.481481481481614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89C-41E0-BFD2-32DF5800B4E3}"/>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Безопасность!$A$2:$A$7</c:f>
              <c:strCache>
                <c:ptCount val="6"/>
                <c:pt idx="0">
                  <c:v>2011 год</c:v>
                </c:pt>
                <c:pt idx="1">
                  <c:v>2012 год</c:v>
                </c:pt>
                <c:pt idx="2">
                  <c:v>2013 год</c:v>
                </c:pt>
                <c:pt idx="3">
                  <c:v>2014 год</c:v>
                </c:pt>
                <c:pt idx="4">
                  <c:v>2015 год</c:v>
                </c:pt>
                <c:pt idx="5">
                  <c:v>2016 год</c:v>
                </c:pt>
              </c:strCache>
            </c:strRef>
          </c:cat>
          <c:val>
            <c:numRef>
              <c:f>Безопасность!$B$2:$B$7</c:f>
              <c:numCache>
                <c:formatCode>General</c:formatCode>
                <c:ptCount val="6"/>
                <c:pt idx="0">
                  <c:v>28651.599999999897</c:v>
                </c:pt>
                <c:pt idx="1">
                  <c:v>2110.4</c:v>
                </c:pt>
                <c:pt idx="2">
                  <c:v>1418.7</c:v>
                </c:pt>
                <c:pt idx="3">
                  <c:v>1248.9000000000001</c:v>
                </c:pt>
                <c:pt idx="4">
                  <c:v>1395.8</c:v>
                </c:pt>
                <c:pt idx="5">
                  <c:v>1876.7</c:v>
                </c:pt>
              </c:numCache>
            </c:numRef>
          </c:val>
          <c:extLst xmlns:c16r2="http://schemas.microsoft.com/office/drawing/2015/06/chart">
            <c:ext xmlns:c16="http://schemas.microsoft.com/office/drawing/2014/chart" uri="{C3380CC4-5D6E-409C-BE32-E72D297353CC}">
              <c16:uniqueId val="{00000006-889C-41E0-BFD2-32DF5800B4E3}"/>
            </c:ext>
          </c:extLst>
        </c:ser>
        <c:ser>
          <c:idx val="1"/>
          <c:order val="1"/>
          <c:tx>
            <c:strRef>
              <c:f>Безопасность!$C$1</c:f>
              <c:strCache>
                <c:ptCount val="1"/>
                <c:pt idx="0">
                  <c:v>Факт</c:v>
                </c:pt>
              </c:strCache>
            </c:strRef>
          </c:tx>
          <c:dLbls>
            <c:dLbl>
              <c:idx val="0"/>
              <c:layout>
                <c:manualLayout>
                  <c:x val="-0.05"/>
                  <c:y val="-6.01851851851851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89C-41E0-BFD2-32DF5800B4E3}"/>
                </c:ext>
              </c:extLst>
            </c:dLbl>
            <c:dLbl>
              <c:idx val="1"/>
              <c:layout>
                <c:manualLayout>
                  <c:x val="-4.4444444444444502E-2"/>
                  <c:y val="7.4074074074074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89C-41E0-BFD2-32DF5800B4E3}"/>
                </c:ext>
              </c:extLst>
            </c:dLbl>
            <c:dLbl>
              <c:idx val="2"/>
              <c:layout>
                <c:manualLayout>
                  <c:x val="-3.0555555555555582E-2"/>
                  <c:y val="6.48144502770490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89C-41E0-BFD2-32DF5800B4E3}"/>
                </c:ext>
              </c:extLst>
            </c:dLbl>
            <c:dLbl>
              <c:idx val="3"/>
              <c:layout>
                <c:manualLayout>
                  <c:x val="-1.9444444444444445E-2"/>
                  <c:y val="-7.87037037037038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89C-41E0-BFD2-32DF5800B4E3}"/>
                </c:ext>
              </c:extLst>
            </c:dLbl>
            <c:dLbl>
              <c:idx val="4"/>
              <c:layout>
                <c:manualLayout>
                  <c:x val="-3.3333552055993004E-2"/>
                  <c:y val="5.5555555555555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89C-41E0-BFD2-32DF5800B4E3}"/>
                </c:ext>
              </c:extLst>
            </c:dLbl>
            <c:dLbl>
              <c:idx val="5"/>
              <c:layout>
                <c:manualLayout>
                  <c:x val="-3.888888888888889E-2"/>
                  <c:y val="5.5555555555555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89C-41E0-BFD2-32DF5800B4E3}"/>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Безопасность!$A$2:$A$7</c:f>
              <c:strCache>
                <c:ptCount val="6"/>
                <c:pt idx="0">
                  <c:v>2011 год</c:v>
                </c:pt>
                <c:pt idx="1">
                  <c:v>2012 год</c:v>
                </c:pt>
                <c:pt idx="2">
                  <c:v>2013 год</c:v>
                </c:pt>
                <c:pt idx="3">
                  <c:v>2014 год</c:v>
                </c:pt>
                <c:pt idx="4">
                  <c:v>2015 год</c:v>
                </c:pt>
                <c:pt idx="5">
                  <c:v>2016 год</c:v>
                </c:pt>
              </c:strCache>
            </c:strRef>
          </c:cat>
          <c:val>
            <c:numRef>
              <c:f>Безопасность!$C$2:$C$7</c:f>
              <c:numCache>
                <c:formatCode>General</c:formatCode>
                <c:ptCount val="6"/>
                <c:pt idx="0">
                  <c:v>28651.599999999897</c:v>
                </c:pt>
                <c:pt idx="1">
                  <c:v>2077.9</c:v>
                </c:pt>
                <c:pt idx="2">
                  <c:v>1415.5</c:v>
                </c:pt>
                <c:pt idx="3">
                  <c:v>1248.9000000000001</c:v>
                </c:pt>
                <c:pt idx="4">
                  <c:v>1336.9</c:v>
                </c:pt>
                <c:pt idx="5">
                  <c:v>1871.4</c:v>
                </c:pt>
              </c:numCache>
            </c:numRef>
          </c:val>
          <c:extLst xmlns:c16r2="http://schemas.microsoft.com/office/drawing/2015/06/chart">
            <c:ext xmlns:c16="http://schemas.microsoft.com/office/drawing/2014/chart" uri="{C3380CC4-5D6E-409C-BE32-E72D297353CC}">
              <c16:uniqueId val="{0000000D-889C-41E0-BFD2-32DF5800B4E3}"/>
            </c:ext>
          </c:extLst>
        </c:ser>
        <c:upDownBars>
          <c:gapWidth val="150"/>
          <c:upBars/>
          <c:downBars>
            <c:spPr>
              <a:solidFill>
                <a:srgbClr val="92D050"/>
              </a:solidFill>
            </c:spPr>
          </c:downBars>
        </c:upDownBars>
        <c:marker val="1"/>
        <c:axId val="184832384"/>
        <c:axId val="184833920"/>
      </c:lineChart>
      <c:catAx>
        <c:axId val="184832384"/>
        <c:scaling>
          <c:orientation val="minMax"/>
        </c:scaling>
        <c:axPos val="b"/>
        <c:numFmt formatCode="General" sourceLinked="0"/>
        <c:tickLblPos val="nextTo"/>
        <c:crossAx val="184833920"/>
        <c:crosses val="autoZero"/>
        <c:auto val="1"/>
        <c:lblAlgn val="ctr"/>
        <c:lblOffset val="100"/>
      </c:catAx>
      <c:valAx>
        <c:axId val="184833920"/>
        <c:scaling>
          <c:orientation val="minMax"/>
        </c:scaling>
        <c:axPos val="l"/>
        <c:majorGridlines/>
        <c:numFmt formatCode="General" sourceLinked="1"/>
        <c:tickLblPos val="nextTo"/>
        <c:crossAx val="184832384"/>
        <c:crosses val="autoZero"/>
        <c:crossBetween val="between"/>
      </c:valAx>
    </c:plotArea>
    <c:legend>
      <c:legendPos val="b"/>
    </c:legend>
    <c:plotVisOnly val="1"/>
    <c:dispBlanksAs val="gap"/>
  </c:chart>
  <c:spPr>
    <a:ln>
      <a:noFill/>
    </a:ln>
  </c:sp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[БюджетБарда.xlsx]Экономика!$B$1</c:f>
              <c:strCache>
                <c:ptCount val="1"/>
                <c:pt idx="0">
                  <c:v>План</c:v>
                </c:pt>
              </c:strCache>
            </c:strRef>
          </c:tx>
          <c:dLbls>
            <c:dLbl>
              <c:idx val="0"/>
              <c:layout>
                <c:manualLayout>
                  <c:x val="-4.1809562209007257E-2"/>
                  <c:y val="-3.96598371547222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6CA-411E-B7E6-51E584D83D0B}"/>
                </c:ext>
              </c:extLst>
            </c:dLbl>
            <c:dLbl>
              <c:idx val="1"/>
              <c:layout>
                <c:manualLayout>
                  <c:x val="4.4769527588645511E-17"/>
                  <c:y val="2.31481481481481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6CA-411E-B7E6-51E584D83D0B}"/>
                </c:ext>
              </c:extLst>
            </c:dLbl>
            <c:dLbl>
              <c:idx val="2"/>
              <c:layout>
                <c:manualLayout>
                  <c:x val="-5.2060615375072332E-2"/>
                  <c:y val="-3.096397616554761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6CA-411E-B7E6-51E584D83D0B}"/>
                </c:ext>
              </c:extLst>
            </c:dLbl>
            <c:dLbl>
              <c:idx val="3"/>
              <c:layout>
                <c:manualLayout>
                  <c:x val="-2.6406039289899416E-2"/>
                  <c:y val="-3.559350796136028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6CA-411E-B7E6-51E584D83D0B}"/>
                </c:ext>
              </c:extLst>
            </c:dLbl>
            <c:dLbl>
              <c:idx val="4"/>
              <c:layout>
                <c:manualLayout>
                  <c:x val="-3.7408555660690755E-2"/>
                  <c:y val="-4.472962112698263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6CA-411E-B7E6-51E584D83D0B}"/>
                </c:ext>
              </c:extLst>
            </c:dLbl>
            <c:dLbl>
              <c:idx val="5"/>
              <c:layout>
                <c:manualLayout>
                  <c:x val="-3.0055582633489546E-2"/>
                  <c:y val="-4.779249554144797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6CA-411E-B7E6-51E584D83D0B}"/>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[БюджетБарда.xlsx]Экономика!$A$2:$A$7</c:f>
              <c:strCache>
                <c:ptCount val="6"/>
                <c:pt idx="0">
                  <c:v>2011 год</c:v>
                </c:pt>
                <c:pt idx="1">
                  <c:v>2012 год</c:v>
                </c:pt>
                <c:pt idx="2">
                  <c:v>2013 год</c:v>
                </c:pt>
                <c:pt idx="3">
                  <c:v>2014 год</c:v>
                </c:pt>
                <c:pt idx="4">
                  <c:v>2015 год</c:v>
                </c:pt>
                <c:pt idx="5">
                  <c:v>2016 год</c:v>
                </c:pt>
              </c:strCache>
            </c:strRef>
          </c:cat>
          <c:val>
            <c:numRef>
              <c:f>[БюджетБарда.xlsx]Экономика!$B$2:$B$7</c:f>
              <c:numCache>
                <c:formatCode>General</c:formatCode>
                <c:ptCount val="6"/>
                <c:pt idx="0">
                  <c:v>42700</c:v>
                </c:pt>
                <c:pt idx="1">
                  <c:v>80814.8</c:v>
                </c:pt>
                <c:pt idx="2">
                  <c:v>79461.600000000006</c:v>
                </c:pt>
                <c:pt idx="3">
                  <c:v>73895.7</c:v>
                </c:pt>
                <c:pt idx="4">
                  <c:v>66562.600000000006</c:v>
                </c:pt>
                <c:pt idx="5">
                  <c:v>55492</c:v>
                </c:pt>
              </c:numCache>
            </c:numRef>
          </c:val>
          <c:extLst xmlns:c16r2="http://schemas.microsoft.com/office/drawing/2015/06/chart">
            <c:ext xmlns:c16="http://schemas.microsoft.com/office/drawing/2014/chart" uri="{C3380CC4-5D6E-409C-BE32-E72D297353CC}">
              <c16:uniqueId val="{00000006-56CA-411E-B7E6-51E584D83D0B}"/>
            </c:ext>
          </c:extLst>
        </c:ser>
        <c:ser>
          <c:idx val="1"/>
          <c:order val="1"/>
          <c:tx>
            <c:strRef>
              <c:f>[БюджетБарда.xlsx]Экономика!$C$1</c:f>
              <c:strCache>
                <c:ptCount val="1"/>
                <c:pt idx="0">
                  <c:v>Факт</c:v>
                </c:pt>
              </c:strCache>
            </c:strRef>
          </c:tx>
          <c:dLbls>
            <c:dLbl>
              <c:idx val="0"/>
              <c:layout>
                <c:manualLayout>
                  <c:x val="-4.1809562209007257E-2"/>
                  <c:y val="5.69286087070673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6CA-411E-B7E6-51E584D83D0B}"/>
                </c:ext>
              </c:extLst>
            </c:dLbl>
            <c:dLbl>
              <c:idx val="1"/>
              <c:layout>
                <c:manualLayout>
                  <c:x val="0"/>
                  <c:y val="-4.166666666666667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6CA-411E-B7E6-51E584D83D0B}"/>
                </c:ext>
              </c:extLst>
            </c:dLbl>
            <c:dLbl>
              <c:idx val="2"/>
              <c:layout>
                <c:manualLayout>
                  <c:x val="-4.9925780663190096E-2"/>
                  <c:y val="6.75609389058063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6CA-411E-B7E6-51E584D83D0B}"/>
                </c:ext>
              </c:extLst>
            </c:dLbl>
            <c:dLbl>
              <c:idx val="3"/>
              <c:layout>
                <c:manualLayout>
                  <c:x val="-4.2746941950204807E-2"/>
                  <c:y val="5.592515392817005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6CA-411E-B7E6-51E584D83D0B}"/>
                </c:ext>
              </c:extLst>
            </c:dLbl>
            <c:dLbl>
              <c:idx val="4"/>
              <c:layout>
                <c:manualLayout>
                  <c:x val="-3.9609058934848985E-2"/>
                  <c:y val="4.472962112698263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6CA-411E-B7E6-51E584D83D0B}"/>
                </c:ext>
              </c:extLst>
            </c:dLbl>
            <c:dLbl>
              <c:idx val="5"/>
              <c:layout>
                <c:manualLayout>
                  <c:x val="-3.5208052386532435E-2"/>
                  <c:y val="5.286227951370656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6CA-411E-B7E6-51E584D83D0B}"/>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[БюджетБарда.xlsx]Экономика!$A$2:$A$7</c:f>
              <c:strCache>
                <c:ptCount val="6"/>
                <c:pt idx="0">
                  <c:v>2011 год</c:v>
                </c:pt>
                <c:pt idx="1">
                  <c:v>2012 год</c:v>
                </c:pt>
                <c:pt idx="2">
                  <c:v>2013 год</c:v>
                </c:pt>
                <c:pt idx="3">
                  <c:v>2014 год</c:v>
                </c:pt>
                <c:pt idx="4">
                  <c:v>2015 год</c:v>
                </c:pt>
                <c:pt idx="5">
                  <c:v>2016 год</c:v>
                </c:pt>
              </c:strCache>
            </c:strRef>
          </c:cat>
          <c:val>
            <c:numRef>
              <c:f>[БюджетБарда.xlsx]Экономика!$C$2:$C$7</c:f>
              <c:numCache>
                <c:formatCode>General</c:formatCode>
                <c:ptCount val="6"/>
                <c:pt idx="0">
                  <c:v>40034.699999999997</c:v>
                </c:pt>
                <c:pt idx="1">
                  <c:v>62943.1</c:v>
                </c:pt>
                <c:pt idx="2">
                  <c:v>73121.5</c:v>
                </c:pt>
                <c:pt idx="3">
                  <c:v>60846</c:v>
                </c:pt>
                <c:pt idx="4">
                  <c:v>57057.599999999999</c:v>
                </c:pt>
                <c:pt idx="5">
                  <c:v>53196.2</c:v>
                </c:pt>
              </c:numCache>
            </c:numRef>
          </c:val>
          <c:extLst xmlns:c16r2="http://schemas.microsoft.com/office/drawing/2015/06/chart">
            <c:ext xmlns:c16="http://schemas.microsoft.com/office/drawing/2014/chart" uri="{C3380CC4-5D6E-409C-BE32-E72D297353CC}">
              <c16:uniqueId val="{0000000D-56CA-411E-B7E6-51E584D83D0B}"/>
            </c:ext>
          </c:extLst>
        </c:ser>
        <c:upDownBars>
          <c:gapWidth val="150"/>
          <c:upBars>
            <c:spPr>
              <a:gradFill>
                <a:gsLst>
                  <a:gs pos="0">
                    <a:srgbClr val="FFF200"/>
                  </a:gs>
                  <a:gs pos="45000">
                    <a:srgbClr val="FF7A00"/>
                  </a:gs>
                  <a:gs pos="70000">
                    <a:srgbClr val="FF0300"/>
                  </a:gs>
                  <a:gs pos="100000">
                    <a:srgbClr val="4D0808"/>
                  </a:gs>
                </a:gsLst>
                <a:lin ang="5400000" scaled="0"/>
              </a:gradFill>
            </c:spPr>
          </c:upBars>
          <c:downBar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c:spPr>
          </c:downBars>
        </c:upDownBars>
        <c:marker val="1"/>
        <c:axId val="184864128"/>
        <c:axId val="184906880"/>
      </c:lineChart>
      <c:catAx>
        <c:axId val="184864128"/>
        <c:scaling>
          <c:orientation val="minMax"/>
        </c:scaling>
        <c:axPos val="b"/>
        <c:numFmt formatCode="General" sourceLinked="0"/>
        <c:tickLblPos val="nextTo"/>
        <c:crossAx val="184906880"/>
        <c:crosses val="autoZero"/>
        <c:auto val="1"/>
        <c:lblAlgn val="ctr"/>
        <c:lblOffset val="100"/>
      </c:catAx>
      <c:valAx>
        <c:axId val="184906880"/>
        <c:scaling>
          <c:orientation val="minMax"/>
        </c:scaling>
        <c:axPos val="l"/>
        <c:majorGridlines>
          <c:spPr>
            <a:ln w="0">
              <a:solidFill>
                <a:schemeClr val="bg1"/>
              </a:solidFill>
            </a:ln>
          </c:spPr>
        </c:majorGridlines>
        <c:numFmt formatCode="General" sourceLinked="1"/>
        <c:tickLblPos val="nextTo"/>
        <c:crossAx val="184864128"/>
        <c:crosses val="autoZero"/>
        <c:crossBetween val="between"/>
      </c:valAx>
    </c:plotArea>
    <c:legend>
      <c:legendPos val="b"/>
    </c:legend>
    <c:plotVisOnly val="1"/>
    <c:dispBlanksAs val="gap"/>
  </c:chart>
  <c:spPr>
    <a:noFill/>
    <a:ln>
      <a:noFill/>
    </a:ln>
  </c:sp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[БюджетБарда.xlsx]Образование!$B$1</c:f>
              <c:strCache>
                <c:ptCount val="1"/>
                <c:pt idx="0">
                  <c:v>План</c:v>
                </c:pt>
              </c:strCache>
            </c:strRef>
          </c:tx>
          <c:dLbls>
            <c:dLbl>
              <c:idx val="0"/>
              <c:layout>
                <c:manualLayout>
                  <c:x val="-6.9266301668402419E-2"/>
                  <c:y val="-6.339027823874711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C38-404A-A10D-31BEEDED6D6B}"/>
                </c:ext>
              </c:extLst>
            </c:dLbl>
            <c:dLbl>
              <c:idx val="1"/>
              <c:layout>
                <c:manualLayout>
                  <c:x val="-5.4077693241679124E-2"/>
                  <c:y val="-5.62677438737752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C38-404A-A10D-31BEEDED6D6B}"/>
                </c:ext>
              </c:extLst>
            </c:dLbl>
            <c:dLbl>
              <c:idx val="2"/>
              <c:layout>
                <c:manualLayout>
                  <c:x val="-5.4392214553917941E-2"/>
                  <c:y val="-4.059822996183798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C38-404A-A10D-31BEEDED6D6B}"/>
                </c:ext>
              </c:extLst>
            </c:dLbl>
            <c:dLbl>
              <c:idx val="3"/>
              <c:layout>
                <c:manualLayout>
                  <c:x val="-6.0933106283013044E-2"/>
                  <c:y val="-4.843298691780786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C38-404A-A10D-31BEEDED6D6B}"/>
                </c:ext>
              </c:extLst>
            </c:dLbl>
            <c:dLbl>
              <c:idx val="4"/>
              <c:layout>
                <c:manualLayout>
                  <c:x val="-5.2777777777777792E-2"/>
                  <c:y val="-4.16666666666666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C38-404A-A10D-31BEEDED6D6B}"/>
                </c:ext>
              </c:extLst>
            </c:dLbl>
            <c:dLbl>
              <c:idx val="5"/>
              <c:layout>
                <c:manualLayout>
                  <c:x val="-2.1058893216055991E-2"/>
                  <c:y val="-5.056965469079853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C38-404A-A10D-31BEEDED6D6B}"/>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[БюджетБарда.xlsx]Образование!$A$2:$A$7</c:f>
              <c:strCache>
                <c:ptCount val="6"/>
                <c:pt idx="0">
                  <c:v>2011 год</c:v>
                </c:pt>
                <c:pt idx="1">
                  <c:v>2012 год</c:v>
                </c:pt>
                <c:pt idx="2">
                  <c:v>2013 год</c:v>
                </c:pt>
                <c:pt idx="3">
                  <c:v>2014 год</c:v>
                </c:pt>
                <c:pt idx="4">
                  <c:v>2015 год</c:v>
                </c:pt>
                <c:pt idx="5">
                  <c:v>2016 год</c:v>
                </c:pt>
              </c:strCache>
            </c:strRef>
          </c:cat>
          <c:val>
            <c:numRef>
              <c:f>[БюджетБарда.xlsx]Образование!$B$2:$B$7</c:f>
              <c:numCache>
                <c:formatCode>General</c:formatCode>
                <c:ptCount val="6"/>
                <c:pt idx="0">
                  <c:v>293065.2</c:v>
                </c:pt>
                <c:pt idx="1">
                  <c:v>368269</c:v>
                </c:pt>
                <c:pt idx="2">
                  <c:v>413770.7</c:v>
                </c:pt>
                <c:pt idx="3">
                  <c:v>432789.1</c:v>
                </c:pt>
                <c:pt idx="4">
                  <c:v>409907.4</c:v>
                </c:pt>
                <c:pt idx="5">
                  <c:v>423533.1</c:v>
                </c:pt>
              </c:numCache>
            </c:numRef>
          </c:val>
          <c:extLst xmlns:c16r2="http://schemas.microsoft.com/office/drawing/2015/06/chart">
            <c:ext xmlns:c16="http://schemas.microsoft.com/office/drawing/2014/chart" uri="{C3380CC4-5D6E-409C-BE32-E72D297353CC}">
              <c16:uniqueId val="{00000006-DC38-404A-A10D-31BEEDED6D6B}"/>
            </c:ext>
          </c:extLst>
        </c:ser>
        <c:ser>
          <c:idx val="1"/>
          <c:order val="1"/>
          <c:tx>
            <c:strRef>
              <c:f>[БюджетБарда.xlsx]Образование!$C$1</c:f>
              <c:strCache>
                <c:ptCount val="1"/>
                <c:pt idx="0">
                  <c:v>Факт</c:v>
                </c:pt>
              </c:strCache>
            </c:strRef>
          </c:tx>
          <c:dLbls>
            <c:dLbl>
              <c:idx val="0"/>
              <c:layout>
                <c:manualLayout>
                  <c:x val="-5.6855485014175054E-2"/>
                  <c:y val="6.69516996487315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C38-404A-A10D-31BEEDED6D6B}"/>
                </c:ext>
              </c:extLst>
            </c:dLbl>
            <c:dLbl>
              <c:idx val="1"/>
              <c:layout>
                <c:manualLayout>
                  <c:x val="-5.0136460505263734E-2"/>
                  <c:y val="6.801987930772829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C38-404A-A10D-31BEEDED6D6B}"/>
                </c:ext>
              </c:extLst>
            </c:dLbl>
            <c:dLbl>
              <c:idx val="2"/>
              <c:layout>
                <c:manualLayout>
                  <c:x val="-4.1981217967587754E-2"/>
                  <c:y val="6.90880589667251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C38-404A-A10D-31BEEDED6D6B}"/>
                </c:ext>
              </c:extLst>
            </c:dLbl>
            <c:dLbl>
              <c:idx val="3"/>
              <c:layout>
                <c:manualLayout>
                  <c:x val="-5.9455144006857565E-2"/>
                  <c:y val="6.374654376174440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C38-404A-A10D-31BEEDED6D6B}"/>
                </c:ext>
              </c:extLst>
            </c:dLbl>
            <c:dLbl>
              <c:idx val="4"/>
              <c:layout>
                <c:manualLayout>
                  <c:x val="-3.6111111111111212E-2"/>
                  <c:y val="5.09259259259259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C38-404A-A10D-31BEEDED6D6B}"/>
                </c:ext>
              </c:extLst>
            </c:dLbl>
            <c:dLbl>
              <c:idx val="5"/>
              <c:layout>
                <c:manualLayout>
                  <c:x val="-2.5314647264708192E-2"/>
                  <c:y val="5.733623198777208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C38-404A-A10D-31BEEDED6D6B}"/>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[БюджетБарда.xlsx]Образование!$A$2:$A$7</c:f>
              <c:strCache>
                <c:ptCount val="6"/>
                <c:pt idx="0">
                  <c:v>2011 год</c:v>
                </c:pt>
                <c:pt idx="1">
                  <c:v>2012 год</c:v>
                </c:pt>
                <c:pt idx="2">
                  <c:v>2013 год</c:v>
                </c:pt>
                <c:pt idx="3">
                  <c:v>2014 год</c:v>
                </c:pt>
                <c:pt idx="4">
                  <c:v>2015 год</c:v>
                </c:pt>
                <c:pt idx="5">
                  <c:v>2016 год</c:v>
                </c:pt>
              </c:strCache>
            </c:strRef>
          </c:cat>
          <c:val>
            <c:numRef>
              <c:f>[БюджетБарда.xlsx]Образование!$C$2:$C$7</c:f>
              <c:numCache>
                <c:formatCode>General</c:formatCode>
                <c:ptCount val="6"/>
                <c:pt idx="0">
                  <c:v>286732.2</c:v>
                </c:pt>
                <c:pt idx="1">
                  <c:v>366762.5</c:v>
                </c:pt>
                <c:pt idx="2">
                  <c:v>412405</c:v>
                </c:pt>
                <c:pt idx="3">
                  <c:v>427253.2</c:v>
                </c:pt>
                <c:pt idx="4">
                  <c:v>404107.4</c:v>
                </c:pt>
                <c:pt idx="5">
                  <c:v>420275.20000000001</c:v>
                </c:pt>
              </c:numCache>
            </c:numRef>
          </c:val>
          <c:extLst xmlns:c16r2="http://schemas.microsoft.com/office/drawing/2015/06/chart">
            <c:ext xmlns:c16="http://schemas.microsoft.com/office/drawing/2014/chart" uri="{C3380CC4-5D6E-409C-BE32-E72D297353CC}">
              <c16:uniqueId val="{0000000D-DC38-404A-A10D-31BEEDED6D6B}"/>
            </c:ext>
          </c:extLst>
        </c:ser>
        <c:upDownBars>
          <c:gapWidth val="150"/>
          <c:upBars>
            <c:spPr>
              <a:gradFill>
                <a:gsLst>
                  <a:gs pos="0">
                    <a:srgbClr val="FFF200"/>
                  </a:gs>
                  <a:gs pos="45000">
                    <a:srgbClr val="FF7A00"/>
                  </a:gs>
                  <a:gs pos="70000">
                    <a:srgbClr val="FF0300"/>
                  </a:gs>
                  <a:gs pos="100000">
                    <a:srgbClr val="4D0808"/>
                  </a:gs>
                </a:gsLst>
                <a:lin ang="5400000" scaled="0"/>
              </a:gradFill>
            </c:spPr>
          </c:upBars>
          <c:downBars>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c:spPr>
          </c:downBars>
        </c:upDownBars>
        <c:marker val="1"/>
        <c:axId val="184941184"/>
        <c:axId val="184963456"/>
      </c:lineChart>
      <c:catAx>
        <c:axId val="184941184"/>
        <c:scaling>
          <c:orientation val="minMax"/>
        </c:scaling>
        <c:axPos val="b"/>
        <c:numFmt formatCode="General" sourceLinked="0"/>
        <c:tickLblPos val="nextTo"/>
        <c:crossAx val="184963456"/>
        <c:crosses val="autoZero"/>
        <c:auto val="1"/>
        <c:lblAlgn val="ctr"/>
        <c:lblOffset val="100"/>
      </c:catAx>
      <c:valAx>
        <c:axId val="184963456"/>
        <c:scaling>
          <c:orientation val="minMax"/>
        </c:scaling>
        <c:axPos val="l"/>
        <c:majorGridlines>
          <c:spPr>
            <a:ln w="0">
              <a:solidFill>
                <a:schemeClr val="bg1"/>
              </a:solidFill>
            </a:ln>
          </c:spPr>
        </c:majorGridlines>
        <c:numFmt formatCode="General" sourceLinked="1"/>
        <c:tickLblPos val="nextTo"/>
        <c:crossAx val="184941184"/>
        <c:crosses val="autoZero"/>
        <c:crossBetween val="between"/>
      </c:valAx>
    </c:plotArea>
    <c:legend>
      <c:legendPos val="b"/>
    </c:legend>
    <c:plotVisOnly val="1"/>
    <c:dispBlanksAs val="gap"/>
  </c:chart>
  <c:spPr>
    <a:ln>
      <a:noFill/>
    </a:ln>
  </c:sp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'[БюджетБарда.xlsx]Общие вопросы'!$B$1</c:f>
              <c:strCache>
                <c:ptCount val="1"/>
                <c:pt idx="0">
                  <c:v>План</c:v>
                </c:pt>
              </c:strCache>
            </c:strRef>
          </c:tx>
          <c:dLbls>
            <c:dLbl>
              <c:idx val="0"/>
              <c:layout>
                <c:manualLayout>
                  <c:x val="-6.1111111111111123E-2"/>
                  <c:y val="-3.703703703703705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2DD-4FD7-A8D1-627FF38177D1}"/>
                </c:ext>
              </c:extLst>
            </c:dLbl>
            <c:dLbl>
              <c:idx val="1"/>
              <c:layout>
                <c:manualLayout>
                  <c:x val="-8.3333333333333343E-2"/>
                  <c:y val="-8.333333333333339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2DD-4FD7-A8D1-627FF38177D1}"/>
                </c:ext>
              </c:extLst>
            </c:dLbl>
            <c:dLbl>
              <c:idx val="2"/>
              <c:layout>
                <c:manualLayout>
                  <c:x val="-5.5555555555555455E-2"/>
                  <c:y val="-3.240740740740805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2DD-4FD7-A8D1-627FF38177D1}"/>
                </c:ext>
              </c:extLst>
            </c:dLbl>
            <c:dLbl>
              <c:idx val="3"/>
              <c:layout>
                <c:manualLayout>
                  <c:x val="-4.1666666666666664E-2"/>
                  <c:y val="-5.5555555555555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2DD-4FD7-A8D1-627FF38177D1}"/>
                </c:ext>
              </c:extLst>
            </c:dLbl>
            <c:dLbl>
              <c:idx val="4"/>
              <c:layout>
                <c:manualLayout>
                  <c:x val="-5.8333333333334375E-2"/>
                  <c:y val="-4.62966608340624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2DD-4FD7-A8D1-627FF38177D1}"/>
                </c:ext>
              </c:extLst>
            </c:dLbl>
            <c:dLbl>
              <c:idx val="5"/>
              <c:layout>
                <c:manualLayout>
                  <c:x val="-3.8889107611548616E-2"/>
                  <c:y val="-5.09259259259259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2DD-4FD7-A8D1-627FF38177D1}"/>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'[БюджетБарда.xlsx]Общие вопросы'!$A$2:$A$7</c:f>
              <c:strCache>
                <c:ptCount val="6"/>
                <c:pt idx="0">
                  <c:v>2011 год</c:v>
                </c:pt>
                <c:pt idx="1">
                  <c:v>2012 год</c:v>
                </c:pt>
                <c:pt idx="2">
                  <c:v>2013 год</c:v>
                </c:pt>
                <c:pt idx="3">
                  <c:v>2014 год</c:v>
                </c:pt>
                <c:pt idx="4">
                  <c:v>2015 год</c:v>
                </c:pt>
                <c:pt idx="5">
                  <c:v>2016 год</c:v>
                </c:pt>
              </c:strCache>
            </c:strRef>
          </c:cat>
          <c:val>
            <c:numRef>
              <c:f>'[БюджетБарда.xlsx]Общие вопросы'!$B$2:$B$7</c:f>
              <c:numCache>
                <c:formatCode>General</c:formatCode>
                <c:ptCount val="6"/>
                <c:pt idx="0">
                  <c:v>68196.2</c:v>
                </c:pt>
                <c:pt idx="1">
                  <c:v>43095.4</c:v>
                </c:pt>
                <c:pt idx="2">
                  <c:v>71748</c:v>
                </c:pt>
                <c:pt idx="3">
                  <c:v>46605</c:v>
                </c:pt>
                <c:pt idx="4">
                  <c:v>49587.5</c:v>
                </c:pt>
                <c:pt idx="5">
                  <c:v>46427</c:v>
                </c:pt>
              </c:numCache>
            </c:numRef>
          </c:val>
          <c:extLst xmlns:c16r2="http://schemas.microsoft.com/office/drawing/2015/06/chart">
            <c:ext xmlns:c16="http://schemas.microsoft.com/office/drawing/2014/chart" uri="{C3380CC4-5D6E-409C-BE32-E72D297353CC}">
              <c16:uniqueId val="{00000006-D2DD-4FD7-A8D1-627FF38177D1}"/>
            </c:ext>
          </c:extLst>
        </c:ser>
        <c:ser>
          <c:idx val="1"/>
          <c:order val="1"/>
          <c:tx>
            <c:strRef>
              <c:f>'[БюджетБарда.xlsx]Общие вопросы'!$C$1</c:f>
              <c:strCache>
                <c:ptCount val="1"/>
                <c:pt idx="0">
                  <c:v>Факт</c:v>
                </c:pt>
              </c:strCache>
            </c:strRef>
          </c:tx>
          <c:dLbls>
            <c:dLbl>
              <c:idx val="0"/>
              <c:layout>
                <c:manualLayout>
                  <c:x val="-6.1111111111111123E-2"/>
                  <c:y val="5.5555555555555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2DD-4FD7-A8D1-627FF38177D1}"/>
                </c:ext>
              </c:extLst>
            </c:dLbl>
            <c:dLbl>
              <c:idx val="1"/>
              <c:layout>
                <c:manualLayout>
                  <c:x val="-5.8333333333334375E-2"/>
                  <c:y val="7.4074074074074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2DD-4FD7-A8D1-627FF38177D1}"/>
                </c:ext>
              </c:extLst>
            </c:dLbl>
            <c:dLbl>
              <c:idx val="2"/>
              <c:layout>
                <c:manualLayout>
                  <c:x val="-5.2777777777777792E-2"/>
                  <c:y val="6.94444444444445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2DD-4FD7-A8D1-627FF38177D1}"/>
                </c:ext>
              </c:extLst>
            </c:dLbl>
            <c:dLbl>
              <c:idx val="3"/>
              <c:layout>
                <c:manualLayout>
                  <c:x val="-5.2777777777777792E-2"/>
                  <c:y val="4.16666666666666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2DD-4FD7-A8D1-627FF38177D1}"/>
                </c:ext>
              </c:extLst>
            </c:dLbl>
            <c:dLbl>
              <c:idx val="4"/>
              <c:layout>
                <c:manualLayout>
                  <c:x val="-6.1111111111111123E-2"/>
                  <c:y val="6.94444444444445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2DD-4FD7-A8D1-627FF38177D1}"/>
                </c:ext>
              </c:extLst>
            </c:dLbl>
            <c:dLbl>
              <c:idx val="5"/>
              <c:layout>
                <c:manualLayout>
                  <c:x val="-3.3333552055993004E-2"/>
                  <c:y val="6.48148148148162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2DD-4FD7-A8D1-627FF38177D1}"/>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'[БюджетБарда.xlsx]Общие вопросы'!$A$2:$A$7</c:f>
              <c:strCache>
                <c:ptCount val="6"/>
                <c:pt idx="0">
                  <c:v>2011 год</c:v>
                </c:pt>
                <c:pt idx="1">
                  <c:v>2012 год</c:v>
                </c:pt>
                <c:pt idx="2">
                  <c:v>2013 год</c:v>
                </c:pt>
                <c:pt idx="3">
                  <c:v>2014 год</c:v>
                </c:pt>
                <c:pt idx="4">
                  <c:v>2015 год</c:v>
                </c:pt>
                <c:pt idx="5">
                  <c:v>2016 год</c:v>
                </c:pt>
              </c:strCache>
            </c:strRef>
          </c:cat>
          <c:val>
            <c:numRef>
              <c:f>'[БюджетБарда.xlsx]Общие вопросы'!$C$2:$C$7</c:f>
              <c:numCache>
                <c:formatCode>General</c:formatCode>
                <c:ptCount val="6"/>
                <c:pt idx="0">
                  <c:v>34555.599999999999</c:v>
                </c:pt>
                <c:pt idx="1">
                  <c:v>39042.300000000003</c:v>
                </c:pt>
                <c:pt idx="2">
                  <c:v>54405.599999999999</c:v>
                </c:pt>
                <c:pt idx="3">
                  <c:v>44707.4</c:v>
                </c:pt>
                <c:pt idx="4">
                  <c:v>48772.1</c:v>
                </c:pt>
                <c:pt idx="5">
                  <c:v>44905</c:v>
                </c:pt>
              </c:numCache>
            </c:numRef>
          </c:val>
          <c:extLst xmlns:c16r2="http://schemas.microsoft.com/office/drawing/2015/06/chart">
            <c:ext xmlns:c16="http://schemas.microsoft.com/office/drawing/2014/chart" uri="{C3380CC4-5D6E-409C-BE32-E72D297353CC}">
              <c16:uniqueId val="{0000000D-D2DD-4FD7-A8D1-627FF38177D1}"/>
            </c:ext>
          </c:extLst>
        </c:ser>
        <c:upDownBars>
          <c:gapWidth val="150"/>
          <c:upBars>
            <c:spPr>
              <a:gradFill>
                <a:gsLst>
                  <a:gs pos="0">
                    <a:srgbClr val="FFF200"/>
                  </a:gs>
                  <a:gs pos="45000">
                    <a:srgbClr val="FF7A00"/>
                  </a:gs>
                  <a:gs pos="70000">
                    <a:srgbClr val="FF0300"/>
                  </a:gs>
                  <a:gs pos="100000">
                    <a:srgbClr val="4D0808"/>
                  </a:gs>
                </a:gsLst>
                <a:lin ang="5400000" scaled="0"/>
              </a:gradFill>
            </c:spPr>
          </c:upBars>
          <c:downBars>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c:spPr>
          </c:downBars>
        </c:upDownBars>
        <c:marker val="1"/>
        <c:axId val="185010048"/>
        <c:axId val="185011584"/>
      </c:lineChart>
      <c:catAx>
        <c:axId val="185010048"/>
        <c:scaling>
          <c:orientation val="minMax"/>
        </c:scaling>
        <c:axPos val="b"/>
        <c:numFmt formatCode="General" sourceLinked="0"/>
        <c:tickLblPos val="nextTo"/>
        <c:crossAx val="185011584"/>
        <c:crosses val="autoZero"/>
        <c:auto val="1"/>
        <c:lblAlgn val="ctr"/>
        <c:lblOffset val="100"/>
      </c:catAx>
      <c:valAx>
        <c:axId val="185011584"/>
        <c:scaling>
          <c:orientation val="minMax"/>
        </c:scaling>
        <c:axPos val="l"/>
        <c:majorGridlines>
          <c:spPr>
            <a:ln w="0">
              <a:solidFill>
                <a:schemeClr val="bg1"/>
              </a:solidFill>
            </a:ln>
          </c:spPr>
        </c:majorGridlines>
        <c:numFmt formatCode="General" sourceLinked="1"/>
        <c:tickLblPos val="nextTo"/>
        <c:crossAx val="185010048"/>
        <c:crosses val="autoZero"/>
        <c:crossBetween val="between"/>
      </c:valAx>
    </c:plotArea>
    <c:legend>
      <c:legendPos val="b"/>
    </c:legend>
    <c:plotVisOnly val="1"/>
    <c:dispBlanksAs val="gap"/>
  </c:chart>
  <c:spPr>
    <a:ln>
      <a:noFill/>
    </a:ln>
  </c:sp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'[БюджетБарда.xlsx]Социальная политика'!$B$1</c:f>
              <c:strCache>
                <c:ptCount val="1"/>
                <c:pt idx="0">
                  <c:v>План</c:v>
                </c:pt>
              </c:strCache>
            </c:strRef>
          </c:tx>
          <c:dLbls>
            <c:dLbl>
              <c:idx val="0"/>
              <c:layout>
                <c:manualLayout>
                  <c:x val="-5.4595844775683515E-2"/>
                  <c:y val="-4.56155442892646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3DC-4A88-9F26-BAB3F1C9B3AE}"/>
                </c:ext>
              </c:extLst>
            </c:dLbl>
            <c:dLbl>
              <c:idx val="1"/>
              <c:layout>
                <c:manualLayout>
                  <c:x val="-5.8941423057622483E-2"/>
                  <c:y val="-2.464604335513118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3DC-4A88-9F26-BAB3F1C9B3AE}"/>
                </c:ext>
              </c:extLst>
            </c:dLbl>
            <c:dLbl>
              <c:idx val="2"/>
              <c:layout>
                <c:manualLayout>
                  <c:x val="-5.7492896963644145E-2"/>
                  <c:y val="-3.994194585410727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3DC-4A88-9F26-BAB3F1C9B3AE}"/>
                </c:ext>
              </c:extLst>
            </c:dLbl>
            <c:dLbl>
              <c:idx val="3"/>
              <c:layout>
                <c:manualLayout>
                  <c:x val="-4.2513048209572225E-2"/>
                  <c:y val="-5.165239392170692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3DC-4A88-9F26-BAB3F1C9B3AE}"/>
                </c:ext>
              </c:extLst>
            </c:dLbl>
            <c:dLbl>
              <c:idx val="4"/>
              <c:layout>
                <c:manualLayout>
                  <c:x val="-6.0026371993282902E-2"/>
                  <c:y val="-4.602392669590839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3DC-4A88-9F26-BAB3F1C9B3AE}"/>
                </c:ext>
              </c:extLst>
            </c:dLbl>
            <c:dLbl>
              <c:idx val="5"/>
              <c:layout>
                <c:manualLayout>
                  <c:x val="-4.9642377050114032E-2"/>
                  <c:y val="-3.63562162324301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3DC-4A88-9F26-BAB3F1C9B3AE}"/>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'[БюджетБарда.xlsx]Социальная политика'!$A$2:$A$7</c:f>
              <c:strCache>
                <c:ptCount val="6"/>
                <c:pt idx="0">
                  <c:v>2011 год</c:v>
                </c:pt>
                <c:pt idx="1">
                  <c:v>2012 год</c:v>
                </c:pt>
                <c:pt idx="2">
                  <c:v>2013 год</c:v>
                </c:pt>
                <c:pt idx="3">
                  <c:v>2014 год</c:v>
                </c:pt>
                <c:pt idx="4">
                  <c:v>2015 год</c:v>
                </c:pt>
                <c:pt idx="5">
                  <c:v>2016 год</c:v>
                </c:pt>
              </c:strCache>
            </c:strRef>
          </c:cat>
          <c:val>
            <c:numRef>
              <c:f>'[БюджетБарда.xlsx]Социальная политика'!$B$2:$B$7</c:f>
              <c:numCache>
                <c:formatCode>General</c:formatCode>
                <c:ptCount val="6"/>
                <c:pt idx="0">
                  <c:v>157709.29999999999</c:v>
                </c:pt>
                <c:pt idx="1">
                  <c:v>207296.1</c:v>
                </c:pt>
                <c:pt idx="2">
                  <c:v>172551.8</c:v>
                </c:pt>
                <c:pt idx="3">
                  <c:v>51642.8</c:v>
                </c:pt>
                <c:pt idx="4">
                  <c:v>46603.199999999997</c:v>
                </c:pt>
                <c:pt idx="5">
                  <c:v>50860</c:v>
                </c:pt>
              </c:numCache>
            </c:numRef>
          </c:val>
          <c:extLst xmlns:c16r2="http://schemas.microsoft.com/office/drawing/2015/06/chart">
            <c:ext xmlns:c16="http://schemas.microsoft.com/office/drawing/2014/chart" uri="{C3380CC4-5D6E-409C-BE32-E72D297353CC}">
              <c16:uniqueId val="{00000006-B3DC-4A88-9F26-BAB3F1C9B3AE}"/>
            </c:ext>
          </c:extLst>
        </c:ser>
        <c:ser>
          <c:idx val="1"/>
          <c:order val="1"/>
          <c:tx>
            <c:strRef>
              <c:f>'[БюджетБарда.xlsx]Социальная политика'!$C$1</c:f>
              <c:strCache>
                <c:ptCount val="1"/>
                <c:pt idx="0">
                  <c:v>Факт</c:v>
                </c:pt>
              </c:strCache>
            </c:strRef>
          </c:tx>
          <c:dLbls>
            <c:dLbl>
              <c:idx val="0"/>
              <c:layout>
                <c:manualLayout>
                  <c:x val="-4.8432199997795522E-2"/>
                  <c:y val="3.19080402075044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3DC-4A88-9F26-BAB3F1C9B3AE}"/>
                </c:ext>
              </c:extLst>
            </c:dLbl>
            <c:dLbl>
              <c:idx val="1"/>
              <c:layout>
                <c:manualLayout>
                  <c:x val="-5.7129319805323583E-2"/>
                  <c:y val="4.58877074969270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3DC-4A88-9F26-BAB3F1C9B3AE}"/>
                </c:ext>
              </c:extLst>
            </c:dLbl>
            <c:dLbl>
              <c:idx val="2"/>
              <c:layout>
                <c:manualLayout>
                  <c:x val="-7.7181720453619013E-2"/>
                  <c:y val="4.58877074969270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3DC-4A88-9F26-BAB3F1C9B3AE}"/>
                </c:ext>
              </c:extLst>
            </c:dLbl>
            <c:dLbl>
              <c:idx val="3"/>
              <c:layout>
                <c:manualLayout>
                  <c:x val="-5.3987774627699339E-2"/>
                  <c:y val="4.23927906745721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3DC-4A88-9F26-BAB3F1C9B3AE}"/>
                </c:ext>
              </c:extLst>
            </c:dLbl>
            <c:dLbl>
              <c:idx val="4"/>
              <c:layout>
                <c:manualLayout>
                  <c:x val="-4.1666666666666664E-2"/>
                  <c:y val="6.481481481481654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3DC-4A88-9F26-BAB3F1C9B3AE}"/>
                </c:ext>
              </c:extLst>
            </c:dLbl>
            <c:dLbl>
              <c:idx val="5"/>
              <c:layout>
                <c:manualLayout>
                  <c:x val="-4.2513048209572225E-2"/>
                  <c:y val="4.58877074969270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3DC-4A88-9F26-BAB3F1C9B3AE}"/>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'[БюджетБарда.xlsx]Социальная политика'!$A$2:$A$7</c:f>
              <c:strCache>
                <c:ptCount val="6"/>
                <c:pt idx="0">
                  <c:v>2011 год</c:v>
                </c:pt>
                <c:pt idx="1">
                  <c:v>2012 год</c:v>
                </c:pt>
                <c:pt idx="2">
                  <c:v>2013 год</c:v>
                </c:pt>
                <c:pt idx="3">
                  <c:v>2014 год</c:v>
                </c:pt>
                <c:pt idx="4">
                  <c:v>2015 год</c:v>
                </c:pt>
                <c:pt idx="5">
                  <c:v>2016 год</c:v>
                </c:pt>
              </c:strCache>
            </c:strRef>
          </c:cat>
          <c:val>
            <c:numRef>
              <c:f>'[БюджетБарда.xlsx]Социальная политика'!$C$2:$C$7</c:f>
              <c:numCache>
                <c:formatCode>General</c:formatCode>
                <c:ptCount val="6"/>
                <c:pt idx="0">
                  <c:v>106744</c:v>
                </c:pt>
                <c:pt idx="1">
                  <c:v>182034.9</c:v>
                </c:pt>
                <c:pt idx="2">
                  <c:v>154988.70000000001</c:v>
                </c:pt>
                <c:pt idx="3">
                  <c:v>37381.300000000003</c:v>
                </c:pt>
                <c:pt idx="4">
                  <c:v>45010.2</c:v>
                </c:pt>
                <c:pt idx="5">
                  <c:v>50555.6</c:v>
                </c:pt>
              </c:numCache>
            </c:numRef>
          </c:val>
          <c:extLst xmlns:c16r2="http://schemas.microsoft.com/office/drawing/2015/06/chart">
            <c:ext xmlns:c16="http://schemas.microsoft.com/office/drawing/2014/chart" uri="{C3380CC4-5D6E-409C-BE32-E72D297353CC}">
              <c16:uniqueId val="{0000000D-B3DC-4A88-9F26-BAB3F1C9B3AE}"/>
            </c:ext>
          </c:extLst>
        </c:ser>
        <c:upDownBars>
          <c:gapWidth val="150"/>
          <c:upBars>
            <c:spPr>
              <a:gradFill>
                <a:gsLst>
                  <a:gs pos="0">
                    <a:srgbClr val="FFF200"/>
                  </a:gs>
                  <a:gs pos="45000">
                    <a:srgbClr val="FF7A00"/>
                  </a:gs>
                  <a:gs pos="70000">
                    <a:srgbClr val="FF0300"/>
                  </a:gs>
                  <a:gs pos="100000">
                    <a:srgbClr val="4D0808"/>
                  </a:gs>
                </a:gsLst>
                <a:lin ang="5400000" scaled="0"/>
              </a:gradFill>
            </c:spPr>
          </c:upBars>
          <c:downBar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c:spPr>
          </c:downBars>
        </c:upDownBars>
        <c:marker val="1"/>
        <c:axId val="185078912"/>
        <c:axId val="185080448"/>
      </c:lineChart>
      <c:catAx>
        <c:axId val="185078912"/>
        <c:scaling>
          <c:orientation val="minMax"/>
        </c:scaling>
        <c:axPos val="b"/>
        <c:numFmt formatCode="General" sourceLinked="0"/>
        <c:tickLblPos val="nextTo"/>
        <c:crossAx val="185080448"/>
        <c:crosses val="autoZero"/>
        <c:auto val="1"/>
        <c:lblAlgn val="ctr"/>
        <c:lblOffset val="100"/>
      </c:catAx>
      <c:valAx>
        <c:axId val="185080448"/>
        <c:scaling>
          <c:orientation val="minMax"/>
        </c:scaling>
        <c:axPos val="l"/>
        <c:majorGridlines>
          <c:spPr>
            <a:ln w="0">
              <a:solidFill>
                <a:schemeClr val="bg1"/>
              </a:solidFill>
            </a:ln>
          </c:spPr>
        </c:majorGridlines>
        <c:numFmt formatCode="General" sourceLinked="1"/>
        <c:tickLblPos val="nextTo"/>
        <c:crossAx val="185078912"/>
        <c:crosses val="autoZero"/>
        <c:crossBetween val="between"/>
      </c:valAx>
      <c:spPr>
        <a:ln>
          <a:noFill/>
        </a:ln>
      </c:spPr>
    </c:plotArea>
    <c:legend>
      <c:legendPos val="b"/>
    </c:legend>
    <c:plotVisOnly val="1"/>
    <c:dispBlanksAs val="gap"/>
  </c:chart>
  <c:spPr>
    <a:ln>
      <a:noFill/>
    </a:ln>
  </c:sp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673840769903771"/>
          <c:y val="5.1400554097404488E-2"/>
          <c:w val="0.842706036745416"/>
          <c:h val="0.68673009623797165"/>
        </c:manualLayout>
      </c:layout>
      <c:lineChart>
        <c:grouping val="standard"/>
        <c:ser>
          <c:idx val="0"/>
          <c:order val="0"/>
          <c:tx>
            <c:strRef>
              <c:f>'[БюджетБарда.xlsx]Спорт и ФК'!$B$1</c:f>
              <c:strCache>
                <c:ptCount val="1"/>
                <c:pt idx="0">
                  <c:v>План</c:v>
                </c:pt>
              </c:strCache>
            </c:strRef>
          </c:tx>
          <c:dLbls>
            <c:dLbl>
              <c:idx val="0"/>
              <c:layout>
                <c:manualLayout>
                  <c:x val="-6.1922596754057403E-2"/>
                  <c:y val="-4.166670969407508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A71-450B-80BE-8894974357D5}"/>
                </c:ext>
              </c:extLst>
            </c:dLbl>
            <c:dLbl>
              <c:idx val="1"/>
              <c:layout>
                <c:manualLayout>
                  <c:x val="-5.2777777777777792E-2"/>
                  <c:y val="-4.62962962962965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A71-450B-80BE-8894974357D5}"/>
                </c:ext>
              </c:extLst>
            </c:dLbl>
            <c:dLbl>
              <c:idx val="2"/>
              <c:layout>
                <c:manualLayout>
                  <c:x val="-6.5792759051187422E-2"/>
                  <c:y val="-5.04098790929821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A71-450B-80BE-8894974357D5}"/>
                </c:ext>
              </c:extLst>
            </c:dLbl>
            <c:dLbl>
              <c:idx val="3"/>
              <c:layout>
                <c:manualLayout>
                  <c:x val="-5.6647890923746912E-2"/>
                  <c:y val="-4.166670969407508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A71-450B-80BE-8894974357D5}"/>
                </c:ext>
              </c:extLst>
            </c:dLbl>
            <c:dLbl>
              <c:idx val="4"/>
              <c:layout>
                <c:manualLayout>
                  <c:x val="-6.6635406529240021E-2"/>
                  <c:y val="-3.70218148960888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A71-450B-80BE-8894974357D5}"/>
                </c:ext>
              </c:extLst>
            </c:dLbl>
            <c:dLbl>
              <c:idx val="5"/>
              <c:layout>
                <c:manualLayout>
                  <c:x val="-4.7222222222222332E-2"/>
                  <c:y val="-4.62962962962965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A71-450B-80BE-8894974357D5}"/>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'[БюджетБарда.xlsx]Спорт и ФК'!$A$2:$A$7</c:f>
              <c:strCache>
                <c:ptCount val="6"/>
                <c:pt idx="0">
                  <c:v>2011 год</c:v>
                </c:pt>
                <c:pt idx="1">
                  <c:v>2012 год</c:v>
                </c:pt>
                <c:pt idx="2">
                  <c:v>2013 год</c:v>
                </c:pt>
                <c:pt idx="3">
                  <c:v>2014 год</c:v>
                </c:pt>
                <c:pt idx="4">
                  <c:v>2015 год</c:v>
                </c:pt>
                <c:pt idx="5">
                  <c:v>2016 год</c:v>
                </c:pt>
              </c:strCache>
            </c:strRef>
          </c:cat>
          <c:val>
            <c:numRef>
              <c:f>'[БюджетБарда.xlsx]Спорт и ФК'!$B$2:$B$7</c:f>
              <c:numCache>
                <c:formatCode>General</c:formatCode>
                <c:ptCount val="6"/>
                <c:pt idx="0">
                  <c:v>59972.6</c:v>
                </c:pt>
                <c:pt idx="1">
                  <c:v>47622.400000000001</c:v>
                </c:pt>
                <c:pt idx="2">
                  <c:v>36830.1</c:v>
                </c:pt>
                <c:pt idx="3">
                  <c:v>24482</c:v>
                </c:pt>
                <c:pt idx="4">
                  <c:v>17873.900000000001</c:v>
                </c:pt>
                <c:pt idx="5">
                  <c:v>29092.6</c:v>
                </c:pt>
              </c:numCache>
            </c:numRef>
          </c:val>
          <c:extLst xmlns:c16r2="http://schemas.microsoft.com/office/drawing/2015/06/chart">
            <c:ext xmlns:c16="http://schemas.microsoft.com/office/drawing/2014/chart" uri="{C3380CC4-5D6E-409C-BE32-E72D297353CC}">
              <c16:uniqueId val="{00000006-6A71-450B-80BE-8894974357D5}"/>
            </c:ext>
          </c:extLst>
        </c:ser>
        <c:ser>
          <c:idx val="1"/>
          <c:order val="1"/>
          <c:tx>
            <c:strRef>
              <c:f>'[БюджетБарда.xlsx]Спорт и ФК'!$C$1</c:f>
              <c:strCache>
                <c:ptCount val="1"/>
                <c:pt idx="0">
                  <c:v>Факт</c:v>
                </c:pt>
              </c:strCache>
            </c:strRef>
          </c:tx>
          <c:dLbls>
            <c:dLbl>
              <c:idx val="0"/>
              <c:layout>
                <c:manualLayout>
                  <c:x val="-5.2216029176129004E-2"/>
                  <c:y val="5.450815369390301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A71-450B-80BE-8894974357D5}"/>
                </c:ext>
              </c:extLst>
            </c:dLbl>
            <c:dLbl>
              <c:idx val="1"/>
              <c:layout>
                <c:manualLayout>
                  <c:x val="-5.524354399520285E-2"/>
                  <c:y val="3.70218148960888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A71-450B-80BE-8894974357D5}"/>
                </c:ext>
              </c:extLst>
            </c:dLbl>
            <c:dLbl>
              <c:idx val="2"/>
              <c:layout>
                <c:manualLayout>
                  <c:x val="-6.1360700698929502E-2"/>
                  <c:y val="5.32180198786627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A71-450B-80BE-8894974357D5}"/>
                </c:ext>
              </c:extLst>
            </c:dLbl>
            <c:dLbl>
              <c:idx val="3"/>
              <c:layout>
                <c:manualLayout>
                  <c:x val="-5.5805243445692883E-2"/>
                  <c:y val="4.49908351619981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A71-450B-80BE-8894974357D5}"/>
                </c:ext>
              </c:extLst>
            </c:dLbl>
            <c:dLbl>
              <c:idx val="4"/>
              <c:layout>
                <c:manualLayout>
                  <c:x val="-5.4151012022373622E-2"/>
                  <c:y val="4.884643517920916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A71-450B-80BE-8894974357D5}"/>
                </c:ext>
              </c:extLst>
            </c:dLbl>
            <c:dLbl>
              <c:idx val="5"/>
              <c:layout>
                <c:manualLayout>
                  <c:x val="-4.4163496416881477E-2"/>
                  <c:y val="4.13933995955424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A71-450B-80BE-8894974357D5}"/>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'[БюджетБарда.xlsx]Спорт и ФК'!$A$2:$A$7</c:f>
              <c:strCache>
                <c:ptCount val="6"/>
                <c:pt idx="0">
                  <c:v>2011 год</c:v>
                </c:pt>
                <c:pt idx="1">
                  <c:v>2012 год</c:v>
                </c:pt>
                <c:pt idx="2">
                  <c:v>2013 год</c:v>
                </c:pt>
                <c:pt idx="3">
                  <c:v>2014 год</c:v>
                </c:pt>
                <c:pt idx="4">
                  <c:v>2015 год</c:v>
                </c:pt>
                <c:pt idx="5">
                  <c:v>2016 год</c:v>
                </c:pt>
              </c:strCache>
            </c:strRef>
          </c:cat>
          <c:val>
            <c:numRef>
              <c:f>'[БюджетБарда.xlsx]Спорт и ФК'!$C$2:$C$7</c:f>
              <c:numCache>
                <c:formatCode>General</c:formatCode>
                <c:ptCount val="6"/>
                <c:pt idx="0">
                  <c:v>20701.2</c:v>
                </c:pt>
                <c:pt idx="1">
                  <c:v>29654.7</c:v>
                </c:pt>
                <c:pt idx="2">
                  <c:v>28695.8</c:v>
                </c:pt>
                <c:pt idx="3">
                  <c:v>15688.4</c:v>
                </c:pt>
                <c:pt idx="4">
                  <c:v>12449.7</c:v>
                </c:pt>
                <c:pt idx="5">
                  <c:v>25641</c:v>
                </c:pt>
              </c:numCache>
            </c:numRef>
          </c:val>
          <c:extLst xmlns:c16r2="http://schemas.microsoft.com/office/drawing/2015/06/chart">
            <c:ext xmlns:c16="http://schemas.microsoft.com/office/drawing/2014/chart" uri="{C3380CC4-5D6E-409C-BE32-E72D297353CC}">
              <c16:uniqueId val="{0000000D-6A71-450B-80BE-8894974357D5}"/>
            </c:ext>
          </c:extLst>
        </c:ser>
        <c:upDownBars>
          <c:gapWidth val="150"/>
          <c:upBars>
            <c:spPr>
              <a:gradFill>
                <a:gsLst>
                  <a:gs pos="0">
                    <a:srgbClr val="FFF200"/>
                  </a:gs>
                  <a:gs pos="45000">
                    <a:srgbClr val="FF7A00"/>
                  </a:gs>
                  <a:gs pos="70000">
                    <a:srgbClr val="FF0300"/>
                  </a:gs>
                  <a:gs pos="100000">
                    <a:srgbClr val="4D0808"/>
                  </a:gs>
                </a:gsLst>
                <a:lin ang="5400000" scaled="0"/>
              </a:gradFill>
            </c:spPr>
          </c:upBars>
          <c:downBar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c:spPr>
          </c:downBars>
        </c:upDownBars>
        <c:marker val="1"/>
        <c:axId val="185209216"/>
        <c:axId val="185210752"/>
      </c:lineChart>
      <c:catAx>
        <c:axId val="185209216"/>
        <c:scaling>
          <c:orientation val="minMax"/>
        </c:scaling>
        <c:axPos val="b"/>
        <c:numFmt formatCode="General" sourceLinked="0"/>
        <c:tickLblPos val="nextTo"/>
        <c:crossAx val="185210752"/>
        <c:crosses val="autoZero"/>
        <c:auto val="1"/>
        <c:lblAlgn val="ctr"/>
        <c:lblOffset val="100"/>
      </c:catAx>
      <c:valAx>
        <c:axId val="185210752"/>
        <c:scaling>
          <c:orientation val="minMax"/>
        </c:scaling>
        <c:axPos val="l"/>
        <c:majorGridlines>
          <c:spPr>
            <a:ln w="0">
              <a:solidFill>
                <a:schemeClr val="bg1"/>
              </a:solidFill>
            </a:ln>
          </c:spPr>
        </c:majorGridlines>
        <c:numFmt formatCode="General" sourceLinked="1"/>
        <c:tickLblPos val="nextTo"/>
        <c:crossAx val="185209216"/>
        <c:crosses val="autoZero"/>
        <c:crossBetween val="between"/>
      </c:valAx>
    </c:plotArea>
    <c:legend>
      <c:legendPos val="b"/>
    </c:legend>
    <c:plotVisOnly val="1"/>
    <c:dispBlanksAs val="gap"/>
  </c:chart>
  <c:spPr>
    <a:ln>
      <a:noFill/>
    </a:ln>
  </c:sp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265507436570428"/>
          <c:y val="4.5025840842059676E-2"/>
          <c:w val="0.85678937007874911"/>
          <c:h val="0.676802939632555"/>
        </c:manualLayout>
      </c:layout>
      <c:lineChart>
        <c:grouping val="standard"/>
        <c:ser>
          <c:idx val="0"/>
          <c:order val="0"/>
          <c:tx>
            <c:strRef>
              <c:f>СМИ!$B$1</c:f>
              <c:strCache>
                <c:ptCount val="1"/>
                <c:pt idx="0">
                  <c:v>План</c:v>
                </c:pt>
              </c:strCache>
            </c:strRef>
          </c:tx>
          <c:dLbls>
            <c:dLbl>
              <c:idx val="0"/>
              <c:layout>
                <c:manualLayout>
                  <c:x val="-3.3333333333333312E-2"/>
                  <c:y val="5.06329113924051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BD1-43CB-AF63-F64998955DA5}"/>
                </c:ext>
              </c:extLst>
            </c:dLbl>
            <c:dLbl>
              <c:idx val="1"/>
              <c:layout>
                <c:manualLayout>
                  <c:x val="-6.666666666666668E-2"/>
                  <c:y val="-5.90717299578070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BD1-43CB-AF63-F64998955DA5}"/>
                </c:ext>
              </c:extLst>
            </c:dLbl>
            <c:dLbl>
              <c:idx val="2"/>
              <c:layout>
                <c:manualLayout>
                  <c:x val="-0.05"/>
                  <c:y val="5.48523206751055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BD1-43CB-AF63-F64998955DA5}"/>
                </c:ext>
              </c:extLst>
            </c:dLbl>
            <c:dLbl>
              <c:idx val="3"/>
              <c:layout>
                <c:manualLayout>
                  <c:x val="-4.7619047619047623E-2"/>
                  <c:y val="4.64135021097046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BD1-43CB-AF63-F64998955DA5}"/>
                </c:ext>
              </c:extLst>
            </c:dLbl>
            <c:dLbl>
              <c:idx val="4"/>
              <c:layout>
                <c:manualLayout>
                  <c:x val="-4.0476190476190478E-2"/>
                  <c:y val="-3.375527426160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BD1-43CB-AF63-F64998955DA5}"/>
                </c:ext>
              </c:extLst>
            </c:dLbl>
            <c:dLbl>
              <c:idx val="5"/>
              <c:layout>
                <c:manualLayout>
                  <c:x val="-4.0476190476190478E-2"/>
                  <c:y val="3.797468354430380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BD1-43CB-AF63-F64998955DA5}"/>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СМИ!$A$2:$A$7</c:f>
              <c:strCache>
                <c:ptCount val="6"/>
                <c:pt idx="0">
                  <c:v>2011 год</c:v>
                </c:pt>
                <c:pt idx="1">
                  <c:v>2012 год</c:v>
                </c:pt>
                <c:pt idx="2">
                  <c:v>2013 год</c:v>
                </c:pt>
                <c:pt idx="3">
                  <c:v>2014 год</c:v>
                </c:pt>
                <c:pt idx="4">
                  <c:v>2015 год</c:v>
                </c:pt>
                <c:pt idx="5">
                  <c:v>2016 год</c:v>
                </c:pt>
              </c:strCache>
            </c:strRef>
          </c:cat>
          <c:val>
            <c:numRef>
              <c:f>СМИ!$B$2:$B$7</c:f>
              <c:numCache>
                <c:formatCode>General</c:formatCode>
                <c:ptCount val="6"/>
                <c:pt idx="0">
                  <c:v>5216.4000000000005</c:v>
                </c:pt>
                <c:pt idx="1">
                  <c:v>6793.3</c:v>
                </c:pt>
                <c:pt idx="2">
                  <c:v>8536.9</c:v>
                </c:pt>
                <c:pt idx="3">
                  <c:v>7949.8</c:v>
                </c:pt>
                <c:pt idx="4">
                  <c:v>7852.6</c:v>
                </c:pt>
                <c:pt idx="5">
                  <c:v>7725.1</c:v>
                </c:pt>
              </c:numCache>
            </c:numRef>
          </c:val>
          <c:extLst xmlns:c16r2="http://schemas.microsoft.com/office/drawing/2015/06/chart">
            <c:ext xmlns:c16="http://schemas.microsoft.com/office/drawing/2014/chart" uri="{C3380CC4-5D6E-409C-BE32-E72D297353CC}">
              <c16:uniqueId val="{00000006-7BD1-43CB-AF63-F64998955DA5}"/>
            </c:ext>
          </c:extLst>
        </c:ser>
        <c:ser>
          <c:idx val="1"/>
          <c:order val="1"/>
          <c:tx>
            <c:strRef>
              <c:f>СМИ!$C$1</c:f>
              <c:strCache>
                <c:ptCount val="1"/>
                <c:pt idx="0">
                  <c:v>Факт</c:v>
                </c:pt>
              </c:strCache>
            </c:strRef>
          </c:tx>
          <c:dLbls>
            <c:dLbl>
              <c:idx val="0"/>
              <c:layout>
                <c:manualLayout>
                  <c:x val="-5.7142857142857106E-2"/>
                  <c:y val="-5.48523206751055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BD1-43CB-AF63-F64998955DA5}"/>
                </c:ext>
              </c:extLst>
            </c:dLbl>
            <c:dLbl>
              <c:idx val="1"/>
              <c:layout>
                <c:manualLayout>
                  <c:x val="-4.7619047619047623E-2"/>
                  <c:y val="7.172995780590717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BD1-43CB-AF63-F64998955DA5}"/>
                </c:ext>
              </c:extLst>
            </c:dLbl>
            <c:dLbl>
              <c:idx val="2"/>
              <c:layout>
                <c:manualLayout>
                  <c:x val="-5.7142857142857141E-2"/>
                  <c:y val="-3.375527426160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BD1-43CB-AF63-F64998955DA5}"/>
                </c:ext>
              </c:extLst>
            </c:dLbl>
            <c:dLbl>
              <c:idx val="3"/>
              <c:layout>
                <c:manualLayout>
                  <c:x val="-3.0952380952380953E-2"/>
                  <c:y val="-6.32911392405063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BD1-43CB-AF63-F64998955DA5}"/>
                </c:ext>
              </c:extLst>
            </c:dLbl>
            <c:dLbl>
              <c:idx val="4"/>
              <c:layout>
                <c:manualLayout>
                  <c:x val="-4.2857142857142913E-2"/>
                  <c:y val="6.32911392405063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BD1-43CB-AF63-F64998955DA5}"/>
                </c:ext>
              </c:extLst>
            </c:dLbl>
            <c:dLbl>
              <c:idx val="5"/>
              <c:layout>
                <c:manualLayout>
                  <c:x val="-2.8571428571428591E-2"/>
                  <c:y val="-4.64135021097046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BD1-43CB-AF63-F64998955DA5}"/>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СМИ!$A$2:$A$7</c:f>
              <c:strCache>
                <c:ptCount val="6"/>
                <c:pt idx="0">
                  <c:v>2011 год</c:v>
                </c:pt>
                <c:pt idx="1">
                  <c:v>2012 год</c:v>
                </c:pt>
                <c:pt idx="2">
                  <c:v>2013 год</c:v>
                </c:pt>
                <c:pt idx="3">
                  <c:v>2014 год</c:v>
                </c:pt>
                <c:pt idx="4">
                  <c:v>2015 год</c:v>
                </c:pt>
                <c:pt idx="5">
                  <c:v>2016 год</c:v>
                </c:pt>
              </c:strCache>
            </c:strRef>
          </c:cat>
          <c:val>
            <c:numRef>
              <c:f>СМИ!$C$2:$C$7</c:f>
              <c:numCache>
                <c:formatCode>General</c:formatCode>
                <c:ptCount val="6"/>
                <c:pt idx="0">
                  <c:v>5216.4000000000005</c:v>
                </c:pt>
                <c:pt idx="1">
                  <c:v>6699.3</c:v>
                </c:pt>
                <c:pt idx="2">
                  <c:v>8536.9</c:v>
                </c:pt>
                <c:pt idx="3">
                  <c:v>7949.8</c:v>
                </c:pt>
                <c:pt idx="4">
                  <c:v>7852.6</c:v>
                </c:pt>
                <c:pt idx="5">
                  <c:v>7725.1</c:v>
                </c:pt>
              </c:numCache>
            </c:numRef>
          </c:val>
          <c:extLst xmlns:c16r2="http://schemas.microsoft.com/office/drawing/2015/06/chart">
            <c:ext xmlns:c16="http://schemas.microsoft.com/office/drawing/2014/chart" uri="{C3380CC4-5D6E-409C-BE32-E72D297353CC}">
              <c16:uniqueId val="{0000000D-7BD1-43CB-AF63-F64998955DA5}"/>
            </c:ext>
          </c:extLst>
        </c:ser>
        <c:upDownBars>
          <c:gapWidth val="150"/>
          <c:upBars>
            <c:spPr>
              <a:gradFill>
                <a:gsLst>
                  <a:gs pos="0">
                    <a:srgbClr val="FFF200"/>
                  </a:gs>
                  <a:gs pos="45000">
                    <a:srgbClr val="FF7A00"/>
                  </a:gs>
                  <a:gs pos="70000">
                    <a:srgbClr val="FF0300"/>
                  </a:gs>
                  <a:gs pos="100000">
                    <a:srgbClr val="4D0808"/>
                  </a:gs>
                </a:gsLst>
                <a:lin ang="5400000" scaled="0"/>
              </a:gradFill>
            </c:spPr>
          </c:upBars>
          <c:downBars>
            <c:spPr>
              <a:solidFill>
                <a:srgbClr val="92D050"/>
              </a:solidFill>
            </c:spPr>
          </c:downBars>
        </c:upDownBars>
        <c:marker val="1"/>
        <c:axId val="185253248"/>
        <c:axId val="188552320"/>
      </c:lineChart>
      <c:catAx>
        <c:axId val="185253248"/>
        <c:scaling>
          <c:orientation val="minMax"/>
        </c:scaling>
        <c:axPos val="b"/>
        <c:numFmt formatCode="General" sourceLinked="0"/>
        <c:tickLblPos val="nextTo"/>
        <c:crossAx val="188552320"/>
        <c:crosses val="autoZero"/>
        <c:auto val="1"/>
        <c:lblAlgn val="ctr"/>
        <c:lblOffset val="100"/>
      </c:catAx>
      <c:valAx>
        <c:axId val="188552320"/>
        <c:scaling>
          <c:orientation val="minMax"/>
        </c:scaling>
        <c:axPos val="l"/>
        <c:majorGridlines>
          <c:spPr>
            <a:ln w="0">
              <a:solidFill>
                <a:schemeClr val="bg1"/>
              </a:solidFill>
            </a:ln>
          </c:spPr>
        </c:majorGridlines>
        <c:numFmt formatCode="General" sourceLinked="1"/>
        <c:tickLblPos val="nextTo"/>
        <c:crossAx val="185253248"/>
        <c:crosses val="autoZero"/>
        <c:crossBetween val="between"/>
      </c:valAx>
    </c:plotArea>
    <c:legend>
      <c:legendPos val="b"/>
    </c:legend>
    <c:plotVisOnly val="1"/>
    <c:dispBlanksAs val="gap"/>
  </c:chart>
  <c:spPr>
    <a:ln>
      <a:noFill/>
    </a:ln>
  </c:sp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[БюджетБарда.xlsx]Трансферты!$B$1</c:f>
              <c:strCache>
                <c:ptCount val="1"/>
                <c:pt idx="0">
                  <c:v>План</c:v>
                </c:pt>
              </c:strCache>
            </c:strRef>
          </c:tx>
          <c:dLbls>
            <c:dLbl>
              <c:idx val="0"/>
              <c:layout>
                <c:manualLayout>
                  <c:x val="-6.6274719401389626E-2"/>
                  <c:y val="4.610951008645528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E67-43E1-A72A-FD8EF373E62E}"/>
                </c:ext>
              </c:extLst>
            </c:dLbl>
            <c:dLbl>
              <c:idx val="1"/>
              <c:layout>
                <c:manualLayout>
                  <c:x val="-4.1666666666666664E-2"/>
                  <c:y val="5.5555555555555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E67-43E1-A72A-FD8EF373E62E}"/>
                </c:ext>
              </c:extLst>
            </c:dLbl>
            <c:dLbl>
              <c:idx val="2"/>
              <c:layout>
                <c:manualLayout>
                  <c:x val="-4.4444444444444502E-2"/>
                  <c:y val="6.01851851851851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E67-43E1-A72A-FD8EF373E62E}"/>
                </c:ext>
              </c:extLst>
            </c:dLbl>
            <c:dLbl>
              <c:idx val="3"/>
              <c:layout>
                <c:manualLayout>
                  <c:x val="-3.333333333333334E-2"/>
                  <c:y val="5.5555555555555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E67-43E1-A72A-FD8EF373E62E}"/>
                </c:ext>
              </c:extLst>
            </c:dLbl>
            <c:dLbl>
              <c:idx val="4"/>
              <c:layout>
                <c:manualLayout>
                  <c:x val="-2.7777777777778682E-2"/>
                  <c:y val="5.5555555555555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E67-43E1-A72A-FD8EF373E62E}"/>
                </c:ext>
              </c:extLst>
            </c:dLbl>
            <c:dLbl>
              <c:idx val="5"/>
              <c:layout>
                <c:manualLayout>
                  <c:x val="-4.8938417705803892E-2"/>
                  <c:y val="-3.89316753273276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E67-43E1-A72A-FD8EF373E62E}"/>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[БюджетБарда.xlsx]Трансферты!$A$2:$A$7</c:f>
              <c:strCache>
                <c:ptCount val="6"/>
                <c:pt idx="0">
                  <c:v>2011 год</c:v>
                </c:pt>
                <c:pt idx="1">
                  <c:v>2012 год</c:v>
                </c:pt>
                <c:pt idx="2">
                  <c:v>2013 год</c:v>
                </c:pt>
                <c:pt idx="3">
                  <c:v>2014 год</c:v>
                </c:pt>
                <c:pt idx="4">
                  <c:v>2015 год</c:v>
                </c:pt>
                <c:pt idx="5">
                  <c:v>2016 год</c:v>
                </c:pt>
              </c:strCache>
            </c:strRef>
          </c:cat>
          <c:val>
            <c:numRef>
              <c:f>[БюджетБарда.xlsx]Трансферты!$B$2:$B$7</c:f>
              <c:numCache>
                <c:formatCode>General</c:formatCode>
                <c:ptCount val="6"/>
                <c:pt idx="0">
                  <c:v>54069.2</c:v>
                </c:pt>
                <c:pt idx="1">
                  <c:v>80598</c:v>
                </c:pt>
                <c:pt idx="2">
                  <c:v>100899</c:v>
                </c:pt>
                <c:pt idx="3">
                  <c:v>67090.2</c:v>
                </c:pt>
                <c:pt idx="4">
                  <c:v>53751.4</c:v>
                </c:pt>
                <c:pt idx="5">
                  <c:v>52480.4</c:v>
                </c:pt>
              </c:numCache>
            </c:numRef>
          </c:val>
          <c:extLst xmlns:c16r2="http://schemas.microsoft.com/office/drawing/2015/06/chart">
            <c:ext xmlns:c16="http://schemas.microsoft.com/office/drawing/2014/chart" uri="{C3380CC4-5D6E-409C-BE32-E72D297353CC}">
              <c16:uniqueId val="{00000006-BE67-43E1-A72A-FD8EF373E62E}"/>
            </c:ext>
          </c:extLst>
        </c:ser>
        <c:ser>
          <c:idx val="1"/>
          <c:order val="1"/>
          <c:tx>
            <c:strRef>
              <c:f>[БюджетБарда.xlsx]Трансферты!$C$1</c:f>
              <c:strCache>
                <c:ptCount val="1"/>
                <c:pt idx="0">
                  <c:v>Факт</c:v>
                </c:pt>
              </c:strCache>
            </c:strRef>
          </c:tx>
          <c:dLbls>
            <c:dLbl>
              <c:idx val="0"/>
              <c:layout>
                <c:manualLayout>
                  <c:x val="-6.9444444444444503E-2"/>
                  <c:y val="-7.4074074074074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E67-43E1-A72A-FD8EF373E62E}"/>
                </c:ext>
              </c:extLst>
            </c:dLbl>
            <c:dLbl>
              <c:idx val="1"/>
              <c:layout>
                <c:manualLayout>
                  <c:x val="-5.2777777777777792E-2"/>
                  <c:y val="-7.4074074074074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E67-43E1-A72A-FD8EF373E62E}"/>
                </c:ext>
              </c:extLst>
            </c:dLbl>
            <c:dLbl>
              <c:idx val="2"/>
              <c:layout>
                <c:manualLayout>
                  <c:x val="-4.0619989310529125E-2"/>
                  <c:y val="-3.458213256484151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E67-43E1-A72A-FD8EF373E62E}"/>
                </c:ext>
              </c:extLst>
            </c:dLbl>
            <c:dLbl>
              <c:idx val="3"/>
              <c:layout>
                <c:manualLayout>
                  <c:x val="-3.333333333333334E-2"/>
                  <c:y val="-9.25925925925947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E67-43E1-A72A-FD8EF373E62E}"/>
                </c:ext>
              </c:extLst>
            </c:dLbl>
            <c:dLbl>
              <c:idx val="4"/>
              <c:layout>
                <c:manualLayout>
                  <c:x val="-4.1666666666666664E-2"/>
                  <c:y val="-9.25925925925947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E67-43E1-A72A-FD8EF373E62E}"/>
                </c:ext>
              </c:extLst>
            </c:dLbl>
            <c:dLbl>
              <c:idx val="5"/>
              <c:layout>
                <c:manualLayout>
                  <c:x val="-4.3804609939524834E-2"/>
                  <c:y val="6.356062840848067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E67-43E1-A72A-FD8EF373E62E}"/>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[БюджетБарда.xlsx]Трансферты!$A$2:$A$7</c:f>
              <c:strCache>
                <c:ptCount val="6"/>
                <c:pt idx="0">
                  <c:v>2011 год</c:v>
                </c:pt>
                <c:pt idx="1">
                  <c:v>2012 год</c:v>
                </c:pt>
                <c:pt idx="2">
                  <c:v>2013 год</c:v>
                </c:pt>
                <c:pt idx="3">
                  <c:v>2014 год</c:v>
                </c:pt>
                <c:pt idx="4">
                  <c:v>2015 год</c:v>
                </c:pt>
                <c:pt idx="5">
                  <c:v>2016 год</c:v>
                </c:pt>
              </c:strCache>
            </c:strRef>
          </c:cat>
          <c:val>
            <c:numRef>
              <c:f>[БюджетБарда.xlsx]Трансферты!$C$2:$C$7</c:f>
              <c:numCache>
                <c:formatCode>General</c:formatCode>
                <c:ptCount val="6"/>
                <c:pt idx="0">
                  <c:v>54069.2</c:v>
                </c:pt>
                <c:pt idx="1">
                  <c:v>80598</c:v>
                </c:pt>
                <c:pt idx="2">
                  <c:v>100899</c:v>
                </c:pt>
                <c:pt idx="3">
                  <c:v>67090.2</c:v>
                </c:pt>
                <c:pt idx="4">
                  <c:v>53751.4</c:v>
                </c:pt>
                <c:pt idx="5">
                  <c:v>52446.2</c:v>
                </c:pt>
              </c:numCache>
            </c:numRef>
          </c:val>
          <c:extLst xmlns:c16r2="http://schemas.microsoft.com/office/drawing/2015/06/chart">
            <c:ext xmlns:c16="http://schemas.microsoft.com/office/drawing/2014/chart" uri="{C3380CC4-5D6E-409C-BE32-E72D297353CC}">
              <c16:uniqueId val="{0000000D-BE67-43E1-A72A-FD8EF373E62E}"/>
            </c:ext>
          </c:extLst>
        </c:ser>
        <c:upDownBars>
          <c:gapWidth val="150"/>
          <c:upBars>
            <c:spPr>
              <a:gradFill>
                <a:gsLst>
                  <a:gs pos="0">
                    <a:srgbClr val="FFFF00"/>
                  </a:gs>
                  <a:gs pos="45000">
                    <a:srgbClr val="FF7A00"/>
                  </a:gs>
                  <a:gs pos="70000">
                    <a:srgbClr val="FF0300"/>
                  </a:gs>
                  <a:gs pos="100000">
                    <a:srgbClr val="4D0808"/>
                  </a:gs>
                </a:gsLst>
                <a:lin ang="5400000" scaled="0"/>
              </a:gradFill>
            </c:spPr>
          </c:upBars>
          <c:downBars/>
        </c:upDownBars>
        <c:marker val="1"/>
        <c:axId val="188607104"/>
        <c:axId val="188625280"/>
      </c:lineChart>
      <c:catAx>
        <c:axId val="188607104"/>
        <c:scaling>
          <c:orientation val="minMax"/>
        </c:scaling>
        <c:axPos val="b"/>
        <c:numFmt formatCode="General" sourceLinked="0"/>
        <c:tickLblPos val="nextTo"/>
        <c:crossAx val="188625280"/>
        <c:crosses val="autoZero"/>
        <c:auto val="1"/>
        <c:lblAlgn val="ctr"/>
        <c:lblOffset val="100"/>
      </c:catAx>
      <c:valAx>
        <c:axId val="188625280"/>
        <c:scaling>
          <c:orientation val="minMax"/>
        </c:scaling>
        <c:axPos val="l"/>
        <c:majorGridlines>
          <c:spPr>
            <a:ln w="0">
              <a:solidFill>
                <a:schemeClr val="bg1"/>
              </a:solidFill>
            </a:ln>
          </c:spPr>
        </c:majorGridlines>
        <c:numFmt formatCode="General" sourceLinked="1"/>
        <c:tickLblPos val="nextTo"/>
        <c:crossAx val="188607104"/>
        <c:crosses val="autoZero"/>
        <c:crossBetween val="between"/>
      </c:valAx>
      <c:spPr>
        <a:ln>
          <a:noFill/>
        </a:ln>
      </c:spPr>
    </c:plotArea>
    <c:legend>
      <c:legendPos val="b"/>
    </c:legend>
    <c:plotVisOnly val="1"/>
    <c:dispBlanksAs val="gap"/>
  </c:chart>
  <c:spPr>
    <a:ln>
      <a:noFill/>
    </a:ln>
  </c:sp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7.7119973249047638E-2"/>
          <c:y val="3.8218656402889399E-2"/>
          <c:w val="0.90063533514326888"/>
          <c:h val="0.52099258677002658"/>
        </c:manualLayout>
      </c:layout>
      <c:bar3DChart>
        <c:barDir val="col"/>
        <c:grouping val="stacked"/>
        <c:ser>
          <c:idx val="0"/>
          <c:order val="0"/>
          <c:tx>
            <c:strRef>
              <c:f>Доходы!$A$19</c:f>
              <c:strCache>
                <c:ptCount val="1"/>
                <c:pt idx="0">
                  <c:v>Бардымское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Доходы!$B$19:$H$19</c:f>
              <c:numCache>
                <c:formatCode>0%</c:formatCode>
                <c:ptCount val="7"/>
                <c:pt idx="0">
                  <c:v>0.21760663146433368</c:v>
                </c:pt>
                <c:pt idx="1">
                  <c:v>0.20462923274753544</c:v>
                </c:pt>
                <c:pt idx="2">
                  <c:v>0.2639815876244534</c:v>
                </c:pt>
                <c:pt idx="3">
                  <c:v>0.26272045048752379</c:v>
                </c:pt>
                <c:pt idx="4">
                  <c:v>0.32919373387382961</c:v>
                </c:pt>
                <c:pt idx="5">
                  <c:v>0.27323895662955711</c:v>
                </c:pt>
                <c:pt idx="6">
                  <c:v>0.27677695528158031</c:v>
                </c:pt>
              </c:numCache>
            </c:numRef>
          </c:val>
          <c:extLst xmlns:c16r2="http://schemas.microsoft.com/office/drawing/2015/06/chart">
            <c:ext xmlns:c16="http://schemas.microsoft.com/office/drawing/2014/chart" uri="{C3380CC4-5D6E-409C-BE32-E72D297353CC}">
              <c16:uniqueId val="{00000000-73F7-4EA4-A913-65EFB30D2043}"/>
            </c:ext>
          </c:extLst>
        </c:ser>
        <c:ser>
          <c:idx val="1"/>
          <c:order val="1"/>
          <c:tx>
            <c:strRef>
              <c:f>Доходы!$A$20</c:f>
              <c:strCache>
                <c:ptCount val="1"/>
                <c:pt idx="0">
                  <c:v>Сарашевское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Доходы!$B$20:$H$20</c:f>
              <c:numCache>
                <c:formatCode>0%</c:formatCode>
                <c:ptCount val="7"/>
                <c:pt idx="0">
                  <c:v>0.14231188020278421</c:v>
                </c:pt>
                <c:pt idx="1">
                  <c:v>0.16783028373255549</c:v>
                </c:pt>
                <c:pt idx="2">
                  <c:v>0.12315756649061042</c:v>
                </c:pt>
                <c:pt idx="3">
                  <c:v>0.16379943367958721</c:v>
                </c:pt>
                <c:pt idx="4">
                  <c:v>0.14195444196280299</c:v>
                </c:pt>
                <c:pt idx="5">
                  <c:v>0.11051029222094615</c:v>
                </c:pt>
                <c:pt idx="6">
                  <c:v>9.8426708746541525E-2</c:v>
                </c:pt>
              </c:numCache>
            </c:numRef>
          </c:val>
          <c:extLst xmlns:c16r2="http://schemas.microsoft.com/office/drawing/2015/06/chart">
            <c:ext xmlns:c16="http://schemas.microsoft.com/office/drawing/2014/chart" uri="{C3380CC4-5D6E-409C-BE32-E72D297353CC}">
              <c16:uniqueId val="{00000001-73F7-4EA4-A913-65EFB30D2043}"/>
            </c:ext>
          </c:extLst>
        </c:ser>
        <c:ser>
          <c:idx val="2"/>
          <c:order val="2"/>
          <c:tx>
            <c:strRef>
              <c:f>Доходы!$A$21</c:f>
              <c:strCache>
                <c:ptCount val="1"/>
                <c:pt idx="0">
                  <c:v>Печменское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Доходы!$B$21:$H$21</c:f>
              <c:numCache>
                <c:formatCode>0%</c:formatCode>
                <c:ptCount val="7"/>
                <c:pt idx="0">
                  <c:v>0.11776000749318144</c:v>
                </c:pt>
                <c:pt idx="1">
                  <c:v>0.12410307223852204</c:v>
                </c:pt>
                <c:pt idx="2">
                  <c:v>9.7060079411342606E-2</c:v>
                </c:pt>
                <c:pt idx="3">
                  <c:v>0.10073439133230637</c:v>
                </c:pt>
                <c:pt idx="4">
                  <c:v>0.1146620294485038</c:v>
                </c:pt>
                <c:pt idx="5">
                  <c:v>7.3504340125930281E-2</c:v>
                </c:pt>
                <c:pt idx="6">
                  <c:v>7.8948516299536864E-2</c:v>
                </c:pt>
              </c:numCache>
            </c:numRef>
          </c:val>
          <c:extLst xmlns:c16r2="http://schemas.microsoft.com/office/drawing/2015/06/chart">
            <c:ext xmlns:c16="http://schemas.microsoft.com/office/drawing/2014/chart" uri="{C3380CC4-5D6E-409C-BE32-E72D297353CC}">
              <c16:uniqueId val="{00000002-73F7-4EA4-A913-65EFB30D2043}"/>
            </c:ext>
          </c:extLst>
        </c:ser>
        <c:ser>
          <c:idx val="3"/>
          <c:order val="3"/>
          <c:tx>
            <c:strRef>
              <c:f>Доходы!$A$22</c:f>
              <c:strCache>
                <c:ptCount val="1"/>
                <c:pt idx="0">
                  <c:v>Тюндюковское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Доходы!$B$22:$H$22</c:f>
              <c:numCache>
                <c:formatCode>0%</c:formatCode>
                <c:ptCount val="7"/>
                <c:pt idx="0">
                  <c:v>6.4488180679303633E-2</c:v>
                </c:pt>
                <c:pt idx="1">
                  <c:v>6.4055532979665E-2</c:v>
                </c:pt>
                <c:pt idx="2">
                  <c:v>5.6339176085173186E-2</c:v>
                </c:pt>
                <c:pt idx="3">
                  <c:v>6.0840151796178715E-2</c:v>
                </c:pt>
                <c:pt idx="4">
                  <c:v>5.4640545941118474E-2</c:v>
                </c:pt>
                <c:pt idx="5">
                  <c:v>7.3971117792023811E-2</c:v>
                </c:pt>
                <c:pt idx="6">
                  <c:v>7.8059023011362416E-2</c:v>
                </c:pt>
              </c:numCache>
            </c:numRef>
          </c:val>
          <c:extLst xmlns:c16r2="http://schemas.microsoft.com/office/drawing/2015/06/chart">
            <c:ext xmlns:c16="http://schemas.microsoft.com/office/drawing/2014/chart" uri="{C3380CC4-5D6E-409C-BE32-E72D297353CC}">
              <c16:uniqueId val="{00000003-73F7-4EA4-A913-65EFB30D2043}"/>
            </c:ext>
          </c:extLst>
        </c:ser>
        <c:ser>
          <c:idx val="4"/>
          <c:order val="4"/>
          <c:tx>
            <c:strRef>
              <c:f>Доходы!$A$23</c:f>
              <c:strCache>
                <c:ptCount val="1"/>
                <c:pt idx="0">
                  <c:v>Березниковское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Доходы!$B$23:$H$23</c:f>
              <c:numCache>
                <c:formatCode>0%</c:formatCode>
                <c:ptCount val="7"/>
                <c:pt idx="0">
                  <c:v>7.5962112608446514E-2</c:v>
                </c:pt>
                <c:pt idx="1">
                  <c:v>7.6812086327732565E-2</c:v>
                </c:pt>
                <c:pt idx="2">
                  <c:v>6.5318575556827324E-2</c:v>
                </c:pt>
                <c:pt idx="3">
                  <c:v>7.1645193754758377E-2</c:v>
                </c:pt>
                <c:pt idx="4">
                  <c:v>5.8991420527274623E-2</c:v>
                </c:pt>
                <c:pt idx="5">
                  <c:v>7.1334503751895428E-2</c:v>
                </c:pt>
                <c:pt idx="6">
                  <c:v>7.6055952548954156E-2</c:v>
                </c:pt>
              </c:numCache>
            </c:numRef>
          </c:val>
          <c:extLst xmlns:c16r2="http://schemas.microsoft.com/office/drawing/2015/06/chart">
            <c:ext xmlns:c16="http://schemas.microsoft.com/office/drawing/2014/chart" uri="{C3380CC4-5D6E-409C-BE32-E72D297353CC}">
              <c16:uniqueId val="{00000004-73F7-4EA4-A913-65EFB30D2043}"/>
            </c:ext>
          </c:extLst>
        </c:ser>
        <c:ser>
          <c:idx val="5"/>
          <c:order val="5"/>
          <c:tx>
            <c:strRef>
              <c:f>Доходы!$A$24</c:f>
              <c:strCache>
                <c:ptCount val="1"/>
                <c:pt idx="0">
                  <c:v>Елпачихинское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Доходы!$B$24:$H$24</c:f>
              <c:numCache>
                <c:formatCode>0%</c:formatCode>
                <c:ptCount val="7"/>
                <c:pt idx="0">
                  <c:v>6.4874547774876778E-2</c:v>
                </c:pt>
                <c:pt idx="1">
                  <c:v>6.4982938193397094E-2</c:v>
                </c:pt>
                <c:pt idx="2">
                  <c:v>6.6040577388851579E-2</c:v>
                </c:pt>
                <c:pt idx="3">
                  <c:v>6.3097152427395303E-2</c:v>
                </c:pt>
                <c:pt idx="4">
                  <c:v>4.1734189578022406E-2</c:v>
                </c:pt>
                <c:pt idx="5">
                  <c:v>6.7649226100756896E-2</c:v>
                </c:pt>
                <c:pt idx="6">
                  <c:v>7.4548090369096973E-2</c:v>
                </c:pt>
              </c:numCache>
            </c:numRef>
          </c:val>
          <c:extLst xmlns:c16r2="http://schemas.microsoft.com/office/drawing/2015/06/chart">
            <c:ext xmlns:c16="http://schemas.microsoft.com/office/drawing/2014/chart" uri="{C3380CC4-5D6E-409C-BE32-E72D297353CC}">
              <c16:uniqueId val="{00000005-73F7-4EA4-A913-65EFB30D2043}"/>
            </c:ext>
          </c:extLst>
        </c:ser>
        <c:ser>
          <c:idx val="6"/>
          <c:order val="6"/>
          <c:tx>
            <c:strRef>
              <c:f>Доходы!$A$25</c:f>
              <c:strCache>
                <c:ptCount val="1"/>
                <c:pt idx="0">
                  <c:v>Красноярское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Доходы!$B$25:$H$25</c:f>
              <c:numCache>
                <c:formatCode>0%</c:formatCode>
                <c:ptCount val="7"/>
                <c:pt idx="0">
                  <c:v>6.8164522134151334E-2</c:v>
                </c:pt>
                <c:pt idx="1">
                  <c:v>5.9133494024194072E-2</c:v>
                </c:pt>
                <c:pt idx="2">
                  <c:v>5.6347149111539076E-2</c:v>
                </c:pt>
                <c:pt idx="3">
                  <c:v>4.8260605410210496E-2</c:v>
                </c:pt>
                <c:pt idx="4">
                  <c:v>5.8836640214712133E-2</c:v>
                </c:pt>
                <c:pt idx="5">
                  <c:v>7.5422207196714733E-2</c:v>
                </c:pt>
                <c:pt idx="6">
                  <c:v>7.4532695292955531E-2</c:v>
                </c:pt>
              </c:numCache>
            </c:numRef>
          </c:val>
          <c:extLst xmlns:c16r2="http://schemas.microsoft.com/office/drawing/2015/06/chart">
            <c:ext xmlns:c16="http://schemas.microsoft.com/office/drawing/2014/chart" uri="{C3380CC4-5D6E-409C-BE32-E72D297353CC}">
              <c16:uniqueId val="{00000006-73F7-4EA4-A913-65EFB30D2043}"/>
            </c:ext>
          </c:extLst>
        </c:ser>
        <c:ser>
          <c:idx val="7"/>
          <c:order val="7"/>
          <c:tx>
            <c:strRef>
              <c:f>Доходы!$A$26</c:f>
              <c:strCache>
                <c:ptCount val="1"/>
                <c:pt idx="0">
                  <c:v>Бичуринское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Доходы!$B$26:$H$26</c:f>
              <c:numCache>
                <c:formatCode>0%</c:formatCode>
                <c:ptCount val="7"/>
                <c:pt idx="0">
                  <c:v>6.6373183781948467E-2</c:v>
                </c:pt>
                <c:pt idx="1">
                  <c:v>5.8403148501733976E-2</c:v>
                </c:pt>
                <c:pt idx="2">
                  <c:v>5.0019223852460937E-2</c:v>
                </c:pt>
                <c:pt idx="3">
                  <c:v>5.6937087058033131E-2</c:v>
                </c:pt>
                <c:pt idx="4">
                  <c:v>5.0339974956547018E-2</c:v>
                </c:pt>
                <c:pt idx="5">
                  <c:v>6.8987019955426027E-2</c:v>
                </c:pt>
                <c:pt idx="6">
                  <c:v>6.8620986054626923E-2</c:v>
                </c:pt>
              </c:numCache>
            </c:numRef>
          </c:val>
          <c:extLst xmlns:c16r2="http://schemas.microsoft.com/office/drawing/2015/06/chart">
            <c:ext xmlns:c16="http://schemas.microsoft.com/office/drawing/2014/chart" uri="{C3380CC4-5D6E-409C-BE32-E72D297353CC}">
              <c16:uniqueId val="{00000007-73F7-4EA4-A913-65EFB30D2043}"/>
            </c:ext>
          </c:extLst>
        </c:ser>
        <c:ser>
          <c:idx val="8"/>
          <c:order val="8"/>
          <c:tx>
            <c:strRef>
              <c:f>Доходы!$A$27</c:f>
              <c:strCache>
                <c:ptCount val="1"/>
                <c:pt idx="0">
                  <c:v>Федорковское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Доходы!$B$27:$H$27</c:f>
              <c:numCache>
                <c:formatCode>0%</c:formatCode>
                <c:ptCount val="7"/>
                <c:pt idx="0">
                  <c:v>5.0473592394422284E-2</c:v>
                </c:pt>
                <c:pt idx="1">
                  <c:v>5.3236176596656672E-2</c:v>
                </c:pt>
                <c:pt idx="2">
                  <c:v>5.0707561795383813E-2</c:v>
                </c:pt>
                <c:pt idx="3">
                  <c:v>4.9350658129892033E-2</c:v>
                </c:pt>
                <c:pt idx="4">
                  <c:v>4.3398851839642497E-2</c:v>
                </c:pt>
                <c:pt idx="5">
                  <c:v>6.2530079968531133E-2</c:v>
                </c:pt>
                <c:pt idx="6">
                  <c:v>5.414961448163496E-2</c:v>
                </c:pt>
              </c:numCache>
            </c:numRef>
          </c:val>
          <c:extLst xmlns:c16r2="http://schemas.microsoft.com/office/drawing/2015/06/chart">
            <c:ext xmlns:c16="http://schemas.microsoft.com/office/drawing/2014/chart" uri="{C3380CC4-5D6E-409C-BE32-E72D297353CC}">
              <c16:uniqueId val="{00000008-73F7-4EA4-A913-65EFB30D2043}"/>
            </c:ext>
          </c:extLst>
        </c:ser>
        <c:ser>
          <c:idx val="9"/>
          <c:order val="9"/>
          <c:tx>
            <c:strRef>
              <c:f>Доходы!$A$28</c:f>
              <c:strCache>
                <c:ptCount val="1"/>
                <c:pt idx="0">
                  <c:v>Брюзлинское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Доходы!$B$28:$H$28</c:f>
              <c:numCache>
                <c:formatCode>0%</c:formatCode>
                <c:ptCount val="7"/>
                <c:pt idx="0">
                  <c:v>4.0990036412171832E-2</c:v>
                </c:pt>
                <c:pt idx="1">
                  <c:v>4.3883077916512241E-2</c:v>
                </c:pt>
                <c:pt idx="2">
                  <c:v>8.4077334812182075E-2</c:v>
                </c:pt>
                <c:pt idx="3">
                  <c:v>4.3721254084528954E-2</c:v>
                </c:pt>
                <c:pt idx="4">
                  <c:v>4.1964038342179016E-2</c:v>
                </c:pt>
                <c:pt idx="5">
                  <c:v>4.4029369832023504E-2</c:v>
                </c:pt>
                <c:pt idx="6">
                  <c:v>4.2699098960404719E-2</c:v>
                </c:pt>
              </c:numCache>
            </c:numRef>
          </c:val>
          <c:extLst xmlns:c16r2="http://schemas.microsoft.com/office/drawing/2015/06/chart">
            <c:ext xmlns:c16="http://schemas.microsoft.com/office/drawing/2014/chart" uri="{C3380CC4-5D6E-409C-BE32-E72D297353CC}">
              <c16:uniqueId val="{00000009-73F7-4EA4-A913-65EFB30D2043}"/>
            </c:ext>
          </c:extLst>
        </c:ser>
        <c:ser>
          <c:idx val="10"/>
          <c:order val="10"/>
          <c:tx>
            <c:strRef>
              <c:f>Доходы!$A$29</c:f>
              <c:strCache>
                <c:ptCount val="1"/>
                <c:pt idx="0">
                  <c:v>Шермейское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Доходы!$B$29:$H$29</c:f>
              <c:numCache>
                <c:formatCode>0%</c:formatCode>
                <c:ptCount val="7"/>
                <c:pt idx="0">
                  <c:v>4.3729730362599674E-2</c:v>
                </c:pt>
                <c:pt idx="1">
                  <c:v>3.6321329763250046E-2</c:v>
                </c:pt>
                <c:pt idx="2">
                  <c:v>3.7560041317994411E-2</c:v>
                </c:pt>
                <c:pt idx="3">
                  <c:v>4.3278472979790067E-2</c:v>
                </c:pt>
                <c:pt idx="4">
                  <c:v>3.3755264465381074E-2</c:v>
                </c:pt>
                <c:pt idx="5">
                  <c:v>4.4759899538569889E-2</c:v>
                </c:pt>
                <c:pt idx="6">
                  <c:v>3.9112901501447569E-2</c:v>
                </c:pt>
              </c:numCache>
            </c:numRef>
          </c:val>
          <c:extLst xmlns:c16r2="http://schemas.microsoft.com/office/drawing/2015/06/chart">
            <c:ext xmlns:c16="http://schemas.microsoft.com/office/drawing/2014/chart" uri="{C3380CC4-5D6E-409C-BE32-E72D297353CC}">
              <c16:uniqueId val="{0000000A-73F7-4EA4-A913-65EFB30D2043}"/>
            </c:ext>
          </c:extLst>
        </c:ser>
        <c:ser>
          <c:idx val="11"/>
          <c:order val="11"/>
          <c:tx>
            <c:strRef>
              <c:f>Доходы!$A$30</c:f>
              <c:strCache>
                <c:ptCount val="1"/>
                <c:pt idx="0">
                  <c:v>Новоашапское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Доходы!$B$30:$H$30</c:f>
              <c:numCache>
                <c:formatCode>0%</c:formatCode>
                <c:ptCount val="7"/>
                <c:pt idx="0">
                  <c:v>4.7265574691784405E-2</c:v>
                </c:pt>
                <c:pt idx="1">
                  <c:v>4.6609626978251072E-2</c:v>
                </c:pt>
                <c:pt idx="2">
                  <c:v>4.9391126553189904E-2</c:v>
                </c:pt>
                <c:pt idx="3">
                  <c:v>3.5615148859796456E-2</c:v>
                </c:pt>
                <c:pt idx="4">
                  <c:v>3.0528868849997743E-2</c:v>
                </c:pt>
                <c:pt idx="5">
                  <c:v>3.4062986887626226E-2</c:v>
                </c:pt>
                <c:pt idx="6">
                  <c:v>3.8069457451858302E-2</c:v>
                </c:pt>
              </c:numCache>
            </c:numRef>
          </c:val>
          <c:extLst xmlns:c16r2="http://schemas.microsoft.com/office/drawing/2015/06/chart">
            <c:ext xmlns:c16="http://schemas.microsoft.com/office/drawing/2014/chart" uri="{C3380CC4-5D6E-409C-BE32-E72D297353CC}">
              <c16:uniqueId val="{0000000B-73F7-4EA4-A913-65EFB30D2043}"/>
            </c:ext>
          </c:extLst>
        </c:ser>
        <c:shape val="box"/>
        <c:axId val="188749312"/>
        <c:axId val="188750848"/>
        <c:axId val="0"/>
      </c:bar3DChart>
      <c:catAx>
        <c:axId val="188749312"/>
        <c:scaling>
          <c:orientation val="minMax"/>
        </c:scaling>
        <c:axPos val="b"/>
        <c:numFmt formatCode="General" sourceLinked="0"/>
        <c:tickLblPos val="nextTo"/>
        <c:crossAx val="188750848"/>
        <c:crosses val="autoZero"/>
        <c:auto val="1"/>
        <c:lblAlgn val="ctr"/>
        <c:lblOffset val="100"/>
      </c:catAx>
      <c:valAx>
        <c:axId val="188750848"/>
        <c:scaling>
          <c:orientation val="minMax"/>
        </c:scaling>
        <c:axPos val="l"/>
        <c:majorGridlines/>
        <c:numFmt formatCode="0%" sourceLinked="1"/>
        <c:tickLblPos val="nextTo"/>
        <c:crossAx val="188749312"/>
        <c:crosses val="autoZero"/>
        <c:crossBetween val="between"/>
      </c:valAx>
    </c:plotArea>
    <c:legend>
      <c:legendPos val="b"/>
      <c:layout>
        <c:manualLayout>
          <c:xMode val="edge"/>
          <c:yMode val="edge"/>
          <c:x val="2.3752298910057867E-2"/>
          <c:y val="0.63956146629996613"/>
          <c:w val="0.95451764687149188"/>
          <c:h val="0.3041256589914213"/>
        </c:manualLayout>
      </c:layout>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демография!$G$149</c:f>
              <c:strCache>
                <c:ptCount val="1"/>
                <c:pt idx="0">
                  <c:v>Коэффициент миграционного прироста населения, промилле  </c:v>
                </c:pt>
              </c:strCache>
            </c:strRef>
          </c:tx>
          <c:spPr>
            <a:effectLst/>
          </c:spPr>
          <c:dLbls>
            <c:dLbl>
              <c:idx val="0"/>
              <c:layout>
                <c:manualLayout>
                  <c:x val="-3.333333333333334E-2"/>
                  <c:y val="6.481481481481657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145-4063-BD98-63AA723EC1B4}"/>
                </c:ext>
              </c:extLst>
            </c:dLbl>
            <c:dLbl>
              <c:idx val="1"/>
              <c:layout>
                <c:manualLayout>
                  <c:x val="-4.7222222222222332E-2"/>
                  <c:y val="5.09259259259259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145-4063-BD98-63AA723EC1B4}"/>
                </c:ext>
              </c:extLst>
            </c:dLbl>
            <c:dLbl>
              <c:idx val="2"/>
              <c:layout>
                <c:manualLayout>
                  <c:x val="-3.0555555555555582E-2"/>
                  <c:y val="4.62962962962965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145-4063-BD98-63AA723EC1B4}"/>
                </c:ext>
              </c:extLst>
            </c:dLbl>
            <c:dLbl>
              <c:idx val="5"/>
              <c:layout>
                <c:manualLayout>
                  <c:x val="-5.5555555555555558E-3"/>
                  <c:y val="-5.09259259259259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145-4063-BD98-63AA723EC1B4}"/>
                </c:ext>
              </c:extLst>
            </c:dLbl>
            <c:dLbl>
              <c:idx val="6"/>
              <c:layout>
                <c:manualLayout>
                  <c:x val="-3.2454724409448819E-2"/>
                  <c:y val="-5.09259259259259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145-4063-BD98-63AA723EC1B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демография!$F$150:$F$156</c:f>
              <c:strCache>
                <c:ptCount val="7"/>
                <c:pt idx="0">
                  <c:v>01.01.2011 г.</c:v>
                </c:pt>
                <c:pt idx="1">
                  <c:v>01.01.2012 г.</c:v>
                </c:pt>
                <c:pt idx="2">
                  <c:v>01.01.2013 г.</c:v>
                </c:pt>
                <c:pt idx="3">
                  <c:v>01.01.2014 г.</c:v>
                </c:pt>
                <c:pt idx="4">
                  <c:v>01.01.2015 г.</c:v>
                </c:pt>
                <c:pt idx="5">
                  <c:v>01.01.2016 г.</c:v>
                </c:pt>
                <c:pt idx="6">
                  <c:v>01.01.2017 г.</c:v>
                </c:pt>
              </c:strCache>
            </c:strRef>
          </c:cat>
          <c:val>
            <c:numRef>
              <c:f>демография!$G$150:$G$156</c:f>
              <c:numCache>
                <c:formatCode>General</c:formatCode>
                <c:ptCount val="7"/>
                <c:pt idx="0">
                  <c:v>-160</c:v>
                </c:pt>
                <c:pt idx="1">
                  <c:v>-169</c:v>
                </c:pt>
                <c:pt idx="2">
                  <c:v>-171</c:v>
                </c:pt>
                <c:pt idx="3">
                  <c:v>-149</c:v>
                </c:pt>
                <c:pt idx="4">
                  <c:v>61</c:v>
                </c:pt>
                <c:pt idx="5">
                  <c:v>-12</c:v>
                </c:pt>
                <c:pt idx="6">
                  <c:v>-15</c:v>
                </c:pt>
              </c:numCache>
            </c:numRef>
          </c:val>
          <c:extLst xmlns:c16r2="http://schemas.microsoft.com/office/drawing/2015/06/chart">
            <c:ext xmlns:c16="http://schemas.microsoft.com/office/drawing/2014/chart" uri="{C3380CC4-5D6E-409C-BE32-E72D297353CC}">
              <c16:uniqueId val="{00000005-D145-4063-BD98-63AA723EC1B4}"/>
            </c:ext>
          </c:extLst>
        </c:ser>
        <c:marker val="1"/>
        <c:axId val="167478400"/>
        <c:axId val="167479936"/>
      </c:lineChart>
      <c:catAx>
        <c:axId val="1674784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479936"/>
        <c:crosses val="autoZero"/>
        <c:auto val="1"/>
        <c:lblAlgn val="ctr"/>
        <c:lblOffset val="100"/>
      </c:catAx>
      <c:valAx>
        <c:axId val="1674799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47840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Лист7!$A$25</c:f>
              <c:strCache>
                <c:ptCount val="1"/>
                <c:pt idx="0">
                  <c:v>собственные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Лист7!$B$24:$H$24</c:f>
              <c:numCache>
                <c:formatCode>General</c:formatCode>
                <c:ptCount val="7"/>
                <c:pt idx="0">
                  <c:v>2010</c:v>
                </c:pt>
                <c:pt idx="1">
                  <c:v>2011</c:v>
                </c:pt>
                <c:pt idx="2">
                  <c:v>2012</c:v>
                </c:pt>
                <c:pt idx="3">
                  <c:v>2013</c:v>
                </c:pt>
                <c:pt idx="4">
                  <c:v>2014</c:v>
                </c:pt>
                <c:pt idx="5">
                  <c:v>2015</c:v>
                </c:pt>
                <c:pt idx="6">
                  <c:v>2016</c:v>
                </c:pt>
              </c:numCache>
            </c:numRef>
          </c:cat>
          <c:val>
            <c:numRef>
              <c:f>Лист7!$B$25:$H$25</c:f>
              <c:numCache>
                <c:formatCode>0%</c:formatCode>
                <c:ptCount val="7"/>
                <c:pt idx="0">
                  <c:v>0.47794780531782266</c:v>
                </c:pt>
                <c:pt idx="1">
                  <c:v>0.43790003395661853</c:v>
                </c:pt>
                <c:pt idx="2">
                  <c:v>0.39532656630103719</c:v>
                </c:pt>
                <c:pt idx="3">
                  <c:v>0.51930787567314984</c:v>
                </c:pt>
                <c:pt idx="4">
                  <c:v>0.61831716652968605</c:v>
                </c:pt>
                <c:pt idx="5">
                  <c:v>0.50462563071632693</c:v>
                </c:pt>
                <c:pt idx="6">
                  <c:v>0.52307764677708368</c:v>
                </c:pt>
              </c:numCache>
            </c:numRef>
          </c:val>
          <c:extLst xmlns:c16r2="http://schemas.microsoft.com/office/drawing/2015/06/chart">
            <c:ext xmlns:c16="http://schemas.microsoft.com/office/drawing/2014/chart" uri="{C3380CC4-5D6E-409C-BE32-E72D297353CC}">
              <c16:uniqueId val="{00000000-434E-4E55-8A7A-42303F7354C0}"/>
            </c:ext>
          </c:extLst>
        </c:ser>
        <c:ser>
          <c:idx val="1"/>
          <c:order val="1"/>
          <c:tx>
            <c:strRef>
              <c:f>Лист7!$A$26</c:f>
              <c:strCache>
                <c:ptCount val="1"/>
                <c:pt idx="0">
                  <c:v>дотация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Лист7!$B$24:$H$24</c:f>
              <c:numCache>
                <c:formatCode>General</c:formatCode>
                <c:ptCount val="7"/>
                <c:pt idx="0">
                  <c:v>2010</c:v>
                </c:pt>
                <c:pt idx="1">
                  <c:v>2011</c:v>
                </c:pt>
                <c:pt idx="2">
                  <c:v>2012</c:v>
                </c:pt>
                <c:pt idx="3">
                  <c:v>2013</c:v>
                </c:pt>
                <c:pt idx="4">
                  <c:v>2014</c:v>
                </c:pt>
                <c:pt idx="5">
                  <c:v>2015</c:v>
                </c:pt>
                <c:pt idx="6">
                  <c:v>2016</c:v>
                </c:pt>
              </c:numCache>
            </c:numRef>
          </c:cat>
          <c:val>
            <c:numRef>
              <c:f>Лист7!$B$26:$H$26</c:f>
              <c:numCache>
                <c:formatCode>0%</c:formatCode>
                <c:ptCount val="7"/>
                <c:pt idx="0">
                  <c:v>0.28278558967814482</c:v>
                </c:pt>
                <c:pt idx="1">
                  <c:v>0.35346830623299186</c:v>
                </c:pt>
                <c:pt idx="2">
                  <c:v>0.37471983671242032</c:v>
                </c:pt>
                <c:pt idx="3">
                  <c:v>0.37783508769854768</c:v>
                </c:pt>
                <c:pt idx="4">
                  <c:v>0.28670266856736898</c:v>
                </c:pt>
                <c:pt idx="5">
                  <c:v>0.43386485562975419</c:v>
                </c:pt>
                <c:pt idx="6">
                  <c:v>0.38335706740905912</c:v>
                </c:pt>
              </c:numCache>
            </c:numRef>
          </c:val>
          <c:extLst xmlns:c16r2="http://schemas.microsoft.com/office/drawing/2015/06/chart">
            <c:ext xmlns:c16="http://schemas.microsoft.com/office/drawing/2014/chart" uri="{C3380CC4-5D6E-409C-BE32-E72D297353CC}">
              <c16:uniqueId val="{00000001-434E-4E55-8A7A-42303F7354C0}"/>
            </c:ext>
          </c:extLst>
        </c:ser>
        <c:ser>
          <c:idx val="2"/>
          <c:order val="2"/>
          <c:tx>
            <c:strRef>
              <c:f>Лист7!$A$27</c:f>
              <c:strCache>
                <c:ptCount val="1"/>
                <c:pt idx="0">
                  <c:v>иные межбюд.транс.</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Лист7!$B$24:$H$24</c:f>
              <c:numCache>
                <c:formatCode>General</c:formatCode>
                <c:ptCount val="7"/>
                <c:pt idx="0">
                  <c:v>2010</c:v>
                </c:pt>
                <c:pt idx="1">
                  <c:v>2011</c:v>
                </c:pt>
                <c:pt idx="2">
                  <c:v>2012</c:v>
                </c:pt>
                <c:pt idx="3">
                  <c:v>2013</c:v>
                </c:pt>
                <c:pt idx="4">
                  <c:v>2014</c:v>
                </c:pt>
                <c:pt idx="5">
                  <c:v>2015</c:v>
                </c:pt>
                <c:pt idx="6">
                  <c:v>2016</c:v>
                </c:pt>
              </c:numCache>
            </c:numRef>
          </c:cat>
          <c:val>
            <c:numRef>
              <c:f>Лист7!$B$27:$H$27</c:f>
              <c:numCache>
                <c:formatCode>0%</c:formatCode>
                <c:ptCount val="7"/>
                <c:pt idx="0">
                  <c:v>0.23926660500403929</c:v>
                </c:pt>
                <c:pt idx="1">
                  <c:v>0.20863165981039974</c:v>
                </c:pt>
                <c:pt idx="2">
                  <c:v>0.22995359698655038</c:v>
                </c:pt>
                <c:pt idx="3">
                  <c:v>0.10285703662830485</c:v>
                </c:pt>
                <c:pt idx="4">
                  <c:v>9.4980164902944988E-2</c:v>
                </c:pt>
                <c:pt idx="5">
                  <c:v>6.1509513653926512E-2</c:v>
                </c:pt>
                <c:pt idx="6">
                  <c:v>9.3565285813865265E-2</c:v>
                </c:pt>
              </c:numCache>
            </c:numRef>
          </c:val>
          <c:extLst xmlns:c16r2="http://schemas.microsoft.com/office/drawing/2015/06/chart">
            <c:ext xmlns:c16="http://schemas.microsoft.com/office/drawing/2014/chart" uri="{C3380CC4-5D6E-409C-BE32-E72D297353CC}">
              <c16:uniqueId val="{00000002-434E-4E55-8A7A-42303F7354C0}"/>
            </c:ext>
          </c:extLst>
        </c:ser>
        <c:shape val="box"/>
        <c:axId val="188806656"/>
        <c:axId val="188808192"/>
        <c:axId val="0"/>
      </c:bar3DChart>
      <c:catAx>
        <c:axId val="188806656"/>
        <c:scaling>
          <c:orientation val="minMax"/>
        </c:scaling>
        <c:axPos val="b"/>
        <c:numFmt formatCode="General" sourceLinked="1"/>
        <c:tickLblPos val="nextTo"/>
        <c:crossAx val="188808192"/>
        <c:crosses val="autoZero"/>
        <c:auto val="1"/>
        <c:lblAlgn val="ctr"/>
        <c:lblOffset val="100"/>
      </c:catAx>
      <c:valAx>
        <c:axId val="188808192"/>
        <c:scaling>
          <c:orientation val="minMax"/>
        </c:scaling>
        <c:axPos val="l"/>
        <c:majorGridlines/>
        <c:numFmt formatCode="0%" sourceLinked="1"/>
        <c:tickLblPos val="nextTo"/>
        <c:crossAx val="188806656"/>
        <c:crosses val="autoZero"/>
        <c:crossBetween val="between"/>
      </c:valAx>
    </c:plotArea>
    <c:legend>
      <c:legendPos val="b"/>
    </c:legend>
    <c:plotVisOnly val="1"/>
    <c:dispBlanksAs val="gap"/>
  </c:chart>
  <c:spPr>
    <a:ln>
      <a:noFill/>
    </a:ln>
  </c:spPr>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Лист7!$A$19</c:f>
              <c:strCache>
                <c:ptCount val="1"/>
                <c:pt idx="0">
                  <c:v>собственные</c:v>
                </c:pt>
              </c:strCache>
            </c:strRef>
          </c:tx>
          <c:dLbls>
            <c:dLbl>
              <c:idx val="0"/>
              <c:layout>
                <c:manualLayout>
                  <c:x val="-2.1482277121375654E-2"/>
                  <c:y val="-3.778676659828358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BBC-434F-87DD-846591D2472D}"/>
                </c:ext>
              </c:extLst>
            </c:dLbl>
            <c:dLbl>
              <c:idx val="1"/>
              <c:layout>
                <c:manualLayout>
                  <c:x val="-1.4321518080916581E-2"/>
                  <c:y val="-5.668014989742528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BBC-434F-87DD-846591D2472D}"/>
                </c:ext>
              </c:extLst>
            </c:dLbl>
            <c:dLbl>
              <c:idx val="2"/>
              <c:layout>
                <c:manualLayout>
                  <c:x val="-3.0075187969925476E-2"/>
                  <c:y val="-4.588393086934527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BBC-434F-87DD-846591D2472D}"/>
                </c:ext>
              </c:extLst>
            </c:dLbl>
            <c:dLbl>
              <c:idx val="5"/>
              <c:layout>
                <c:manualLayout>
                  <c:x val="-1.1457214464733263E-2"/>
                  <c:y val="-4.04858213553038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BBC-434F-87DD-846591D2472D}"/>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Лист7!$B$18:$H$18</c:f>
              <c:numCache>
                <c:formatCode>General</c:formatCode>
                <c:ptCount val="7"/>
                <c:pt idx="0">
                  <c:v>2010</c:v>
                </c:pt>
                <c:pt idx="1">
                  <c:v>2011</c:v>
                </c:pt>
                <c:pt idx="2">
                  <c:v>2012</c:v>
                </c:pt>
                <c:pt idx="3">
                  <c:v>2013</c:v>
                </c:pt>
                <c:pt idx="4">
                  <c:v>2014</c:v>
                </c:pt>
                <c:pt idx="5">
                  <c:v>2015</c:v>
                </c:pt>
                <c:pt idx="6">
                  <c:v>2016</c:v>
                </c:pt>
              </c:numCache>
            </c:numRef>
          </c:cat>
          <c:val>
            <c:numRef>
              <c:f>Лист7!$B$19:$H$19</c:f>
              <c:numCache>
                <c:formatCode>General</c:formatCode>
                <c:ptCount val="7"/>
                <c:pt idx="0">
                  <c:v>40822</c:v>
                </c:pt>
                <c:pt idx="1">
                  <c:v>39332.400000000001</c:v>
                </c:pt>
                <c:pt idx="2">
                  <c:v>44624.700000000004</c:v>
                </c:pt>
                <c:pt idx="3">
                  <c:v>61456.4</c:v>
                </c:pt>
                <c:pt idx="4">
                  <c:v>79896.100000000006</c:v>
                </c:pt>
                <c:pt idx="5">
                  <c:v>55675.799999999996</c:v>
                </c:pt>
                <c:pt idx="6">
                  <c:v>61158.5</c:v>
                </c:pt>
              </c:numCache>
            </c:numRef>
          </c:val>
          <c:extLst xmlns:c16r2="http://schemas.microsoft.com/office/drawing/2015/06/chart">
            <c:ext xmlns:c16="http://schemas.microsoft.com/office/drawing/2014/chart" uri="{C3380CC4-5D6E-409C-BE32-E72D297353CC}">
              <c16:uniqueId val="{00000004-DBBC-434F-87DD-846591D2472D}"/>
            </c:ext>
          </c:extLst>
        </c:ser>
        <c:ser>
          <c:idx val="1"/>
          <c:order val="1"/>
          <c:tx>
            <c:strRef>
              <c:f>Лист7!$A$20</c:f>
              <c:strCache>
                <c:ptCount val="1"/>
                <c:pt idx="0">
                  <c:v>дотация</c:v>
                </c:pt>
              </c:strCache>
            </c:strRef>
          </c:tx>
          <c:dLbls>
            <c:dLbl>
              <c:idx val="2"/>
              <c:layout>
                <c:manualLayout>
                  <c:x val="-7.1607590404582904E-3"/>
                  <c:y val="3.238865708424305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BBC-434F-87DD-846591D2472D}"/>
                </c:ext>
              </c:extLst>
            </c:dLbl>
            <c:dLbl>
              <c:idx val="5"/>
              <c:layout>
                <c:manualLayout>
                  <c:x val="-1.2889366272824896E-2"/>
                  <c:y val="3.778676659828358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BBC-434F-87DD-846591D2472D}"/>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Лист7!$B$18:$H$18</c:f>
              <c:numCache>
                <c:formatCode>General</c:formatCode>
                <c:ptCount val="7"/>
                <c:pt idx="0">
                  <c:v>2010</c:v>
                </c:pt>
                <c:pt idx="1">
                  <c:v>2011</c:v>
                </c:pt>
                <c:pt idx="2">
                  <c:v>2012</c:v>
                </c:pt>
                <c:pt idx="3">
                  <c:v>2013</c:v>
                </c:pt>
                <c:pt idx="4">
                  <c:v>2014</c:v>
                </c:pt>
                <c:pt idx="5">
                  <c:v>2015</c:v>
                </c:pt>
                <c:pt idx="6">
                  <c:v>2016</c:v>
                </c:pt>
              </c:numCache>
            </c:numRef>
          </c:cat>
          <c:val>
            <c:numRef>
              <c:f>Лист7!$B$20:$H$20</c:f>
              <c:numCache>
                <c:formatCode>General</c:formatCode>
                <c:ptCount val="7"/>
                <c:pt idx="0">
                  <c:v>24153</c:v>
                </c:pt>
                <c:pt idx="1">
                  <c:v>31748.699999999892</c:v>
                </c:pt>
                <c:pt idx="2">
                  <c:v>42298.600000000006</c:v>
                </c:pt>
                <c:pt idx="3">
                  <c:v>44714.1</c:v>
                </c:pt>
                <c:pt idx="4">
                  <c:v>37046.400000000009</c:v>
                </c:pt>
                <c:pt idx="5">
                  <c:v>47868.700000000004</c:v>
                </c:pt>
                <c:pt idx="6">
                  <c:v>44822.30000000001</c:v>
                </c:pt>
              </c:numCache>
            </c:numRef>
          </c:val>
          <c:extLst xmlns:c16r2="http://schemas.microsoft.com/office/drawing/2015/06/chart">
            <c:ext xmlns:c16="http://schemas.microsoft.com/office/drawing/2014/chart" uri="{C3380CC4-5D6E-409C-BE32-E72D297353CC}">
              <c16:uniqueId val="{00000007-DBBC-434F-87DD-846591D2472D}"/>
            </c:ext>
          </c:extLst>
        </c:ser>
        <c:ser>
          <c:idx val="2"/>
          <c:order val="2"/>
          <c:tx>
            <c:strRef>
              <c:f>Лист7!$A$21</c:f>
              <c:strCache>
                <c:ptCount val="1"/>
                <c:pt idx="0">
                  <c:v>иные межбюд.транс.</c:v>
                </c:pt>
              </c:strCache>
            </c:strRef>
          </c:tx>
          <c:dLbls>
            <c:dLbl>
              <c:idx val="0"/>
              <c:layout>
                <c:manualLayout>
                  <c:x val="-8.5929108485500068E-3"/>
                  <c:y val="4.588393086934532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BBC-434F-87DD-846591D2472D}"/>
                </c:ext>
              </c:extLst>
            </c:dLbl>
            <c:dLbl>
              <c:idx val="3"/>
              <c:layout>
                <c:manualLayout>
                  <c:x val="-1.8617973505191548E-2"/>
                  <c:y val="2.96896023272226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BBC-434F-87DD-846591D2472D}"/>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Лист7!$B$18:$H$18</c:f>
              <c:numCache>
                <c:formatCode>General</c:formatCode>
                <c:ptCount val="7"/>
                <c:pt idx="0">
                  <c:v>2010</c:v>
                </c:pt>
                <c:pt idx="1">
                  <c:v>2011</c:v>
                </c:pt>
                <c:pt idx="2">
                  <c:v>2012</c:v>
                </c:pt>
                <c:pt idx="3">
                  <c:v>2013</c:v>
                </c:pt>
                <c:pt idx="4">
                  <c:v>2014</c:v>
                </c:pt>
                <c:pt idx="5">
                  <c:v>2015</c:v>
                </c:pt>
                <c:pt idx="6">
                  <c:v>2016</c:v>
                </c:pt>
              </c:numCache>
            </c:numRef>
          </c:cat>
          <c:val>
            <c:numRef>
              <c:f>Лист7!$B$21:$H$21</c:f>
              <c:numCache>
                <c:formatCode>General</c:formatCode>
                <c:ptCount val="7"/>
                <c:pt idx="0">
                  <c:v>20436</c:v>
                </c:pt>
                <c:pt idx="1">
                  <c:v>18739.399999999896</c:v>
                </c:pt>
                <c:pt idx="2">
                  <c:v>25957.3</c:v>
                </c:pt>
                <c:pt idx="3">
                  <c:v>12172.4</c:v>
                </c:pt>
                <c:pt idx="4">
                  <c:v>12272.9</c:v>
                </c:pt>
                <c:pt idx="5">
                  <c:v>6786.4</c:v>
                </c:pt>
                <c:pt idx="6">
                  <c:v>10939.7</c:v>
                </c:pt>
              </c:numCache>
            </c:numRef>
          </c:val>
          <c:extLst xmlns:c16r2="http://schemas.microsoft.com/office/drawing/2015/06/chart">
            <c:ext xmlns:c16="http://schemas.microsoft.com/office/drawing/2014/chart" uri="{C3380CC4-5D6E-409C-BE32-E72D297353CC}">
              <c16:uniqueId val="{0000000A-DBBC-434F-87DD-846591D2472D}"/>
            </c:ext>
          </c:extLst>
        </c:ser>
        <c:marker val="1"/>
        <c:axId val="188867712"/>
        <c:axId val="188869248"/>
      </c:lineChart>
      <c:catAx>
        <c:axId val="188867712"/>
        <c:scaling>
          <c:orientation val="minMax"/>
        </c:scaling>
        <c:axPos val="b"/>
        <c:numFmt formatCode="General" sourceLinked="1"/>
        <c:tickLblPos val="nextTo"/>
        <c:crossAx val="188869248"/>
        <c:crosses val="autoZero"/>
        <c:auto val="1"/>
        <c:lblAlgn val="ctr"/>
        <c:lblOffset val="100"/>
      </c:catAx>
      <c:valAx>
        <c:axId val="188869248"/>
        <c:scaling>
          <c:orientation val="minMax"/>
        </c:scaling>
        <c:axPos val="l"/>
        <c:majorGridlines/>
        <c:numFmt formatCode="General" sourceLinked="1"/>
        <c:tickLblPos val="nextTo"/>
        <c:crossAx val="188867712"/>
        <c:crosses val="autoZero"/>
        <c:crossBetween val="between"/>
      </c:valAx>
    </c:plotArea>
    <c:legend>
      <c:legendPos val="b"/>
    </c:legend>
    <c:plotVisOnly val="1"/>
    <c:dispBlanksAs val="gap"/>
  </c:chart>
  <c:spPr>
    <a:ln>
      <a:noFill/>
    </a:ln>
  </c:spPr>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Расходы!$A$18</c:f>
              <c:strCache>
                <c:ptCount val="1"/>
                <c:pt idx="0">
                  <c:v>Бардымское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Расходы!$B$18:$H$18</c:f>
              <c:numCache>
                <c:formatCode>0%</c:formatCode>
                <c:ptCount val="7"/>
                <c:pt idx="0">
                  <c:v>0.18619934915454844</c:v>
                </c:pt>
                <c:pt idx="1">
                  <c:v>0.21118973932328233</c:v>
                </c:pt>
                <c:pt idx="2">
                  <c:v>0.29666998285881496</c:v>
                </c:pt>
                <c:pt idx="3">
                  <c:v>0.27540905608711874</c:v>
                </c:pt>
                <c:pt idx="4">
                  <c:v>0.30307488192246834</c:v>
                </c:pt>
                <c:pt idx="5">
                  <c:v>0.30180678935543326</c:v>
                </c:pt>
                <c:pt idx="6" formatCode="0.0%">
                  <c:v>0.27707224494309401</c:v>
                </c:pt>
              </c:numCache>
            </c:numRef>
          </c:val>
          <c:extLst xmlns:c16r2="http://schemas.microsoft.com/office/drawing/2015/06/chart">
            <c:ext xmlns:c16="http://schemas.microsoft.com/office/drawing/2014/chart" uri="{C3380CC4-5D6E-409C-BE32-E72D297353CC}">
              <c16:uniqueId val="{00000000-F767-43EB-8178-7E0DD34106F2}"/>
            </c:ext>
          </c:extLst>
        </c:ser>
        <c:ser>
          <c:idx val="1"/>
          <c:order val="1"/>
          <c:tx>
            <c:strRef>
              <c:f>Расходы!$A$19</c:f>
              <c:strCache>
                <c:ptCount val="1"/>
                <c:pt idx="0">
                  <c:v>Сарашевское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Расходы!$B$19:$H$19</c:f>
              <c:numCache>
                <c:formatCode>0%</c:formatCode>
                <c:ptCount val="7"/>
                <c:pt idx="0">
                  <c:v>0.15138050422032595</c:v>
                </c:pt>
                <c:pt idx="1">
                  <c:v>0.14148198660324904</c:v>
                </c:pt>
                <c:pt idx="2">
                  <c:v>0.10822984916295519</c:v>
                </c:pt>
                <c:pt idx="3">
                  <c:v>0.13194434624640275</c:v>
                </c:pt>
                <c:pt idx="4">
                  <c:v>0.1608701082161208</c:v>
                </c:pt>
                <c:pt idx="5">
                  <c:v>0.10023874521346172</c:v>
                </c:pt>
                <c:pt idx="6" formatCode="0.0%">
                  <c:v>9.2487996893464888E-2</c:v>
                </c:pt>
              </c:numCache>
            </c:numRef>
          </c:val>
          <c:extLst xmlns:c16r2="http://schemas.microsoft.com/office/drawing/2015/06/chart">
            <c:ext xmlns:c16="http://schemas.microsoft.com/office/drawing/2014/chart" uri="{C3380CC4-5D6E-409C-BE32-E72D297353CC}">
              <c16:uniqueId val="{00000001-F767-43EB-8178-7E0DD34106F2}"/>
            </c:ext>
          </c:extLst>
        </c:ser>
        <c:ser>
          <c:idx val="2"/>
          <c:order val="2"/>
          <c:tx>
            <c:strRef>
              <c:f>Расходы!$A$20</c:f>
              <c:strCache>
                <c:ptCount val="1"/>
                <c:pt idx="0">
                  <c:v>Печменское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Расходы!$B$20:$H$20</c:f>
              <c:numCache>
                <c:formatCode>0%</c:formatCode>
                <c:ptCount val="7"/>
                <c:pt idx="0">
                  <c:v>0.16646712953118961</c:v>
                </c:pt>
                <c:pt idx="1">
                  <c:v>0.12491964023221813</c:v>
                </c:pt>
                <c:pt idx="2">
                  <c:v>0.10167698119890736</c:v>
                </c:pt>
                <c:pt idx="3">
                  <c:v>0.11164521605464563</c:v>
                </c:pt>
                <c:pt idx="4">
                  <c:v>0.10463324596460474</c:v>
                </c:pt>
                <c:pt idx="5">
                  <c:v>9.0712644364462747E-2</c:v>
                </c:pt>
                <c:pt idx="6" formatCode="0.0%">
                  <c:v>8.7264148921670767E-2</c:v>
                </c:pt>
              </c:numCache>
            </c:numRef>
          </c:val>
          <c:extLst xmlns:c16r2="http://schemas.microsoft.com/office/drawing/2015/06/chart">
            <c:ext xmlns:c16="http://schemas.microsoft.com/office/drawing/2014/chart" uri="{C3380CC4-5D6E-409C-BE32-E72D297353CC}">
              <c16:uniqueId val="{00000002-F767-43EB-8178-7E0DD34106F2}"/>
            </c:ext>
          </c:extLst>
        </c:ser>
        <c:ser>
          <c:idx val="3"/>
          <c:order val="3"/>
          <c:tx>
            <c:strRef>
              <c:f>Расходы!$A$21</c:f>
              <c:strCache>
                <c:ptCount val="1"/>
                <c:pt idx="0">
                  <c:v>Тюндюковское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Расходы!$B$21:$H$21</c:f>
              <c:numCache>
                <c:formatCode>0%</c:formatCode>
                <c:ptCount val="7"/>
                <c:pt idx="0">
                  <c:v>6.2566448177355377E-2</c:v>
                </c:pt>
                <c:pt idx="1">
                  <c:v>6.3543685826549803E-2</c:v>
                </c:pt>
                <c:pt idx="2">
                  <c:v>5.735476298262196E-2</c:v>
                </c:pt>
                <c:pt idx="3">
                  <c:v>5.9052468809759423E-2</c:v>
                </c:pt>
                <c:pt idx="4">
                  <c:v>5.8224554938495883E-2</c:v>
                </c:pt>
                <c:pt idx="5">
                  <c:v>7.2021326383760756E-2</c:v>
                </c:pt>
                <c:pt idx="6" formatCode="0.0%">
                  <c:v>7.7282776131455136E-2</c:v>
                </c:pt>
              </c:numCache>
            </c:numRef>
          </c:val>
          <c:extLst xmlns:c16r2="http://schemas.microsoft.com/office/drawing/2015/06/chart">
            <c:ext xmlns:c16="http://schemas.microsoft.com/office/drawing/2014/chart" uri="{C3380CC4-5D6E-409C-BE32-E72D297353CC}">
              <c16:uniqueId val="{00000003-F767-43EB-8178-7E0DD34106F2}"/>
            </c:ext>
          </c:extLst>
        </c:ser>
        <c:ser>
          <c:idx val="4"/>
          <c:order val="4"/>
          <c:tx>
            <c:strRef>
              <c:f>Расходы!$A$22</c:f>
              <c:strCache>
                <c:ptCount val="1"/>
                <c:pt idx="0">
                  <c:v>Березниковское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Расходы!$B$22:$H$22</c:f>
              <c:numCache>
                <c:formatCode>0%</c:formatCode>
                <c:ptCount val="7"/>
                <c:pt idx="0">
                  <c:v>7.1790610814759639E-2</c:v>
                </c:pt>
                <c:pt idx="1">
                  <c:v>7.9160623164839933E-2</c:v>
                </c:pt>
                <c:pt idx="2">
                  <c:v>6.1282688663773364E-2</c:v>
                </c:pt>
                <c:pt idx="3">
                  <c:v>6.9261923160422512E-2</c:v>
                </c:pt>
                <c:pt idx="4">
                  <c:v>5.6352831265895104E-2</c:v>
                </c:pt>
                <c:pt idx="5">
                  <c:v>6.8390537646494123E-2</c:v>
                </c:pt>
                <c:pt idx="6" formatCode="0.0%">
                  <c:v>7.5439771021617114E-2</c:v>
                </c:pt>
              </c:numCache>
            </c:numRef>
          </c:val>
          <c:extLst xmlns:c16r2="http://schemas.microsoft.com/office/drawing/2015/06/chart">
            <c:ext xmlns:c16="http://schemas.microsoft.com/office/drawing/2014/chart" uri="{C3380CC4-5D6E-409C-BE32-E72D297353CC}">
              <c16:uniqueId val="{00000004-F767-43EB-8178-7E0DD34106F2}"/>
            </c:ext>
          </c:extLst>
        </c:ser>
        <c:ser>
          <c:idx val="5"/>
          <c:order val="5"/>
          <c:tx>
            <c:strRef>
              <c:f>Расходы!$A$23</c:f>
              <c:strCache>
                <c:ptCount val="1"/>
                <c:pt idx="0">
                  <c:v>Красноярское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Расходы!$B$23:$H$23</c:f>
              <c:numCache>
                <c:formatCode>0%</c:formatCode>
                <c:ptCount val="7"/>
                <c:pt idx="0">
                  <c:v>6.0563757892887912E-2</c:v>
                </c:pt>
                <c:pt idx="1">
                  <c:v>6.2989859115755886E-2</c:v>
                </c:pt>
                <c:pt idx="2">
                  <c:v>5.0681716938151732E-2</c:v>
                </c:pt>
                <c:pt idx="3">
                  <c:v>5.242555640860775E-2</c:v>
                </c:pt>
                <c:pt idx="4">
                  <c:v>6.9041301188560736E-2</c:v>
                </c:pt>
                <c:pt idx="5">
                  <c:v>6.53594656462409E-2</c:v>
                </c:pt>
                <c:pt idx="6" formatCode="0.0%">
                  <c:v>7.4315109298775134E-2</c:v>
                </c:pt>
              </c:numCache>
            </c:numRef>
          </c:val>
          <c:extLst xmlns:c16r2="http://schemas.microsoft.com/office/drawing/2015/06/chart">
            <c:ext xmlns:c16="http://schemas.microsoft.com/office/drawing/2014/chart" uri="{C3380CC4-5D6E-409C-BE32-E72D297353CC}">
              <c16:uniqueId val="{00000005-F767-43EB-8178-7E0DD34106F2}"/>
            </c:ext>
          </c:extLst>
        </c:ser>
        <c:ser>
          <c:idx val="6"/>
          <c:order val="6"/>
          <c:tx>
            <c:strRef>
              <c:f>Расходы!$A$24</c:f>
              <c:strCache>
                <c:ptCount val="1"/>
                <c:pt idx="0">
                  <c:v>Елпачихинское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Расходы!$B$24:$H$24</c:f>
              <c:numCache>
                <c:formatCode>0%</c:formatCode>
                <c:ptCount val="7"/>
                <c:pt idx="0">
                  <c:v>6.3546414340787838E-2</c:v>
                </c:pt>
                <c:pt idx="1">
                  <c:v>6.7776678527992101E-2</c:v>
                </c:pt>
                <c:pt idx="2">
                  <c:v>6.2761873007009181E-2</c:v>
                </c:pt>
                <c:pt idx="3">
                  <c:v>6.5603687847224007E-2</c:v>
                </c:pt>
                <c:pt idx="4">
                  <c:v>4.388818965069808E-2</c:v>
                </c:pt>
                <c:pt idx="5">
                  <c:v>6.3775440765459657E-2</c:v>
                </c:pt>
                <c:pt idx="6" formatCode="0.0%">
                  <c:v>7.4307394393664183E-2</c:v>
                </c:pt>
              </c:numCache>
            </c:numRef>
          </c:val>
          <c:extLst xmlns:c16r2="http://schemas.microsoft.com/office/drawing/2015/06/chart">
            <c:ext xmlns:c16="http://schemas.microsoft.com/office/drawing/2014/chart" uri="{C3380CC4-5D6E-409C-BE32-E72D297353CC}">
              <c16:uniqueId val="{00000006-F767-43EB-8178-7E0DD34106F2}"/>
            </c:ext>
          </c:extLst>
        </c:ser>
        <c:ser>
          <c:idx val="7"/>
          <c:order val="7"/>
          <c:tx>
            <c:strRef>
              <c:f>Расходы!$A$25</c:f>
              <c:strCache>
                <c:ptCount val="1"/>
                <c:pt idx="0">
                  <c:v>Бичуринское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Расходы!$B$25:$H$25</c:f>
              <c:numCache>
                <c:formatCode>0%</c:formatCode>
                <c:ptCount val="7"/>
                <c:pt idx="0">
                  <c:v>6.0539489862897172E-2</c:v>
                </c:pt>
                <c:pt idx="1">
                  <c:v>5.5683982087243594E-2</c:v>
                </c:pt>
                <c:pt idx="2">
                  <c:v>5.0957313287990948E-2</c:v>
                </c:pt>
                <c:pt idx="3">
                  <c:v>5.5146358525360047E-2</c:v>
                </c:pt>
                <c:pt idx="4">
                  <c:v>5.2280129236518404E-2</c:v>
                </c:pt>
                <c:pt idx="5">
                  <c:v>5.8284037437075872E-2</c:v>
                </c:pt>
                <c:pt idx="6" formatCode="0.0%">
                  <c:v>6.5968439180402794E-2</c:v>
                </c:pt>
              </c:numCache>
            </c:numRef>
          </c:val>
          <c:extLst xmlns:c16r2="http://schemas.microsoft.com/office/drawing/2015/06/chart">
            <c:ext xmlns:c16="http://schemas.microsoft.com/office/drawing/2014/chart" uri="{C3380CC4-5D6E-409C-BE32-E72D297353CC}">
              <c16:uniqueId val="{00000007-F767-43EB-8178-7E0DD34106F2}"/>
            </c:ext>
          </c:extLst>
        </c:ser>
        <c:ser>
          <c:idx val="8"/>
          <c:order val="8"/>
          <c:tx>
            <c:strRef>
              <c:f>Расходы!$A$26</c:f>
              <c:strCache>
                <c:ptCount val="1"/>
                <c:pt idx="0">
                  <c:v>Федорковское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Расходы!$B$26:$H$26</c:f>
              <c:numCache>
                <c:formatCode>0%</c:formatCode>
                <c:ptCount val="7"/>
                <c:pt idx="0">
                  <c:v>4.9764484547044609E-2</c:v>
                </c:pt>
                <c:pt idx="1">
                  <c:v>5.7956623413696021E-2</c:v>
                </c:pt>
                <c:pt idx="2">
                  <c:v>5.1419050123295479E-2</c:v>
                </c:pt>
                <c:pt idx="3">
                  <c:v>5.0120651894539014E-2</c:v>
                </c:pt>
                <c:pt idx="4">
                  <c:v>3.6654318264390216E-2</c:v>
                </c:pt>
                <c:pt idx="5">
                  <c:v>6.0273727226349813E-2</c:v>
                </c:pt>
                <c:pt idx="6" formatCode="0.0%">
                  <c:v>5.3703454477345834E-2</c:v>
                </c:pt>
              </c:numCache>
            </c:numRef>
          </c:val>
          <c:extLst xmlns:c16r2="http://schemas.microsoft.com/office/drawing/2015/06/chart">
            <c:ext xmlns:c16="http://schemas.microsoft.com/office/drawing/2014/chart" uri="{C3380CC4-5D6E-409C-BE32-E72D297353CC}">
              <c16:uniqueId val="{00000008-F767-43EB-8178-7E0DD34106F2}"/>
            </c:ext>
          </c:extLst>
        </c:ser>
        <c:ser>
          <c:idx val="9"/>
          <c:order val="9"/>
          <c:tx>
            <c:strRef>
              <c:f>Расходы!$A$27</c:f>
              <c:strCache>
                <c:ptCount val="1"/>
                <c:pt idx="0">
                  <c:v>Брюзлинское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Расходы!$B$27:$H$27</c:f>
              <c:numCache>
                <c:formatCode>0%</c:formatCode>
                <c:ptCount val="7"/>
                <c:pt idx="0">
                  <c:v>4.0023759556981384E-2</c:v>
                </c:pt>
                <c:pt idx="1">
                  <c:v>4.6505585232588895E-2</c:v>
                </c:pt>
                <c:pt idx="2">
                  <c:v>8.5171922424597327E-2</c:v>
                </c:pt>
                <c:pt idx="3">
                  <c:v>4.2226083600408922E-2</c:v>
                </c:pt>
                <c:pt idx="4">
                  <c:v>4.1507986453521932E-2</c:v>
                </c:pt>
                <c:pt idx="5">
                  <c:v>4.2399885500640562E-2</c:v>
                </c:pt>
                <c:pt idx="6" formatCode="0.0%">
                  <c:v>4.6706035541710933E-2</c:v>
                </c:pt>
              </c:numCache>
            </c:numRef>
          </c:val>
          <c:extLst xmlns:c16r2="http://schemas.microsoft.com/office/drawing/2015/06/chart">
            <c:ext xmlns:c16="http://schemas.microsoft.com/office/drawing/2014/chart" uri="{C3380CC4-5D6E-409C-BE32-E72D297353CC}">
              <c16:uniqueId val="{00000009-F767-43EB-8178-7E0DD34106F2}"/>
            </c:ext>
          </c:extLst>
        </c:ser>
        <c:ser>
          <c:idx val="10"/>
          <c:order val="10"/>
          <c:tx>
            <c:strRef>
              <c:f>Расходы!$A$28</c:f>
              <c:strCache>
                <c:ptCount val="1"/>
                <c:pt idx="0">
                  <c:v>Шермейское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Расходы!$B$28:$H$28</c:f>
              <c:numCache>
                <c:formatCode>0%</c:formatCode>
                <c:ptCount val="7"/>
                <c:pt idx="0">
                  <c:v>4.4030295746392174E-2</c:v>
                </c:pt>
                <c:pt idx="1">
                  <c:v>3.9197268438830819E-2</c:v>
                </c:pt>
                <c:pt idx="2">
                  <c:v>3.8231990682132642E-2</c:v>
                </c:pt>
                <c:pt idx="3">
                  <c:v>3.7404998590107291E-2</c:v>
                </c:pt>
                <c:pt idx="4">
                  <c:v>4.0939494991437154E-2</c:v>
                </c:pt>
                <c:pt idx="5">
                  <c:v>4.1907292397470826E-2</c:v>
                </c:pt>
                <c:pt idx="6" formatCode="0.0%">
                  <c:v>3.9172859306704354E-2</c:v>
                </c:pt>
              </c:numCache>
            </c:numRef>
          </c:val>
          <c:extLst xmlns:c16r2="http://schemas.microsoft.com/office/drawing/2015/06/chart">
            <c:ext xmlns:c16="http://schemas.microsoft.com/office/drawing/2014/chart" uri="{C3380CC4-5D6E-409C-BE32-E72D297353CC}">
              <c16:uniqueId val="{0000000A-F767-43EB-8178-7E0DD34106F2}"/>
            </c:ext>
          </c:extLst>
        </c:ser>
        <c:ser>
          <c:idx val="11"/>
          <c:order val="11"/>
          <c:tx>
            <c:strRef>
              <c:f>Расходы!$A$29</c:f>
              <c:strCache>
                <c:ptCount val="1"/>
                <c:pt idx="0">
                  <c:v>Новоашапское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Расходы!$B$29:$H$29</c:f>
              <c:numCache>
                <c:formatCode>0%</c:formatCode>
                <c:ptCount val="7"/>
                <c:pt idx="0">
                  <c:v>4.3127756154834683E-2</c:v>
                </c:pt>
                <c:pt idx="1">
                  <c:v>4.9594328033756824E-2</c:v>
                </c:pt>
                <c:pt idx="2">
                  <c:v>3.5561868669755206E-2</c:v>
                </c:pt>
                <c:pt idx="3">
                  <c:v>4.9759652775409467E-2</c:v>
                </c:pt>
                <c:pt idx="4">
                  <c:v>3.2532957907302651E-2</c:v>
                </c:pt>
                <c:pt idx="5">
                  <c:v>3.4830108063161266E-2</c:v>
                </c:pt>
                <c:pt idx="6" formatCode="0.0%">
                  <c:v>3.6279769890096895E-2</c:v>
                </c:pt>
              </c:numCache>
            </c:numRef>
          </c:val>
          <c:extLst xmlns:c16r2="http://schemas.microsoft.com/office/drawing/2015/06/chart">
            <c:ext xmlns:c16="http://schemas.microsoft.com/office/drawing/2014/chart" uri="{C3380CC4-5D6E-409C-BE32-E72D297353CC}">
              <c16:uniqueId val="{0000000B-F767-43EB-8178-7E0DD34106F2}"/>
            </c:ext>
          </c:extLst>
        </c:ser>
        <c:shape val="box"/>
        <c:axId val="188973056"/>
        <c:axId val="188974592"/>
        <c:axId val="0"/>
      </c:bar3DChart>
      <c:catAx>
        <c:axId val="188973056"/>
        <c:scaling>
          <c:orientation val="minMax"/>
        </c:scaling>
        <c:axPos val="b"/>
        <c:numFmt formatCode="General" sourceLinked="0"/>
        <c:tickLblPos val="nextTo"/>
        <c:crossAx val="188974592"/>
        <c:crosses val="autoZero"/>
        <c:auto val="1"/>
        <c:lblAlgn val="ctr"/>
        <c:lblOffset val="100"/>
      </c:catAx>
      <c:valAx>
        <c:axId val="188974592"/>
        <c:scaling>
          <c:orientation val="minMax"/>
        </c:scaling>
        <c:axPos val="l"/>
        <c:majorGridlines/>
        <c:numFmt formatCode="0%" sourceLinked="1"/>
        <c:tickLblPos val="nextTo"/>
        <c:crossAx val="188973056"/>
        <c:crosses val="autoZero"/>
        <c:crossBetween val="between"/>
      </c:valAx>
    </c:plotArea>
    <c:legend>
      <c:legendPos val="b"/>
    </c:legend>
    <c:plotVisOnly val="1"/>
    <c:dispBlanksAs val="gap"/>
  </c:chart>
  <c:spPr>
    <a:ln>
      <a:noFill/>
    </a:ln>
  </c:spPr>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clustered"/>
        <c:ser>
          <c:idx val="0"/>
          <c:order val="0"/>
          <c:tx>
            <c:strRef>
              <c:f>Расходы!$F$34</c:f>
              <c:strCache>
                <c:ptCount val="1"/>
                <c:pt idx="0">
                  <c:v>Доходы бюджета в расчете на 1 жителя, тыс.руб.</c:v>
                </c:pt>
              </c:strCache>
            </c:strRef>
          </c:tx>
          <c:dLbls>
            <c:spPr>
              <a:noFill/>
              <a:ln>
                <a:noFill/>
              </a:ln>
              <a:effectLst/>
            </c:spPr>
            <c:txPr>
              <a:bodyPr/>
              <a:lstStyle/>
              <a:p>
                <a:pPr>
                  <a:defRPr sz="95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Расходы!$A$35:$A$46</c:f>
              <c:strCache>
                <c:ptCount val="12"/>
                <c:pt idx="0">
                  <c:v>Новоашапское сельское поселение</c:v>
                </c:pt>
                <c:pt idx="1">
                  <c:v>Шермейское сельское поселение</c:v>
                </c:pt>
                <c:pt idx="2">
                  <c:v>Тюндюковское сельское поселение</c:v>
                </c:pt>
                <c:pt idx="3">
                  <c:v>Березниковское сельское поселение</c:v>
                </c:pt>
                <c:pt idx="4">
                  <c:v>Брюзлинское сельское поселение</c:v>
                </c:pt>
                <c:pt idx="5">
                  <c:v>Печменское сельское поселение</c:v>
                </c:pt>
                <c:pt idx="6">
                  <c:v>Федорковское сельское поселение</c:v>
                </c:pt>
                <c:pt idx="7">
                  <c:v>Бичуринское сельское поселение</c:v>
                </c:pt>
                <c:pt idx="8">
                  <c:v>Сарашевское сельское поселение</c:v>
                </c:pt>
                <c:pt idx="9">
                  <c:v>Елпачихинское сельское поселение</c:v>
                </c:pt>
                <c:pt idx="10">
                  <c:v>Красноярское сельское поселение</c:v>
                </c:pt>
                <c:pt idx="11">
                  <c:v>Бардымское сельское поселение</c:v>
                </c:pt>
              </c:strCache>
            </c:strRef>
          </c:cat>
          <c:val>
            <c:numRef>
              <c:f>Расходы!$F$35:$F$46</c:f>
              <c:numCache>
                <c:formatCode>0.000</c:formatCode>
                <c:ptCount val="12"/>
                <c:pt idx="0">
                  <c:v>10.547630331753551</c:v>
                </c:pt>
                <c:pt idx="1">
                  <c:v>9.5471816283924689</c:v>
                </c:pt>
                <c:pt idx="2">
                  <c:v>6.9563262195121984</c:v>
                </c:pt>
                <c:pt idx="3">
                  <c:v>6.5194281524927034</c:v>
                </c:pt>
                <c:pt idx="4">
                  <c:v>6.3035353535353345</c:v>
                </c:pt>
                <c:pt idx="5">
                  <c:v>5.7440572495332765</c:v>
                </c:pt>
                <c:pt idx="6">
                  <c:v>5.3472972972972945</c:v>
                </c:pt>
                <c:pt idx="7">
                  <c:v>4.8566585956417034</c:v>
                </c:pt>
                <c:pt idx="8">
                  <c:v>4.627301970245175</c:v>
                </c:pt>
                <c:pt idx="9">
                  <c:v>4.5491649269311072</c:v>
                </c:pt>
                <c:pt idx="10">
                  <c:v>3.8747887950200077</c:v>
                </c:pt>
                <c:pt idx="11">
                  <c:v>3.2930599369085169</c:v>
                </c:pt>
              </c:numCache>
            </c:numRef>
          </c:val>
          <c:extLst xmlns:c16r2="http://schemas.microsoft.com/office/drawing/2015/06/chart">
            <c:ext xmlns:c16="http://schemas.microsoft.com/office/drawing/2014/chart" uri="{C3380CC4-5D6E-409C-BE32-E72D297353CC}">
              <c16:uniqueId val="{00000000-75F2-462D-B518-9EB04B6E634F}"/>
            </c:ext>
          </c:extLst>
        </c:ser>
        <c:ser>
          <c:idx val="1"/>
          <c:order val="1"/>
          <c:tx>
            <c:strRef>
              <c:f>Расходы!$G$34</c:f>
              <c:strCache>
                <c:ptCount val="1"/>
                <c:pt idx="0">
                  <c:v>Расходы бюджета в расчете на 1 жителя, тыс.руб.</c:v>
                </c:pt>
              </c:strCache>
            </c:strRef>
          </c:tx>
          <c:dLbls>
            <c:spPr>
              <a:noFill/>
              <a:ln>
                <a:noFill/>
              </a:ln>
              <a:effectLst/>
            </c:spPr>
            <c:txPr>
              <a:bodyPr/>
              <a:lstStyle/>
              <a:p>
                <a:pPr>
                  <a:defRPr sz="90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Расходы!$A$35:$A$46</c:f>
              <c:strCache>
                <c:ptCount val="12"/>
                <c:pt idx="0">
                  <c:v>Новоашапское сельское поселение</c:v>
                </c:pt>
                <c:pt idx="1">
                  <c:v>Шермейское сельское поселение</c:v>
                </c:pt>
                <c:pt idx="2">
                  <c:v>Тюндюковское сельское поселение</c:v>
                </c:pt>
                <c:pt idx="3">
                  <c:v>Березниковское сельское поселение</c:v>
                </c:pt>
                <c:pt idx="4">
                  <c:v>Брюзлинское сельское поселение</c:v>
                </c:pt>
                <c:pt idx="5">
                  <c:v>Печменское сельское поселение</c:v>
                </c:pt>
                <c:pt idx="6">
                  <c:v>Федорковское сельское поселение</c:v>
                </c:pt>
                <c:pt idx="7">
                  <c:v>Бичуринское сельское поселение</c:v>
                </c:pt>
                <c:pt idx="8">
                  <c:v>Сарашевское сельское поселение</c:v>
                </c:pt>
                <c:pt idx="9">
                  <c:v>Елпачихинское сельское поселение</c:v>
                </c:pt>
                <c:pt idx="10">
                  <c:v>Красноярское сельское поселение</c:v>
                </c:pt>
                <c:pt idx="11">
                  <c:v>Бардымское сельское поселение</c:v>
                </c:pt>
              </c:strCache>
            </c:strRef>
          </c:cat>
          <c:val>
            <c:numRef>
              <c:f>Расходы!$G$35:$G$46</c:f>
              <c:numCache>
                <c:formatCode>0.000</c:formatCode>
                <c:ptCount val="12"/>
                <c:pt idx="0">
                  <c:v>10.029146919431374</c:v>
                </c:pt>
                <c:pt idx="1">
                  <c:v>9.5402922755741137</c:v>
                </c:pt>
                <c:pt idx="2">
                  <c:v>6.8716463414634434</c:v>
                </c:pt>
                <c:pt idx="3">
                  <c:v>6.4520527859238452</c:v>
                </c:pt>
                <c:pt idx="4">
                  <c:v>6.8795454545454549</c:v>
                </c:pt>
                <c:pt idx="5">
                  <c:v>6.3347853142501558</c:v>
                </c:pt>
                <c:pt idx="6">
                  <c:v>5.2913006756756804</c:v>
                </c:pt>
                <c:pt idx="7">
                  <c:v>4.6584140435835346</c:v>
                </c:pt>
                <c:pt idx="8">
                  <c:v>4.3383192601527947</c:v>
                </c:pt>
                <c:pt idx="9">
                  <c:v>4.5242693110647183</c:v>
                </c:pt>
                <c:pt idx="10">
                  <c:v>3.8547799021787377</c:v>
                </c:pt>
                <c:pt idx="11">
                  <c:v>3.2891523354024632</c:v>
                </c:pt>
              </c:numCache>
            </c:numRef>
          </c:val>
          <c:extLst xmlns:c16r2="http://schemas.microsoft.com/office/drawing/2015/06/chart">
            <c:ext xmlns:c16="http://schemas.microsoft.com/office/drawing/2014/chart" uri="{C3380CC4-5D6E-409C-BE32-E72D297353CC}">
              <c16:uniqueId val="{00000001-75F2-462D-B518-9EB04B6E634F}"/>
            </c:ext>
          </c:extLst>
        </c:ser>
        <c:shape val="box"/>
        <c:axId val="189050880"/>
        <c:axId val="189052416"/>
        <c:axId val="0"/>
      </c:bar3DChart>
      <c:catAx>
        <c:axId val="189050880"/>
        <c:scaling>
          <c:orientation val="minMax"/>
        </c:scaling>
        <c:axPos val="l"/>
        <c:numFmt formatCode="General" sourceLinked="0"/>
        <c:tickLblPos val="nextTo"/>
        <c:crossAx val="189052416"/>
        <c:crosses val="autoZero"/>
        <c:auto val="1"/>
        <c:lblAlgn val="ctr"/>
        <c:lblOffset val="100"/>
      </c:catAx>
      <c:valAx>
        <c:axId val="189052416"/>
        <c:scaling>
          <c:orientation val="minMax"/>
        </c:scaling>
        <c:axPos val="b"/>
        <c:majorGridlines/>
        <c:numFmt formatCode="0.000" sourceLinked="1"/>
        <c:tickLblPos val="nextTo"/>
        <c:crossAx val="189050880"/>
        <c:crosses val="autoZero"/>
        <c:crossBetween val="between"/>
      </c:valAx>
    </c:plotArea>
    <c:legend>
      <c:legendPos val="b"/>
    </c:legend>
    <c:plotVisOnly val="1"/>
    <c:dispBlanksAs val="gap"/>
  </c:chart>
  <c:spPr>
    <a:ln>
      <a:noFill/>
    </a:ln>
  </c:spPr>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3861018386900743E-2"/>
          <c:y val="2.4580531148083978E-2"/>
          <c:w val="0.88007858044113652"/>
          <c:h val="0.45626159562903151"/>
        </c:manualLayout>
      </c:layout>
      <c:areaChart>
        <c:grouping val="stacked"/>
        <c:ser>
          <c:idx val="0"/>
          <c:order val="0"/>
          <c:tx>
            <c:strRef>
              <c:f>Лист3!$F$45</c:f>
              <c:strCache>
                <c:ptCount val="1"/>
                <c:pt idx="0">
                  <c:v>2015</c:v>
                </c:pt>
              </c:strCache>
            </c:strRef>
          </c:tx>
          <c:spPr>
            <a:solidFill>
              <a:schemeClr val="accent1"/>
            </a:solidFill>
            <a:ln>
              <a:noFill/>
            </a:ln>
            <a:effectLst/>
          </c:spPr>
          <c:cat>
            <c:strRef>
              <c:f>Лист3!$E$46:$E$79</c:f>
              <c:strCache>
                <c:ptCount val="34"/>
                <c:pt idx="0">
                  <c:v>Бардымский </c:v>
                </c:pt>
                <c:pt idx="1">
                  <c:v>Александровский </c:v>
                </c:pt>
                <c:pt idx="2">
                  <c:v>Березовский </c:v>
                </c:pt>
                <c:pt idx="3">
                  <c:v>Большесосновский </c:v>
                </c:pt>
                <c:pt idx="4">
                  <c:v>Верещагинский </c:v>
                </c:pt>
                <c:pt idx="5">
                  <c:v>Горнозаводский </c:v>
                </c:pt>
                <c:pt idx="6">
                  <c:v>Гремячинский </c:v>
                </c:pt>
                <c:pt idx="7">
                  <c:v>Добрянский </c:v>
                </c:pt>
                <c:pt idx="8">
                  <c:v>Еловский </c:v>
                </c:pt>
                <c:pt idx="9">
                  <c:v>Ильинский </c:v>
                </c:pt>
                <c:pt idx="10">
                  <c:v>Карагайский </c:v>
                </c:pt>
                <c:pt idx="11">
                  <c:v>Кизеловский </c:v>
                </c:pt>
                <c:pt idx="12">
                  <c:v>Кишертский </c:v>
                </c:pt>
                <c:pt idx="13">
                  <c:v>Красновишерский </c:v>
                </c:pt>
                <c:pt idx="14">
                  <c:v>Краснокамский </c:v>
                </c:pt>
                <c:pt idx="15">
                  <c:v>Куединский </c:v>
                </c:pt>
                <c:pt idx="16">
                  <c:v>Кунгурский </c:v>
                </c:pt>
                <c:pt idx="17">
                  <c:v>Нытвенский </c:v>
                </c:pt>
                <c:pt idx="18">
                  <c:v>Октябрьский</c:v>
                </c:pt>
                <c:pt idx="19">
                  <c:v>Ординский </c:v>
                </c:pt>
                <c:pt idx="20">
                  <c:v>Осинский </c:v>
                </c:pt>
                <c:pt idx="21">
                  <c:v>Оханский </c:v>
                </c:pt>
                <c:pt idx="22">
                  <c:v>Очерский </c:v>
                </c:pt>
                <c:pt idx="23">
                  <c:v>Пермский </c:v>
                </c:pt>
                <c:pt idx="24">
                  <c:v>Сивинский </c:v>
                </c:pt>
                <c:pt idx="25">
                  <c:v>Соликамский </c:v>
                </c:pt>
                <c:pt idx="26">
                  <c:v>Суксунский </c:v>
                </c:pt>
                <c:pt idx="27">
                  <c:v>Уинский </c:v>
                </c:pt>
                <c:pt idx="28">
                  <c:v>Усольский </c:v>
                </c:pt>
                <c:pt idx="29">
                  <c:v>Чайковский </c:v>
                </c:pt>
                <c:pt idx="30">
                  <c:v>Частинский </c:v>
                </c:pt>
                <c:pt idx="31">
                  <c:v>Чердынский </c:v>
                </c:pt>
                <c:pt idx="32">
                  <c:v>Чернушинский </c:v>
                </c:pt>
                <c:pt idx="33">
                  <c:v>Чусовской </c:v>
                </c:pt>
              </c:strCache>
            </c:strRef>
          </c:cat>
          <c:val>
            <c:numRef>
              <c:f>Лист3!$F$46:$F$79</c:f>
              <c:numCache>
                <c:formatCode>General</c:formatCode>
                <c:ptCount val="34"/>
                <c:pt idx="0">
                  <c:v>10252.023800000004</c:v>
                </c:pt>
                <c:pt idx="1">
                  <c:v>10548.9532</c:v>
                </c:pt>
                <c:pt idx="2">
                  <c:v>448.47529999999864</c:v>
                </c:pt>
                <c:pt idx="3">
                  <c:v>200.5001</c:v>
                </c:pt>
                <c:pt idx="4">
                  <c:v>4468.5648000000001</c:v>
                </c:pt>
                <c:pt idx="5">
                  <c:v>6997.1844000000001</c:v>
                </c:pt>
                <c:pt idx="6">
                  <c:v>635.85619999998778</c:v>
                </c:pt>
                <c:pt idx="7">
                  <c:v>38529.370600000002</c:v>
                </c:pt>
                <c:pt idx="8">
                  <c:v>1206.3001999999999</c:v>
                </c:pt>
                <c:pt idx="9">
                  <c:v>1229.9504999999999</c:v>
                </c:pt>
                <c:pt idx="10">
                  <c:v>1133.6807999999999</c:v>
                </c:pt>
                <c:pt idx="11">
                  <c:v>1208.6448999999998</c:v>
                </c:pt>
                <c:pt idx="12">
                  <c:v>356.37970000000001</c:v>
                </c:pt>
                <c:pt idx="13">
                  <c:v>9899.3519999996934</c:v>
                </c:pt>
                <c:pt idx="14">
                  <c:v>19938.189300000002</c:v>
                </c:pt>
                <c:pt idx="15">
                  <c:v>39827.039100000002</c:v>
                </c:pt>
                <c:pt idx="16">
                  <c:v>8943.2916000000005</c:v>
                </c:pt>
                <c:pt idx="17">
                  <c:v>12273.8277</c:v>
                </c:pt>
                <c:pt idx="18">
                  <c:v>17590.063200000001</c:v>
                </c:pt>
                <c:pt idx="19">
                  <c:v>6119.5962000000054</c:v>
                </c:pt>
                <c:pt idx="20">
                  <c:v>15796.2901</c:v>
                </c:pt>
                <c:pt idx="21">
                  <c:v>534.37840000000051</c:v>
                </c:pt>
                <c:pt idx="22">
                  <c:v>1816.6517999999999</c:v>
                </c:pt>
                <c:pt idx="23">
                  <c:v>16903.0229</c:v>
                </c:pt>
                <c:pt idx="24">
                  <c:v>580.71780000000001</c:v>
                </c:pt>
                <c:pt idx="25">
                  <c:v>10004.0906</c:v>
                </c:pt>
                <c:pt idx="26">
                  <c:v>1877.7977000000001</c:v>
                </c:pt>
                <c:pt idx="27">
                  <c:v>7115.5630999999994</c:v>
                </c:pt>
                <c:pt idx="28">
                  <c:v>41392.159800000001</c:v>
                </c:pt>
                <c:pt idx="29">
                  <c:v>84160.052899999908</c:v>
                </c:pt>
                <c:pt idx="30">
                  <c:v>11995.967799999851</c:v>
                </c:pt>
                <c:pt idx="31">
                  <c:v>261.33339999999669</c:v>
                </c:pt>
                <c:pt idx="32">
                  <c:v>27098.000600000003</c:v>
                </c:pt>
                <c:pt idx="33">
                  <c:v>8893.4600999998256</c:v>
                </c:pt>
              </c:numCache>
            </c:numRef>
          </c:val>
          <c:extLst xmlns:c16r2="http://schemas.microsoft.com/office/drawing/2015/06/chart">
            <c:ext xmlns:c16="http://schemas.microsoft.com/office/drawing/2014/chart" uri="{C3380CC4-5D6E-409C-BE32-E72D297353CC}">
              <c16:uniqueId val="{00000000-8EEA-432B-ABA3-C28BDC137A8D}"/>
            </c:ext>
          </c:extLst>
        </c:ser>
        <c:ser>
          <c:idx val="1"/>
          <c:order val="1"/>
          <c:tx>
            <c:strRef>
              <c:f>Лист3!$G$45</c:f>
              <c:strCache>
                <c:ptCount val="1"/>
                <c:pt idx="0">
                  <c:v>2016</c:v>
                </c:pt>
              </c:strCache>
            </c:strRef>
          </c:tx>
          <c:spPr>
            <a:solidFill>
              <a:schemeClr val="accent2"/>
            </a:solidFill>
            <a:ln>
              <a:noFill/>
            </a:ln>
            <a:effectLst/>
          </c:spPr>
          <c:cat>
            <c:strRef>
              <c:f>Лист3!$E$46:$E$79</c:f>
              <c:strCache>
                <c:ptCount val="34"/>
                <c:pt idx="0">
                  <c:v>Бардымский </c:v>
                </c:pt>
                <c:pt idx="1">
                  <c:v>Александровский </c:v>
                </c:pt>
                <c:pt idx="2">
                  <c:v>Березовский </c:v>
                </c:pt>
                <c:pt idx="3">
                  <c:v>Большесосновский </c:v>
                </c:pt>
                <c:pt idx="4">
                  <c:v>Верещагинский </c:v>
                </c:pt>
                <c:pt idx="5">
                  <c:v>Горнозаводский </c:v>
                </c:pt>
                <c:pt idx="6">
                  <c:v>Гремячинский </c:v>
                </c:pt>
                <c:pt idx="7">
                  <c:v>Добрянский </c:v>
                </c:pt>
                <c:pt idx="8">
                  <c:v>Еловский </c:v>
                </c:pt>
                <c:pt idx="9">
                  <c:v>Ильинский </c:v>
                </c:pt>
                <c:pt idx="10">
                  <c:v>Карагайский </c:v>
                </c:pt>
                <c:pt idx="11">
                  <c:v>Кизеловский </c:v>
                </c:pt>
                <c:pt idx="12">
                  <c:v>Кишертский </c:v>
                </c:pt>
                <c:pt idx="13">
                  <c:v>Красновишерский </c:v>
                </c:pt>
                <c:pt idx="14">
                  <c:v>Краснокамский </c:v>
                </c:pt>
                <c:pt idx="15">
                  <c:v>Куединский </c:v>
                </c:pt>
                <c:pt idx="16">
                  <c:v>Кунгурский </c:v>
                </c:pt>
                <c:pt idx="17">
                  <c:v>Нытвенский </c:v>
                </c:pt>
                <c:pt idx="18">
                  <c:v>Октябрьский</c:v>
                </c:pt>
                <c:pt idx="19">
                  <c:v>Ординский </c:v>
                </c:pt>
                <c:pt idx="20">
                  <c:v>Осинский </c:v>
                </c:pt>
                <c:pt idx="21">
                  <c:v>Оханский </c:v>
                </c:pt>
                <c:pt idx="22">
                  <c:v>Очерский </c:v>
                </c:pt>
                <c:pt idx="23">
                  <c:v>Пермский </c:v>
                </c:pt>
                <c:pt idx="24">
                  <c:v>Сивинский </c:v>
                </c:pt>
                <c:pt idx="25">
                  <c:v>Соликамский </c:v>
                </c:pt>
                <c:pt idx="26">
                  <c:v>Суксунский </c:v>
                </c:pt>
                <c:pt idx="27">
                  <c:v>Уинский </c:v>
                </c:pt>
                <c:pt idx="28">
                  <c:v>Усольский </c:v>
                </c:pt>
                <c:pt idx="29">
                  <c:v>Чайковский </c:v>
                </c:pt>
                <c:pt idx="30">
                  <c:v>Частинский </c:v>
                </c:pt>
                <c:pt idx="31">
                  <c:v>Чердынский </c:v>
                </c:pt>
                <c:pt idx="32">
                  <c:v>Чернушинский </c:v>
                </c:pt>
                <c:pt idx="33">
                  <c:v>Чусовской </c:v>
                </c:pt>
              </c:strCache>
            </c:strRef>
          </c:cat>
          <c:val>
            <c:numRef>
              <c:f>Лист3!$G$46:$G$79</c:f>
              <c:numCache>
                <c:formatCode>General</c:formatCode>
                <c:ptCount val="34"/>
                <c:pt idx="0">
                  <c:v>10388.4882</c:v>
                </c:pt>
                <c:pt idx="1">
                  <c:v>10713.121400000016</c:v>
                </c:pt>
                <c:pt idx="2">
                  <c:v>609.14659999999947</c:v>
                </c:pt>
                <c:pt idx="3">
                  <c:v>167.45040000000225</c:v>
                </c:pt>
                <c:pt idx="4">
                  <c:v>4787.9852000000001</c:v>
                </c:pt>
                <c:pt idx="5">
                  <c:v>8044.7735999999995</c:v>
                </c:pt>
                <c:pt idx="6">
                  <c:v>529.17540000000054</c:v>
                </c:pt>
                <c:pt idx="7">
                  <c:v>36643.310000000012</c:v>
                </c:pt>
                <c:pt idx="8">
                  <c:v>1143.2918999999999</c:v>
                </c:pt>
                <c:pt idx="9">
                  <c:v>1149.5311999999999</c:v>
                </c:pt>
                <c:pt idx="10">
                  <c:v>1355.5600999999999</c:v>
                </c:pt>
                <c:pt idx="11">
                  <c:v>735.63209999999947</c:v>
                </c:pt>
                <c:pt idx="12">
                  <c:v>495.88420000000002</c:v>
                </c:pt>
                <c:pt idx="13">
                  <c:v>9017.1398000000008</c:v>
                </c:pt>
                <c:pt idx="14">
                  <c:v>20584.468300000121</c:v>
                </c:pt>
                <c:pt idx="15">
                  <c:v>38199.482800000013</c:v>
                </c:pt>
                <c:pt idx="16">
                  <c:v>8757.6603000000014</c:v>
                </c:pt>
                <c:pt idx="17">
                  <c:v>13378.802699999842</c:v>
                </c:pt>
                <c:pt idx="18">
                  <c:v>17398.372600000002</c:v>
                </c:pt>
                <c:pt idx="19">
                  <c:v>6732.8239000000003</c:v>
                </c:pt>
                <c:pt idx="20">
                  <c:v>15794.750099999987</c:v>
                </c:pt>
                <c:pt idx="21">
                  <c:v>471.76309999999899</c:v>
                </c:pt>
                <c:pt idx="22">
                  <c:v>1784.6768</c:v>
                </c:pt>
                <c:pt idx="23">
                  <c:v>23144.479899999998</c:v>
                </c:pt>
                <c:pt idx="24">
                  <c:v>513.13259999999946</c:v>
                </c:pt>
                <c:pt idx="25">
                  <c:v>10777.268599999989</c:v>
                </c:pt>
                <c:pt idx="26">
                  <c:v>2068.6271000000002</c:v>
                </c:pt>
                <c:pt idx="27">
                  <c:v>8252.4862999998441</c:v>
                </c:pt>
                <c:pt idx="28">
                  <c:v>37810.002100000005</c:v>
                </c:pt>
                <c:pt idx="29">
                  <c:v>86776.730100000001</c:v>
                </c:pt>
                <c:pt idx="30">
                  <c:v>12361.2739</c:v>
                </c:pt>
                <c:pt idx="31">
                  <c:v>224.68929999999997</c:v>
                </c:pt>
                <c:pt idx="32">
                  <c:v>27875.0452</c:v>
                </c:pt>
                <c:pt idx="33">
                  <c:v>9019.8316999998424</c:v>
                </c:pt>
              </c:numCache>
            </c:numRef>
          </c:val>
          <c:extLst xmlns:c16r2="http://schemas.microsoft.com/office/drawing/2015/06/chart">
            <c:ext xmlns:c16="http://schemas.microsoft.com/office/drawing/2014/chart" uri="{C3380CC4-5D6E-409C-BE32-E72D297353CC}">
              <c16:uniqueId val="{00000001-8EEA-432B-ABA3-C28BDC137A8D}"/>
            </c:ext>
          </c:extLst>
        </c:ser>
        <c:axId val="189105664"/>
        <c:axId val="189107200"/>
      </c:areaChart>
      <c:catAx>
        <c:axId val="189105664"/>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107200"/>
        <c:crosses val="autoZero"/>
        <c:auto val="1"/>
        <c:lblAlgn val="ctr"/>
        <c:lblOffset val="100"/>
      </c:catAx>
      <c:valAx>
        <c:axId val="1891072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105664"/>
        <c:crosses val="autoZero"/>
        <c:crossBetween val="midCat"/>
      </c:valAx>
      <c:spPr>
        <a:noFill/>
        <a:ln w="25400">
          <a:noFill/>
        </a:ln>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noFill/>
      <a:round/>
    </a:ln>
    <a:effectLst/>
  </c:spPr>
  <c:txPr>
    <a:bodyPr/>
    <a:lstStyle/>
    <a:p>
      <a:pPr>
        <a:defRPr/>
      </a:pPr>
      <a:endParaRPr lang="ru-RU"/>
    </a:p>
  </c:txPr>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4206306787814771E-2"/>
                  <c:y val="-4.324749361116570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24A-497E-ADB9-DF0096640EBF}"/>
                </c:ext>
              </c:extLst>
            </c:dLbl>
            <c:dLbl>
              <c:idx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24A-497E-ADB9-DF0096640EBF}"/>
                </c:ext>
              </c:extLst>
            </c:dLbl>
            <c:dLbl>
              <c:idx val="23"/>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24A-497E-ADB9-DF0096640EBF}"/>
                </c:ext>
              </c:extLst>
            </c:dLbl>
            <c:dLbl>
              <c:idx val="28"/>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24A-497E-ADB9-DF0096640EBF}"/>
                </c:ext>
              </c:extLst>
            </c:dLbl>
            <c:delete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Лист6!$K$2:$K$33</c:f>
              <c:strCache>
                <c:ptCount val="32"/>
                <c:pt idx="0">
                  <c:v>Бардымский </c:v>
                </c:pt>
                <c:pt idx="1">
                  <c:v>Александровский </c:v>
                </c:pt>
                <c:pt idx="2">
                  <c:v>Березовский </c:v>
                </c:pt>
                <c:pt idx="3">
                  <c:v>Большесосновский </c:v>
                </c:pt>
                <c:pt idx="4">
                  <c:v>Верещагинский </c:v>
                </c:pt>
                <c:pt idx="5">
                  <c:v>Горнозаводский </c:v>
                </c:pt>
                <c:pt idx="6">
                  <c:v>Гремячинский </c:v>
                </c:pt>
                <c:pt idx="7">
                  <c:v>Добрянский </c:v>
                </c:pt>
                <c:pt idx="8">
                  <c:v>Еловский </c:v>
                </c:pt>
                <c:pt idx="9">
                  <c:v>Ильинский </c:v>
                </c:pt>
                <c:pt idx="10">
                  <c:v>Карагайский </c:v>
                </c:pt>
                <c:pt idx="11">
                  <c:v>Кизеловский </c:v>
                </c:pt>
                <c:pt idx="12">
                  <c:v>Кишертский </c:v>
                </c:pt>
                <c:pt idx="13">
                  <c:v>Красновишерский </c:v>
                </c:pt>
                <c:pt idx="14">
                  <c:v>Краснокамский </c:v>
                </c:pt>
                <c:pt idx="15">
                  <c:v>Куединский </c:v>
                </c:pt>
                <c:pt idx="16">
                  <c:v>Кунгурский </c:v>
                </c:pt>
                <c:pt idx="17">
                  <c:v>Нытвенский </c:v>
                </c:pt>
                <c:pt idx="18">
                  <c:v>Октябрьский</c:v>
                </c:pt>
                <c:pt idx="19">
                  <c:v>Ординский </c:v>
                </c:pt>
                <c:pt idx="20">
                  <c:v>Осинский </c:v>
                </c:pt>
                <c:pt idx="21">
                  <c:v>Оханский </c:v>
                </c:pt>
                <c:pt idx="22">
                  <c:v>Очерский </c:v>
                </c:pt>
                <c:pt idx="23">
                  <c:v>Пермский </c:v>
                </c:pt>
                <c:pt idx="24">
                  <c:v>Сивинский </c:v>
                </c:pt>
                <c:pt idx="25">
                  <c:v>Суксунский </c:v>
                </c:pt>
                <c:pt idx="26">
                  <c:v>Уинский </c:v>
                </c:pt>
                <c:pt idx="27">
                  <c:v>Усольский </c:v>
                </c:pt>
                <c:pt idx="28">
                  <c:v>Чайковский </c:v>
                </c:pt>
                <c:pt idx="29">
                  <c:v>Чердынский </c:v>
                </c:pt>
                <c:pt idx="30">
                  <c:v>Чернушинский </c:v>
                </c:pt>
                <c:pt idx="31">
                  <c:v>Чусовской </c:v>
                </c:pt>
              </c:strCache>
            </c:strRef>
          </c:cat>
          <c:val>
            <c:numRef>
              <c:f>Лист6!$L$2:$L$33</c:f>
              <c:numCache>
                <c:formatCode>General</c:formatCode>
                <c:ptCount val="32"/>
                <c:pt idx="0">
                  <c:v>424.61180000000002</c:v>
                </c:pt>
                <c:pt idx="1">
                  <c:v>10722.234600000014</c:v>
                </c:pt>
                <c:pt idx="2">
                  <c:v>232.55520000000001</c:v>
                </c:pt>
                <c:pt idx="3">
                  <c:v>136.63399999999999</c:v>
                </c:pt>
                <c:pt idx="4">
                  <c:v>776.64289999999949</c:v>
                </c:pt>
                <c:pt idx="5">
                  <c:v>516.17520000000002</c:v>
                </c:pt>
                <c:pt idx="6">
                  <c:v>243.83940000000001</c:v>
                </c:pt>
                <c:pt idx="7">
                  <c:v>2938.9677999999999</c:v>
                </c:pt>
                <c:pt idx="8">
                  <c:v>176.34900000000002</c:v>
                </c:pt>
                <c:pt idx="9">
                  <c:v>172.309</c:v>
                </c:pt>
                <c:pt idx="10">
                  <c:v>333.96099999999899</c:v>
                </c:pt>
                <c:pt idx="11">
                  <c:v>422.16429999999997</c:v>
                </c:pt>
                <c:pt idx="12">
                  <c:v>32.139500000000012</c:v>
                </c:pt>
                <c:pt idx="13">
                  <c:v>242.084</c:v>
                </c:pt>
                <c:pt idx="14">
                  <c:v>2591.2036000000003</c:v>
                </c:pt>
                <c:pt idx="15">
                  <c:v>380.54050000000001</c:v>
                </c:pt>
                <c:pt idx="16">
                  <c:v>40.270400000000002</c:v>
                </c:pt>
                <c:pt idx="17">
                  <c:v>2033.4301</c:v>
                </c:pt>
                <c:pt idx="18">
                  <c:v>434.17990000000032</c:v>
                </c:pt>
                <c:pt idx="19">
                  <c:v>295.19940000000008</c:v>
                </c:pt>
                <c:pt idx="20">
                  <c:v>756.18390000000352</c:v>
                </c:pt>
                <c:pt idx="21">
                  <c:v>282.02679999999663</c:v>
                </c:pt>
                <c:pt idx="22">
                  <c:v>1620.6751000000002</c:v>
                </c:pt>
                <c:pt idx="23">
                  <c:v>9177.2774000000009</c:v>
                </c:pt>
                <c:pt idx="24">
                  <c:v>376.96229999999969</c:v>
                </c:pt>
                <c:pt idx="25">
                  <c:v>416.88259999999963</c:v>
                </c:pt>
                <c:pt idx="26">
                  <c:v>165.0309</c:v>
                </c:pt>
                <c:pt idx="27">
                  <c:v>133.89950000000002</c:v>
                </c:pt>
                <c:pt idx="28">
                  <c:v>11155.759800000002</c:v>
                </c:pt>
                <c:pt idx="29">
                  <c:v>106.8994</c:v>
                </c:pt>
                <c:pt idx="30">
                  <c:v>1417.7623999999998</c:v>
                </c:pt>
                <c:pt idx="31">
                  <c:v>2355.0316000000012</c:v>
                </c:pt>
              </c:numCache>
            </c:numRef>
          </c:val>
          <c:extLst xmlns:c16r2="http://schemas.microsoft.com/office/drawing/2015/06/chart">
            <c:ext xmlns:c16="http://schemas.microsoft.com/office/drawing/2014/chart" uri="{C3380CC4-5D6E-409C-BE32-E72D297353CC}">
              <c16:uniqueId val="{00000004-F24A-497E-ADB9-DF0096640EBF}"/>
            </c:ext>
          </c:extLst>
        </c:ser>
        <c:marker val="1"/>
        <c:axId val="189230080"/>
        <c:axId val="189231872"/>
      </c:lineChart>
      <c:catAx>
        <c:axId val="1892300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231872"/>
        <c:crosses val="autoZero"/>
        <c:auto val="1"/>
        <c:lblAlgn val="ctr"/>
        <c:lblOffset val="100"/>
      </c:catAx>
      <c:valAx>
        <c:axId val="1892318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23008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Лист12!$B$2</c:f>
              <c:strCache>
                <c:ptCount val="1"/>
                <c:pt idx="0">
                  <c:v>2015</c:v>
                </c:pt>
              </c:strCache>
            </c:strRef>
          </c:tx>
          <c:spPr>
            <a:solidFill>
              <a:schemeClr val="accent1"/>
            </a:solidFill>
            <a:ln>
              <a:noFill/>
            </a:ln>
            <a:effectLst/>
          </c:spPr>
          <c:dLbls>
            <c:dLbl>
              <c:idx val="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DF5-4F86-BE66-8AA127328C6B}"/>
                </c:ext>
              </c:extLst>
            </c:dLbl>
            <c:dLbl>
              <c:idx val="1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DF5-4F86-BE66-8AA127328C6B}"/>
                </c:ext>
              </c:extLst>
            </c:dLbl>
            <c:delete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Лист12!$A$3:$A$36</c:f>
              <c:strCache>
                <c:ptCount val="34"/>
                <c:pt idx="0">
                  <c:v>Пермский </c:v>
                </c:pt>
                <c:pt idx="1">
                  <c:v>Добрянский </c:v>
                </c:pt>
                <c:pt idx="2">
                  <c:v>Чернушинский </c:v>
                </c:pt>
                <c:pt idx="3">
                  <c:v>Чайковский </c:v>
                </c:pt>
                <c:pt idx="4">
                  <c:v>Краснокамский </c:v>
                </c:pt>
                <c:pt idx="5">
                  <c:v>Красновишерский </c:v>
                </c:pt>
                <c:pt idx="6">
                  <c:v>Октябрьский</c:v>
                </c:pt>
                <c:pt idx="7">
                  <c:v>Очерский </c:v>
                </c:pt>
                <c:pt idx="8">
                  <c:v>Березовский </c:v>
                </c:pt>
                <c:pt idx="9">
                  <c:v>Ординский </c:v>
                </c:pt>
                <c:pt idx="10">
                  <c:v>Бардымский </c:v>
                </c:pt>
                <c:pt idx="11">
                  <c:v>Кунгурский </c:v>
                </c:pt>
                <c:pt idx="12">
                  <c:v>Усольский </c:v>
                </c:pt>
                <c:pt idx="13">
                  <c:v>Куединский </c:v>
                </c:pt>
                <c:pt idx="14">
                  <c:v>Осинский </c:v>
                </c:pt>
                <c:pt idx="15">
                  <c:v>Суксунский </c:v>
                </c:pt>
                <c:pt idx="16">
                  <c:v>Чусовской </c:v>
                </c:pt>
                <c:pt idx="17">
                  <c:v>Уинский </c:v>
                </c:pt>
                <c:pt idx="18">
                  <c:v>Верещагинский </c:v>
                </c:pt>
                <c:pt idx="19">
                  <c:v>Нытвенский </c:v>
                </c:pt>
                <c:pt idx="20">
                  <c:v>Ильинский </c:v>
                </c:pt>
                <c:pt idx="21">
                  <c:v>Александровский </c:v>
                </c:pt>
                <c:pt idx="22">
                  <c:v>Карагайский </c:v>
                </c:pt>
                <c:pt idx="23">
                  <c:v>Соликамский </c:v>
                </c:pt>
                <c:pt idx="24">
                  <c:v>Чердынский </c:v>
                </c:pt>
                <c:pt idx="25">
                  <c:v>Оханский </c:v>
                </c:pt>
                <c:pt idx="26">
                  <c:v>Кишертский </c:v>
                </c:pt>
                <c:pt idx="27">
                  <c:v>Горнозаводский </c:v>
                </c:pt>
                <c:pt idx="28">
                  <c:v>Сивинский </c:v>
                </c:pt>
                <c:pt idx="29">
                  <c:v>Большесосновский </c:v>
                </c:pt>
                <c:pt idx="30">
                  <c:v>Кизеловский </c:v>
                </c:pt>
                <c:pt idx="31">
                  <c:v>Гремячинский </c:v>
                </c:pt>
                <c:pt idx="32">
                  <c:v>Частинский </c:v>
                </c:pt>
                <c:pt idx="33">
                  <c:v>Еловский </c:v>
                </c:pt>
              </c:strCache>
            </c:strRef>
          </c:cat>
          <c:val>
            <c:numRef>
              <c:f>Лист12!$B$3:$B$36</c:f>
              <c:numCache>
                <c:formatCode>0.0</c:formatCode>
                <c:ptCount val="34"/>
                <c:pt idx="0">
                  <c:v>129.56</c:v>
                </c:pt>
                <c:pt idx="1">
                  <c:v>88.289000000000001</c:v>
                </c:pt>
                <c:pt idx="2">
                  <c:v>76.191000000000003</c:v>
                </c:pt>
                <c:pt idx="3">
                  <c:v>53.053800000000003</c:v>
                </c:pt>
                <c:pt idx="4">
                  <c:v>52.373000000000005</c:v>
                </c:pt>
                <c:pt idx="5">
                  <c:v>43.612000000000002</c:v>
                </c:pt>
                <c:pt idx="6">
                  <c:v>42.422000000000011</c:v>
                </c:pt>
                <c:pt idx="7">
                  <c:v>39.601000000000006</c:v>
                </c:pt>
                <c:pt idx="8">
                  <c:v>36.772000000000013</c:v>
                </c:pt>
                <c:pt idx="9">
                  <c:v>36.221400000000003</c:v>
                </c:pt>
                <c:pt idx="10">
                  <c:v>33.870000000000005</c:v>
                </c:pt>
                <c:pt idx="11">
                  <c:v>30.737400000000001</c:v>
                </c:pt>
                <c:pt idx="12">
                  <c:v>29.131700000000031</c:v>
                </c:pt>
                <c:pt idx="13">
                  <c:v>28.998999999999889</c:v>
                </c:pt>
                <c:pt idx="14">
                  <c:v>28.487999999999989</c:v>
                </c:pt>
                <c:pt idx="15">
                  <c:v>26.7</c:v>
                </c:pt>
                <c:pt idx="16">
                  <c:v>25.856999999999999</c:v>
                </c:pt>
                <c:pt idx="17">
                  <c:v>21.552</c:v>
                </c:pt>
                <c:pt idx="18">
                  <c:v>17.464999999999989</c:v>
                </c:pt>
                <c:pt idx="19">
                  <c:v>14.688000000000001</c:v>
                </c:pt>
                <c:pt idx="20">
                  <c:v>12.917</c:v>
                </c:pt>
                <c:pt idx="21">
                  <c:v>11.363700000000026</c:v>
                </c:pt>
                <c:pt idx="22">
                  <c:v>11.041</c:v>
                </c:pt>
                <c:pt idx="23">
                  <c:v>10.98982</c:v>
                </c:pt>
                <c:pt idx="24">
                  <c:v>7.7809999999999997</c:v>
                </c:pt>
                <c:pt idx="25">
                  <c:v>7.1849999999999845</c:v>
                </c:pt>
                <c:pt idx="26">
                  <c:v>5.0739999999999998</c:v>
                </c:pt>
                <c:pt idx="27">
                  <c:v>4.1449999999999845</c:v>
                </c:pt>
                <c:pt idx="28">
                  <c:v>3.3779999999999997</c:v>
                </c:pt>
                <c:pt idx="29">
                  <c:v>2.7746999999999997</c:v>
                </c:pt>
                <c:pt idx="30">
                  <c:v>1.4669999999999781</c:v>
                </c:pt>
                <c:pt idx="31">
                  <c:v>1.4604999999999806</c:v>
                </c:pt>
                <c:pt idx="32">
                  <c:v>0.995</c:v>
                </c:pt>
                <c:pt idx="33">
                  <c:v>0.14470000000000041</c:v>
                </c:pt>
              </c:numCache>
            </c:numRef>
          </c:val>
          <c:extLst xmlns:c16r2="http://schemas.microsoft.com/office/drawing/2015/06/chart">
            <c:ext xmlns:c16="http://schemas.microsoft.com/office/drawing/2014/chart" uri="{C3380CC4-5D6E-409C-BE32-E72D297353CC}">
              <c16:uniqueId val="{00000002-3DF5-4F86-BE66-8AA127328C6B}"/>
            </c:ext>
          </c:extLst>
        </c:ser>
        <c:gapWidth val="219"/>
        <c:overlap val="-27"/>
        <c:axId val="189242752"/>
        <c:axId val="189256832"/>
      </c:barChart>
      <c:catAx>
        <c:axId val="1892427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256832"/>
        <c:crosses val="autoZero"/>
        <c:auto val="1"/>
        <c:lblAlgn val="ctr"/>
        <c:lblOffset val="100"/>
      </c:catAx>
      <c:valAx>
        <c:axId val="189256832"/>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242752"/>
        <c:crosses val="autoZero"/>
        <c:crossBetween val="between"/>
      </c:valAx>
      <c:spPr>
        <a:noFill/>
        <a:ln w="25400">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spPr>
            <a:solidFill>
              <a:srgbClr val="5B9BD5"/>
            </a:solidFill>
            <a:ln w="25400">
              <a:noFill/>
            </a:ln>
          </c:spPr>
          <c:dLbls>
            <c:spPr>
              <a:noFill/>
              <a:ln w="25400">
                <a:noFill/>
              </a:ln>
            </c:spPr>
            <c:showVal val="1"/>
            <c:extLst xmlns:c16r2="http://schemas.microsoft.com/office/drawing/2015/06/chart">
              <c:ext xmlns:c15="http://schemas.microsoft.com/office/drawing/2012/chart" uri="{CE6537A1-D6FC-4f65-9D91-7224C49458BB}">
                <c15:showLeaderLines val="0"/>
              </c:ext>
            </c:extLst>
          </c:dLbls>
          <c:cat>
            <c:strRef>
              <c:f>Лист14!$D$1:$D$34</c:f>
              <c:strCache>
                <c:ptCount val="34"/>
                <c:pt idx="0">
                  <c:v>Гремячинский </c:v>
                </c:pt>
                <c:pt idx="1">
                  <c:v>Еловский </c:v>
                </c:pt>
                <c:pt idx="2">
                  <c:v>Уинский </c:v>
                </c:pt>
                <c:pt idx="3">
                  <c:v>Оханский </c:v>
                </c:pt>
                <c:pt idx="4">
                  <c:v>Березовский </c:v>
                </c:pt>
                <c:pt idx="5">
                  <c:v>Кишертский </c:v>
                </c:pt>
                <c:pt idx="6">
                  <c:v>Большесосновский </c:v>
                </c:pt>
                <c:pt idx="7">
                  <c:v>Соликамский </c:v>
                </c:pt>
                <c:pt idx="8">
                  <c:v>Усольский </c:v>
                </c:pt>
                <c:pt idx="9">
                  <c:v>Кизеловский </c:v>
                </c:pt>
                <c:pt idx="10">
                  <c:v>Частинский </c:v>
                </c:pt>
                <c:pt idx="11">
                  <c:v>Ординский </c:v>
                </c:pt>
                <c:pt idx="12">
                  <c:v>Чердынский </c:v>
                </c:pt>
                <c:pt idx="13">
                  <c:v>Сивинский </c:v>
                </c:pt>
                <c:pt idx="14">
                  <c:v>Очерский </c:v>
                </c:pt>
                <c:pt idx="15">
                  <c:v>Ильинский </c:v>
                </c:pt>
                <c:pt idx="16">
                  <c:v>Суксунский </c:v>
                </c:pt>
                <c:pt idx="17">
                  <c:v>Горнозаводский </c:v>
                </c:pt>
                <c:pt idx="18">
                  <c:v>Красновишерский </c:v>
                </c:pt>
                <c:pt idx="19">
                  <c:v>Карагайский </c:v>
                </c:pt>
                <c:pt idx="20">
                  <c:v>Бардымский </c:v>
                </c:pt>
                <c:pt idx="21">
                  <c:v>Александровский </c:v>
                </c:pt>
                <c:pt idx="22">
                  <c:v>Осинский </c:v>
                </c:pt>
                <c:pt idx="23">
                  <c:v>Октябрьский </c:v>
                </c:pt>
                <c:pt idx="24">
                  <c:v>Куединский </c:v>
                </c:pt>
                <c:pt idx="25">
                  <c:v>Нытвенский </c:v>
                </c:pt>
                <c:pt idx="26">
                  <c:v>Верещагинский </c:v>
                </c:pt>
                <c:pt idx="27">
                  <c:v>Кунгурский </c:v>
                </c:pt>
                <c:pt idx="28">
                  <c:v>Добрянский </c:v>
                </c:pt>
                <c:pt idx="29">
                  <c:v>Чернушинский </c:v>
                </c:pt>
                <c:pt idx="30">
                  <c:v>Краснокамский </c:v>
                </c:pt>
                <c:pt idx="31">
                  <c:v>Чусовской </c:v>
                </c:pt>
                <c:pt idx="32">
                  <c:v>Чайковский </c:v>
                </c:pt>
                <c:pt idx="33">
                  <c:v>Пермский </c:v>
                </c:pt>
              </c:strCache>
            </c:strRef>
          </c:cat>
          <c:val>
            <c:numRef>
              <c:f>Лист14!$E$1:$E$34</c:f>
              <c:numCache>
                <c:formatCode>0.00</c:formatCode>
                <c:ptCount val="34"/>
                <c:pt idx="0">
                  <c:v>238.93350000000001</c:v>
                </c:pt>
                <c:pt idx="1">
                  <c:v>315.55940000000032</c:v>
                </c:pt>
                <c:pt idx="2">
                  <c:v>333.85419999999999</c:v>
                </c:pt>
                <c:pt idx="3">
                  <c:v>381.94840000000005</c:v>
                </c:pt>
                <c:pt idx="4">
                  <c:v>408.60040000000032</c:v>
                </c:pt>
                <c:pt idx="5">
                  <c:v>417.07400000000001</c:v>
                </c:pt>
                <c:pt idx="6">
                  <c:v>420.767</c:v>
                </c:pt>
                <c:pt idx="7">
                  <c:v>429.20699999999869</c:v>
                </c:pt>
                <c:pt idx="8">
                  <c:v>463.70590000000004</c:v>
                </c:pt>
                <c:pt idx="9">
                  <c:v>470.06400000000002</c:v>
                </c:pt>
                <c:pt idx="10">
                  <c:v>477.72389999999899</c:v>
                </c:pt>
                <c:pt idx="11">
                  <c:v>484.08149999999893</c:v>
                </c:pt>
                <c:pt idx="12">
                  <c:v>497.7</c:v>
                </c:pt>
                <c:pt idx="13">
                  <c:v>517.2971</c:v>
                </c:pt>
                <c:pt idx="14">
                  <c:v>530.04859999999996</c:v>
                </c:pt>
                <c:pt idx="15">
                  <c:v>537.70769999999948</c:v>
                </c:pt>
                <c:pt idx="16">
                  <c:v>542.17360000000053</c:v>
                </c:pt>
                <c:pt idx="17">
                  <c:v>553.07100000000003</c:v>
                </c:pt>
                <c:pt idx="18">
                  <c:v>628.49919999999997</c:v>
                </c:pt>
                <c:pt idx="19">
                  <c:v>684.90699999999947</c:v>
                </c:pt>
                <c:pt idx="20">
                  <c:v>688.12189999999998</c:v>
                </c:pt>
                <c:pt idx="21">
                  <c:v>720.85569999999746</c:v>
                </c:pt>
                <c:pt idx="22">
                  <c:v>758.23050000000001</c:v>
                </c:pt>
                <c:pt idx="23">
                  <c:v>807.45279999999946</c:v>
                </c:pt>
                <c:pt idx="24">
                  <c:v>899.93639999999948</c:v>
                </c:pt>
                <c:pt idx="25">
                  <c:v>929.65</c:v>
                </c:pt>
                <c:pt idx="26">
                  <c:v>965.41239999999948</c:v>
                </c:pt>
                <c:pt idx="27">
                  <c:v>1081.5890999999999</c:v>
                </c:pt>
                <c:pt idx="28">
                  <c:v>1189.9853000000001</c:v>
                </c:pt>
                <c:pt idx="29">
                  <c:v>1337.1941999999765</c:v>
                </c:pt>
                <c:pt idx="30">
                  <c:v>1445.3</c:v>
                </c:pt>
                <c:pt idx="31">
                  <c:v>1531.5391000000002</c:v>
                </c:pt>
                <c:pt idx="32">
                  <c:v>1977.8729999999998</c:v>
                </c:pt>
                <c:pt idx="33">
                  <c:v>2780.1465999999987</c:v>
                </c:pt>
              </c:numCache>
            </c:numRef>
          </c:val>
          <c:extLst xmlns:c16r2="http://schemas.microsoft.com/office/drawing/2015/06/chart">
            <c:ext xmlns:c16="http://schemas.microsoft.com/office/drawing/2014/chart" uri="{C3380CC4-5D6E-409C-BE32-E72D297353CC}">
              <c16:uniqueId val="{00000000-BD5A-4716-8384-0728DD011D29}"/>
            </c:ext>
          </c:extLst>
        </c:ser>
        <c:gapWidth val="182"/>
        <c:axId val="189284736"/>
        <c:axId val="189286272"/>
      </c:barChart>
      <c:catAx>
        <c:axId val="18928473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286272"/>
        <c:crosses val="autoZero"/>
        <c:auto val="1"/>
        <c:lblAlgn val="ctr"/>
        <c:lblOffset val="100"/>
      </c:catAx>
      <c:valAx>
        <c:axId val="189286272"/>
        <c:scaling>
          <c:orientation val="minMax"/>
        </c:scaling>
        <c:axPos val="b"/>
        <c:majorGridlines>
          <c:spPr>
            <a:ln w="9525" cap="flat" cmpd="sng" algn="ctr">
              <a:solidFill>
                <a:schemeClr val="tx1">
                  <a:lumMod val="15000"/>
                  <a:lumOff val="85000"/>
                </a:schemeClr>
              </a:solidFill>
              <a:round/>
            </a:ln>
            <a:effectLst/>
          </c:spPr>
        </c:majorGridlines>
        <c:numFmt formatCode="0.00"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284736"/>
        <c:crosses val="autoZero"/>
        <c:crossBetween val="between"/>
      </c:valAx>
      <c:spPr>
        <a:noFill/>
        <a:ln w="25400">
          <a:noFill/>
        </a:ln>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spPr>
            <a:solidFill>
              <a:schemeClr val="accent1"/>
            </a:solidFill>
            <a:ln>
              <a:noFill/>
            </a:ln>
            <a:effectLst/>
          </c:spPr>
          <c:dLbls>
            <c:dLbl>
              <c:idx val="2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4D5-4EE0-A3F1-A79514CDC1FD}"/>
                </c:ext>
              </c:extLst>
            </c:dLbl>
            <c:dLbl>
              <c:idx val="33"/>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4D5-4EE0-A3F1-A79514CDC1FD}"/>
                </c:ext>
              </c:extLst>
            </c:dLbl>
            <c:delete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Лист8!$E$1:$E$34</c:f>
              <c:strCache>
                <c:ptCount val="34"/>
                <c:pt idx="0">
                  <c:v>Гремячинский муниципальный район</c:v>
                </c:pt>
                <c:pt idx="1">
                  <c:v>Еловский муниципальный район</c:v>
                </c:pt>
                <c:pt idx="2">
                  <c:v>Уинский муниципальный район</c:v>
                </c:pt>
                <c:pt idx="3">
                  <c:v>Оханский муниципальный район</c:v>
                </c:pt>
                <c:pt idx="4">
                  <c:v>Березовский муниципальный район</c:v>
                </c:pt>
                <c:pt idx="5">
                  <c:v>Большесосновский муниципальный район</c:v>
                </c:pt>
                <c:pt idx="6">
                  <c:v>Кишертский муниципальный район</c:v>
                </c:pt>
                <c:pt idx="7">
                  <c:v>Усольский муниципальный район</c:v>
                </c:pt>
                <c:pt idx="8">
                  <c:v>Кизеловский муниципальный район</c:v>
                </c:pt>
                <c:pt idx="9">
                  <c:v>Соликамский муниципальный район</c:v>
                </c:pt>
                <c:pt idx="10">
                  <c:v>Частинский муниципальный район</c:v>
                </c:pt>
                <c:pt idx="11">
                  <c:v>Очерский муниципальный район</c:v>
                </c:pt>
                <c:pt idx="12">
                  <c:v>Ординский муниципальный район</c:v>
                </c:pt>
                <c:pt idx="13">
                  <c:v>Чердынский муниципальный район</c:v>
                </c:pt>
                <c:pt idx="14">
                  <c:v>Сивинский муниципальный район</c:v>
                </c:pt>
                <c:pt idx="15">
                  <c:v>Суксунский муниципальный район</c:v>
                </c:pt>
                <c:pt idx="16">
                  <c:v>Ильинский муниципальный район</c:v>
                </c:pt>
                <c:pt idx="17">
                  <c:v>Горнозаводский муниципальный район</c:v>
                </c:pt>
                <c:pt idx="18">
                  <c:v>Красновишерский муниципальный район</c:v>
                </c:pt>
                <c:pt idx="19">
                  <c:v>Карагайский муниципальный  район</c:v>
                </c:pt>
                <c:pt idx="20">
                  <c:v>Бардымский муниципальный район</c:v>
                </c:pt>
                <c:pt idx="21">
                  <c:v>Александровский муниципальный район</c:v>
                </c:pt>
                <c:pt idx="22">
                  <c:v>Осинский муниципальный  район</c:v>
                </c:pt>
                <c:pt idx="23">
                  <c:v>Октябрьский муниципальный  район</c:v>
                </c:pt>
                <c:pt idx="24">
                  <c:v>Куединский муниципальный район</c:v>
                </c:pt>
                <c:pt idx="25">
                  <c:v>Нытвенский муниципальный район</c:v>
                </c:pt>
                <c:pt idx="26">
                  <c:v>Верещагинский муниципальный район</c:v>
                </c:pt>
                <c:pt idx="27">
                  <c:v>Кунгурский муниципальный район</c:v>
                </c:pt>
                <c:pt idx="28">
                  <c:v>Добрянский муниципальный район</c:v>
                </c:pt>
                <c:pt idx="29">
                  <c:v>Чернушинский муниципальный район</c:v>
                </c:pt>
                <c:pt idx="30">
                  <c:v>Краснокамский муниципальный район</c:v>
                </c:pt>
                <c:pt idx="31">
                  <c:v>Чусовской муниципальный район</c:v>
                </c:pt>
                <c:pt idx="32">
                  <c:v>Чайковский муниципальный район</c:v>
                </c:pt>
                <c:pt idx="33">
                  <c:v>Пермский муниципальный район</c:v>
                </c:pt>
              </c:strCache>
            </c:strRef>
          </c:cat>
          <c:val>
            <c:numRef>
              <c:f>Лист8!$F$1:$F$34</c:f>
              <c:numCache>
                <c:formatCode>General</c:formatCode>
                <c:ptCount val="34"/>
                <c:pt idx="0">
                  <c:v>223.24489999999992</c:v>
                </c:pt>
                <c:pt idx="1">
                  <c:v>317.50220000000002</c:v>
                </c:pt>
                <c:pt idx="2">
                  <c:v>331.4561999999936</c:v>
                </c:pt>
                <c:pt idx="3">
                  <c:v>378.6782</c:v>
                </c:pt>
                <c:pt idx="4">
                  <c:v>406.59549999999899</c:v>
                </c:pt>
                <c:pt idx="5">
                  <c:v>417.70599999999899</c:v>
                </c:pt>
                <c:pt idx="6">
                  <c:v>422.28509999999869</c:v>
                </c:pt>
                <c:pt idx="7">
                  <c:v>464.07400000000001</c:v>
                </c:pt>
                <c:pt idx="8">
                  <c:v>466.73599999999863</c:v>
                </c:pt>
                <c:pt idx="9">
                  <c:v>470.48509999999823</c:v>
                </c:pt>
                <c:pt idx="10">
                  <c:v>478.40479999999963</c:v>
                </c:pt>
                <c:pt idx="11">
                  <c:v>499.77099999999899</c:v>
                </c:pt>
                <c:pt idx="12">
                  <c:v>509.26849999999899</c:v>
                </c:pt>
                <c:pt idx="13">
                  <c:v>520.82239999999797</c:v>
                </c:pt>
                <c:pt idx="14">
                  <c:v>525.16719999999748</c:v>
                </c:pt>
                <c:pt idx="15">
                  <c:v>528.33109999999749</c:v>
                </c:pt>
                <c:pt idx="16">
                  <c:v>539.77010000000053</c:v>
                </c:pt>
                <c:pt idx="17">
                  <c:v>550.06199999999797</c:v>
                </c:pt>
                <c:pt idx="18">
                  <c:v>613.67640000000051</c:v>
                </c:pt>
                <c:pt idx="19">
                  <c:v>680.66849999999999</c:v>
                </c:pt>
                <c:pt idx="20">
                  <c:v>696.56899999999996</c:v>
                </c:pt>
                <c:pt idx="21">
                  <c:v>716.48109999999997</c:v>
                </c:pt>
                <c:pt idx="22">
                  <c:v>752.17969999999991</c:v>
                </c:pt>
                <c:pt idx="23">
                  <c:v>828.42630000000008</c:v>
                </c:pt>
                <c:pt idx="24">
                  <c:v>911.91949999999997</c:v>
                </c:pt>
                <c:pt idx="25">
                  <c:v>939.24669999999946</c:v>
                </c:pt>
                <c:pt idx="26">
                  <c:v>972.07940000000053</c:v>
                </c:pt>
                <c:pt idx="27">
                  <c:v>1089.4484</c:v>
                </c:pt>
                <c:pt idx="28">
                  <c:v>1213.5552</c:v>
                </c:pt>
                <c:pt idx="29">
                  <c:v>1334.6515999999999</c:v>
                </c:pt>
                <c:pt idx="30">
                  <c:v>1444.3810999999998</c:v>
                </c:pt>
                <c:pt idx="31">
                  <c:v>1576.3402999999998</c:v>
                </c:pt>
                <c:pt idx="32">
                  <c:v>2007.9949999999999</c:v>
                </c:pt>
                <c:pt idx="33">
                  <c:v>2773.2247999999609</c:v>
                </c:pt>
              </c:numCache>
            </c:numRef>
          </c:val>
          <c:extLst xmlns:c16r2="http://schemas.microsoft.com/office/drawing/2015/06/chart">
            <c:ext xmlns:c16="http://schemas.microsoft.com/office/drawing/2014/chart" uri="{C3380CC4-5D6E-409C-BE32-E72D297353CC}">
              <c16:uniqueId val="{00000002-54D5-4EE0-A3F1-A79514CDC1FD}"/>
            </c:ext>
          </c:extLst>
        </c:ser>
        <c:gapWidth val="219"/>
        <c:overlap val="-27"/>
        <c:axId val="189334656"/>
        <c:axId val="189336192"/>
      </c:barChart>
      <c:catAx>
        <c:axId val="1893346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336192"/>
        <c:crosses val="autoZero"/>
        <c:auto val="1"/>
        <c:lblAlgn val="ctr"/>
        <c:lblOffset val="100"/>
      </c:catAx>
      <c:valAx>
        <c:axId val="1893361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33465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u-RU"/>
  <c:chart>
    <c:view3D>
      <c:rotX val="30"/>
      <c:rotY val="200"/>
      <c:perspective val="30"/>
    </c:view3D>
    <c:plotArea>
      <c:layout/>
      <c:pie3DChart>
        <c:varyColors val="1"/>
        <c:ser>
          <c:idx val="0"/>
          <c:order val="0"/>
          <c:dLbls>
            <c:dLbl>
              <c:idx val="0"/>
              <c:layout>
                <c:manualLayout>
                  <c:x val="-2.6250345351568016E-2"/>
                  <c:y val="-7.5127467072658534E-3"/>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918-4FE6-9C6F-59A27A5AA1B6}"/>
                </c:ext>
              </c:extLst>
            </c:dLbl>
            <c:dLbl>
              <c:idx val="1"/>
              <c:layout>
                <c:manualLayout>
                  <c:x val="3.5640281806880011E-4"/>
                  <c:y val="-9.1290054000047582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18-4FE6-9C6F-59A27A5AA1B6}"/>
                </c:ext>
              </c:extLst>
            </c:dLbl>
            <c:spPr>
              <a:noFill/>
              <a:ln>
                <a:noFill/>
              </a:ln>
              <a:effectLst/>
            </c:spPr>
            <c:txPr>
              <a:bodyPr/>
              <a:lstStyle/>
              <a:p>
                <a:pPr>
                  <a:defRPr baseline="0">
                    <a:latin typeface="Times New Roman" pitchFamily="18" charset="0"/>
                  </a:defRPr>
                </a:pPr>
                <a:endParaRPr lang="ru-RU"/>
              </a:p>
            </c:txPr>
            <c:showVal val="1"/>
            <c:showCatName val="1"/>
            <c:showLeaderLines val="1"/>
            <c:extLst xmlns:c16r2="http://schemas.microsoft.com/office/drawing/2015/06/chart">
              <c:ext xmlns:c15="http://schemas.microsoft.com/office/drawing/2012/chart" uri="{CE6537A1-D6FC-4f65-9D91-7224C49458BB}"/>
            </c:extLst>
          </c:dLbls>
          <c:cat>
            <c:strRef>
              <c:f>Лист10!$A$2:$A$10</c:f>
              <c:strCache>
                <c:ptCount val="9"/>
                <c:pt idx="0">
                  <c:v>Месторождение добычи нефти и газа</c:v>
                </c:pt>
                <c:pt idx="1">
                  <c:v>Месторождение красной глины</c:v>
                </c:pt>
                <c:pt idx="2">
                  <c:v>Месторождение ПГС</c:v>
                </c:pt>
                <c:pt idx="3">
                  <c:v>Месторождение строительного песка</c:v>
                </c:pt>
                <c:pt idx="4">
                  <c:v>Месторождение торфа</c:v>
                </c:pt>
                <c:pt idx="5">
                  <c:v>Пищевое производство</c:v>
                </c:pt>
                <c:pt idx="6">
                  <c:v>Сельское хозяйство</c:v>
                </c:pt>
                <c:pt idx="7">
                  <c:v>Торговля</c:v>
                </c:pt>
                <c:pt idx="8">
                  <c:v>Производство строительных материалов</c:v>
                </c:pt>
              </c:strCache>
            </c:strRef>
          </c:cat>
          <c:val>
            <c:numRef>
              <c:f>Лист10!$E$2:$E$10</c:f>
              <c:numCache>
                <c:formatCode>General</c:formatCode>
                <c:ptCount val="9"/>
                <c:pt idx="0">
                  <c:v>4</c:v>
                </c:pt>
                <c:pt idx="1">
                  <c:v>3</c:v>
                </c:pt>
                <c:pt idx="2">
                  <c:v>7</c:v>
                </c:pt>
                <c:pt idx="3">
                  <c:v>2</c:v>
                </c:pt>
                <c:pt idx="4">
                  <c:v>2</c:v>
                </c:pt>
                <c:pt idx="5">
                  <c:v>2</c:v>
                </c:pt>
                <c:pt idx="6">
                  <c:v>12</c:v>
                </c:pt>
                <c:pt idx="7">
                  <c:v>12</c:v>
                </c:pt>
                <c:pt idx="8">
                  <c:v>5</c:v>
                </c:pt>
              </c:numCache>
            </c:numRef>
          </c:val>
          <c:extLst xmlns:c16r2="http://schemas.microsoft.com/office/drawing/2015/06/chart">
            <c:ext xmlns:c16="http://schemas.microsoft.com/office/drawing/2014/chart" uri="{C3380CC4-5D6E-409C-BE32-E72D297353CC}">
              <c16:uniqueId val="{00000002-5918-4FE6-9C6F-59A27A5AA1B6}"/>
            </c:ext>
          </c:extLst>
        </c:ser>
      </c:pie3DChart>
    </c:plotArea>
    <c:plotVisOnly val="1"/>
    <c:dispBlanksAs val="zero"/>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демография!$G$234</c:f>
              <c:strCache>
                <c:ptCount val="1"/>
                <c:pt idx="0">
                  <c:v>Прибыло, человек</c:v>
                </c:pt>
              </c:strCache>
            </c:strRef>
          </c:tx>
          <c:spPr>
            <a:solidFill>
              <a:schemeClr val="accent1"/>
            </a:solidFill>
            <a:ln>
              <a:noFill/>
            </a:ln>
            <a:effectLst/>
          </c:spPr>
          <c:dLbls>
            <c:dLbl>
              <c:idx val="4"/>
              <c:layout>
                <c:manualLayout>
                  <c:x val="-8.3333333333333367E-3"/>
                  <c:y val="-4.629629629629701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D46-4837-B81F-886D296A246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демография!$F$235:$F$241</c:f>
              <c:strCache>
                <c:ptCount val="7"/>
                <c:pt idx="0">
                  <c:v>01.01.2011 г.</c:v>
                </c:pt>
                <c:pt idx="1">
                  <c:v>01.01.2012 г.</c:v>
                </c:pt>
                <c:pt idx="2">
                  <c:v>01.01.2013 г.</c:v>
                </c:pt>
                <c:pt idx="3">
                  <c:v>01.01.2014 г.</c:v>
                </c:pt>
                <c:pt idx="4">
                  <c:v>01.01.2015 г.</c:v>
                </c:pt>
                <c:pt idx="5">
                  <c:v>01.01.2016 г.</c:v>
                </c:pt>
                <c:pt idx="6">
                  <c:v>01.01.2017 г.</c:v>
                </c:pt>
              </c:strCache>
            </c:strRef>
          </c:cat>
          <c:val>
            <c:numRef>
              <c:f>демография!$G$235:$G$241</c:f>
              <c:numCache>
                <c:formatCode>General</c:formatCode>
                <c:ptCount val="7"/>
                <c:pt idx="0">
                  <c:v>533</c:v>
                </c:pt>
                <c:pt idx="1">
                  <c:v>1532</c:v>
                </c:pt>
                <c:pt idx="2">
                  <c:v>1764</c:v>
                </c:pt>
                <c:pt idx="3">
                  <c:v>1926</c:v>
                </c:pt>
                <c:pt idx="4">
                  <c:v>1640</c:v>
                </c:pt>
                <c:pt idx="5">
                  <c:v>1798</c:v>
                </c:pt>
                <c:pt idx="6">
                  <c:v>2006</c:v>
                </c:pt>
              </c:numCache>
            </c:numRef>
          </c:val>
          <c:extLst xmlns:c16r2="http://schemas.microsoft.com/office/drawing/2015/06/chart">
            <c:ext xmlns:c16="http://schemas.microsoft.com/office/drawing/2014/chart" uri="{C3380CC4-5D6E-409C-BE32-E72D297353CC}">
              <c16:uniqueId val="{00000001-9D46-4837-B81F-886D296A246A}"/>
            </c:ext>
          </c:extLst>
        </c:ser>
        <c:ser>
          <c:idx val="1"/>
          <c:order val="1"/>
          <c:tx>
            <c:strRef>
              <c:f>демография!$H$234</c:f>
              <c:strCache>
                <c:ptCount val="1"/>
                <c:pt idx="0">
                  <c:v>Убыло, человек</c:v>
                </c:pt>
              </c:strCache>
            </c:strRef>
          </c:tx>
          <c:spPr>
            <a:solidFill>
              <a:schemeClr val="accent2"/>
            </a:solidFill>
            <a:ln>
              <a:noFill/>
            </a:ln>
            <a:effectLst/>
          </c:spPr>
          <c:dLbls>
            <c:dLbl>
              <c:idx val="3"/>
              <c:layout>
                <c:manualLayout>
                  <c:x val="1.6666666666666701E-2"/>
                  <c:y val="-1.85185185185185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D46-4837-B81F-886D296A246A}"/>
                </c:ext>
              </c:extLst>
            </c:dLbl>
            <c:dLbl>
              <c:idx val="5"/>
              <c:layout>
                <c:manualLayout>
                  <c:x val="1.9444444444444361E-2"/>
                  <c:y val="9.259259259259548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D46-4837-B81F-886D296A246A}"/>
                </c:ext>
              </c:extLst>
            </c:dLbl>
            <c:dLbl>
              <c:idx val="6"/>
              <c:layout>
                <c:manualLayout>
                  <c:x val="2.4999999999999897E-2"/>
                  <c:y val="-4.2437781360070272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D46-4837-B81F-886D296A246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демография!$F$235:$F$241</c:f>
              <c:strCache>
                <c:ptCount val="7"/>
                <c:pt idx="0">
                  <c:v>01.01.2011 г.</c:v>
                </c:pt>
                <c:pt idx="1">
                  <c:v>01.01.2012 г.</c:v>
                </c:pt>
                <c:pt idx="2">
                  <c:v>01.01.2013 г.</c:v>
                </c:pt>
                <c:pt idx="3">
                  <c:v>01.01.2014 г.</c:v>
                </c:pt>
                <c:pt idx="4">
                  <c:v>01.01.2015 г.</c:v>
                </c:pt>
                <c:pt idx="5">
                  <c:v>01.01.2016 г.</c:v>
                </c:pt>
                <c:pt idx="6">
                  <c:v>01.01.2017 г.</c:v>
                </c:pt>
              </c:strCache>
            </c:strRef>
          </c:cat>
          <c:val>
            <c:numRef>
              <c:f>демография!$H$235:$H$241</c:f>
              <c:numCache>
                <c:formatCode>General</c:formatCode>
                <c:ptCount val="7"/>
                <c:pt idx="0">
                  <c:v>301</c:v>
                </c:pt>
                <c:pt idx="1">
                  <c:v>1701</c:v>
                </c:pt>
                <c:pt idx="2">
                  <c:v>1935</c:v>
                </c:pt>
                <c:pt idx="3">
                  <c:v>2021</c:v>
                </c:pt>
                <c:pt idx="4">
                  <c:v>2076</c:v>
                </c:pt>
                <c:pt idx="5">
                  <c:v>1737</c:v>
                </c:pt>
                <c:pt idx="6">
                  <c:v>2038</c:v>
                </c:pt>
              </c:numCache>
            </c:numRef>
          </c:val>
          <c:extLst xmlns:c16r2="http://schemas.microsoft.com/office/drawing/2015/06/chart">
            <c:ext xmlns:c16="http://schemas.microsoft.com/office/drawing/2014/chart" uri="{C3380CC4-5D6E-409C-BE32-E72D297353CC}">
              <c16:uniqueId val="{00000005-9D46-4837-B81F-886D296A246A}"/>
            </c:ext>
          </c:extLst>
        </c:ser>
        <c:gapWidth val="219"/>
        <c:overlap val="-27"/>
        <c:axId val="167496704"/>
        <c:axId val="170337024"/>
      </c:barChart>
      <c:catAx>
        <c:axId val="1674967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337024"/>
        <c:crosses val="autoZero"/>
        <c:auto val="1"/>
        <c:lblAlgn val="ctr"/>
        <c:lblOffset val="100"/>
      </c:catAx>
      <c:valAx>
        <c:axId val="1703370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4967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Оптимистический!$B$3</c:f>
              <c:strCache>
                <c:ptCount val="1"/>
                <c:pt idx="0">
                  <c:v>Численность постоянного населения, тыс.чел.</c:v>
                </c:pt>
              </c:strCache>
            </c:strRef>
          </c:tx>
          <c:dLbls>
            <c:showVal val="1"/>
          </c:dLbls>
          <c:cat>
            <c:numRef>
              <c:f>Оптимистический!$C$2:$I$2</c:f>
              <c:numCache>
                <c:formatCode>General</c:formatCode>
                <c:ptCount val="7"/>
                <c:pt idx="0">
                  <c:v>2016</c:v>
                </c:pt>
                <c:pt idx="1">
                  <c:v>2017</c:v>
                </c:pt>
                <c:pt idx="2">
                  <c:v>2018</c:v>
                </c:pt>
                <c:pt idx="3">
                  <c:v>2019</c:v>
                </c:pt>
                <c:pt idx="4">
                  <c:v>2020</c:v>
                </c:pt>
                <c:pt idx="5">
                  <c:v>2025</c:v>
                </c:pt>
                <c:pt idx="6">
                  <c:v>2030</c:v>
                </c:pt>
              </c:numCache>
            </c:numRef>
          </c:cat>
          <c:val>
            <c:numRef>
              <c:f>Оптимистический!$C$3:$I$3</c:f>
              <c:numCache>
                <c:formatCode>General</c:formatCode>
                <c:ptCount val="7"/>
                <c:pt idx="0">
                  <c:v>25291</c:v>
                </c:pt>
                <c:pt idx="1">
                  <c:v>25202</c:v>
                </c:pt>
                <c:pt idx="2">
                  <c:v>25232</c:v>
                </c:pt>
                <c:pt idx="3">
                  <c:v>25133</c:v>
                </c:pt>
                <c:pt idx="4">
                  <c:v>24989</c:v>
                </c:pt>
                <c:pt idx="5">
                  <c:v>24800</c:v>
                </c:pt>
                <c:pt idx="6">
                  <c:v>24568</c:v>
                </c:pt>
              </c:numCache>
            </c:numRef>
          </c:val>
        </c:ser>
        <c:shape val="box"/>
        <c:axId val="189545856"/>
        <c:axId val="189564032"/>
        <c:axId val="0"/>
      </c:bar3DChart>
      <c:catAx>
        <c:axId val="189545856"/>
        <c:scaling>
          <c:orientation val="minMax"/>
        </c:scaling>
        <c:axPos val="b"/>
        <c:numFmt formatCode="General" sourceLinked="1"/>
        <c:tickLblPos val="nextTo"/>
        <c:crossAx val="189564032"/>
        <c:crosses val="autoZero"/>
        <c:auto val="1"/>
        <c:lblAlgn val="ctr"/>
        <c:lblOffset val="100"/>
      </c:catAx>
      <c:valAx>
        <c:axId val="189564032"/>
        <c:scaling>
          <c:orientation val="minMax"/>
        </c:scaling>
        <c:axPos val="l"/>
        <c:majorGridlines/>
        <c:numFmt formatCode="General" sourceLinked="1"/>
        <c:tickLblPos val="nextTo"/>
        <c:crossAx val="189545856"/>
        <c:crosses val="autoZero"/>
        <c:crossBetween val="between"/>
      </c:valAx>
    </c:plotArea>
    <c:plotVisOnly val="1"/>
  </c:chart>
  <c:spPr>
    <a:ln>
      <a:noFill/>
    </a:ln>
  </c:spPr>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Оптимистический!$B$5</c:f>
              <c:strCache>
                <c:ptCount val="1"/>
                <c:pt idx="0">
                  <c:v>Индекс промышленного производства (за период с начала года в % к соответствующему периоду прошлого года)</c:v>
                </c:pt>
              </c:strCache>
            </c:strRef>
          </c:tx>
          <c:dLbls>
            <c:dLblPos val="t"/>
            <c:showVal val="1"/>
          </c:dLbls>
          <c:cat>
            <c:numRef>
              <c:f>Оптимистический!$C$2:$I$2</c:f>
              <c:numCache>
                <c:formatCode>General</c:formatCode>
                <c:ptCount val="7"/>
                <c:pt idx="0">
                  <c:v>2016</c:v>
                </c:pt>
                <c:pt idx="1">
                  <c:v>2017</c:v>
                </c:pt>
                <c:pt idx="2">
                  <c:v>2018</c:v>
                </c:pt>
                <c:pt idx="3">
                  <c:v>2019</c:v>
                </c:pt>
                <c:pt idx="4">
                  <c:v>2020</c:v>
                </c:pt>
                <c:pt idx="5">
                  <c:v>2025</c:v>
                </c:pt>
                <c:pt idx="6">
                  <c:v>2030</c:v>
                </c:pt>
              </c:numCache>
            </c:numRef>
          </c:cat>
          <c:val>
            <c:numRef>
              <c:f>Оптимистический!$C$5:$I$5</c:f>
              <c:numCache>
                <c:formatCode>General</c:formatCode>
                <c:ptCount val="7"/>
                <c:pt idx="0">
                  <c:v>101.26</c:v>
                </c:pt>
                <c:pt idx="1">
                  <c:v>135.22</c:v>
                </c:pt>
                <c:pt idx="2">
                  <c:v>130.97</c:v>
                </c:pt>
                <c:pt idx="3">
                  <c:v>135.87</c:v>
                </c:pt>
                <c:pt idx="4">
                  <c:v>143.03</c:v>
                </c:pt>
                <c:pt idx="5">
                  <c:v>152.41999999999999</c:v>
                </c:pt>
                <c:pt idx="6">
                  <c:v>163.97</c:v>
                </c:pt>
              </c:numCache>
            </c:numRef>
          </c:val>
        </c:ser>
        <c:marker val="1"/>
        <c:axId val="189596032"/>
        <c:axId val="189597568"/>
      </c:lineChart>
      <c:catAx>
        <c:axId val="189596032"/>
        <c:scaling>
          <c:orientation val="minMax"/>
        </c:scaling>
        <c:axPos val="b"/>
        <c:numFmt formatCode="General" sourceLinked="1"/>
        <c:tickLblPos val="nextTo"/>
        <c:crossAx val="189597568"/>
        <c:crosses val="autoZero"/>
        <c:auto val="1"/>
        <c:lblAlgn val="ctr"/>
        <c:lblOffset val="100"/>
      </c:catAx>
      <c:valAx>
        <c:axId val="189597568"/>
        <c:scaling>
          <c:orientation val="minMax"/>
        </c:scaling>
        <c:axPos val="l"/>
        <c:majorGridlines/>
        <c:numFmt formatCode="General" sourceLinked="1"/>
        <c:tickLblPos val="nextTo"/>
        <c:crossAx val="189596032"/>
        <c:crosses val="autoZero"/>
        <c:crossBetween val="between"/>
      </c:valAx>
    </c:plotArea>
    <c:plotVisOnly val="1"/>
  </c:chart>
  <c:spPr>
    <a:ln>
      <a:noFill/>
    </a:ln>
  </c:spPr>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Оптимистический!$B$19</c:f>
              <c:strCache>
                <c:ptCount val="1"/>
                <c:pt idx="0">
                  <c:v>Динамика начисленной заработной платы работников предприятий и организаций (за период с начала года в % к соответствующему периоду прошлого года)</c:v>
                </c:pt>
              </c:strCache>
            </c:strRef>
          </c:tx>
          <c:dLbls>
            <c:dLblPos val="t"/>
            <c:showVal val="1"/>
          </c:dLbls>
          <c:cat>
            <c:numRef>
              <c:f>Оптимистический!$C$2:$I$2</c:f>
              <c:numCache>
                <c:formatCode>General</c:formatCode>
                <c:ptCount val="7"/>
                <c:pt idx="0">
                  <c:v>2016</c:v>
                </c:pt>
                <c:pt idx="1">
                  <c:v>2017</c:v>
                </c:pt>
                <c:pt idx="2">
                  <c:v>2018</c:v>
                </c:pt>
                <c:pt idx="3">
                  <c:v>2019</c:v>
                </c:pt>
                <c:pt idx="4">
                  <c:v>2020</c:v>
                </c:pt>
                <c:pt idx="5">
                  <c:v>2025</c:v>
                </c:pt>
                <c:pt idx="6">
                  <c:v>2030</c:v>
                </c:pt>
              </c:numCache>
            </c:numRef>
          </c:cat>
          <c:val>
            <c:numRef>
              <c:f>Оптимистический!$C$19:$I$19</c:f>
              <c:numCache>
                <c:formatCode>General</c:formatCode>
                <c:ptCount val="7"/>
                <c:pt idx="0">
                  <c:v>108.9</c:v>
                </c:pt>
                <c:pt idx="1">
                  <c:v>108.36</c:v>
                </c:pt>
                <c:pt idx="2">
                  <c:v>108.17999999999998</c:v>
                </c:pt>
                <c:pt idx="3">
                  <c:v>109.56</c:v>
                </c:pt>
                <c:pt idx="4">
                  <c:v>111.58</c:v>
                </c:pt>
                <c:pt idx="5">
                  <c:v>114.21000000000002</c:v>
                </c:pt>
                <c:pt idx="6">
                  <c:v>117.46000000000002</c:v>
                </c:pt>
              </c:numCache>
            </c:numRef>
          </c:val>
        </c:ser>
        <c:marker val="1"/>
        <c:axId val="189633664"/>
        <c:axId val="189635200"/>
      </c:lineChart>
      <c:catAx>
        <c:axId val="189633664"/>
        <c:scaling>
          <c:orientation val="minMax"/>
        </c:scaling>
        <c:axPos val="b"/>
        <c:numFmt formatCode="General" sourceLinked="1"/>
        <c:tickLblPos val="nextTo"/>
        <c:crossAx val="189635200"/>
        <c:crosses val="autoZero"/>
        <c:auto val="1"/>
        <c:lblAlgn val="ctr"/>
        <c:lblOffset val="100"/>
      </c:catAx>
      <c:valAx>
        <c:axId val="189635200"/>
        <c:scaling>
          <c:orientation val="minMax"/>
        </c:scaling>
        <c:axPos val="l"/>
        <c:majorGridlines/>
        <c:numFmt formatCode="General" sourceLinked="1"/>
        <c:tickLblPos val="nextTo"/>
        <c:crossAx val="189633664"/>
        <c:crosses val="autoZero"/>
        <c:crossBetween val="between"/>
      </c:valAx>
    </c:plotArea>
    <c:plotVisOnly val="1"/>
  </c:chart>
  <c:spPr>
    <a:ln>
      <a:noFill/>
    </a:ln>
  </c:spPr>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Оптимистический!$B$27</c:f>
              <c:strCache>
                <c:ptCount val="1"/>
                <c:pt idx="0">
                  <c:v>Темп роста налоговых и неналоговых доходов консолидированного бюджета Бардымского МР (за период с начала года в % к соответствующему периоду прошлого года)</c:v>
                </c:pt>
              </c:strCache>
            </c:strRef>
          </c:tx>
          <c:dLbls>
            <c:dLblPos val="t"/>
            <c:showVal val="1"/>
          </c:dLbls>
          <c:cat>
            <c:numRef>
              <c:f>Оптимистический!$C$2:$I$2</c:f>
              <c:numCache>
                <c:formatCode>General</c:formatCode>
                <c:ptCount val="7"/>
                <c:pt idx="0">
                  <c:v>2016</c:v>
                </c:pt>
                <c:pt idx="1">
                  <c:v>2017</c:v>
                </c:pt>
                <c:pt idx="2">
                  <c:v>2018</c:v>
                </c:pt>
                <c:pt idx="3">
                  <c:v>2019</c:v>
                </c:pt>
                <c:pt idx="4">
                  <c:v>2020</c:v>
                </c:pt>
                <c:pt idx="5">
                  <c:v>2025</c:v>
                </c:pt>
                <c:pt idx="6">
                  <c:v>2030</c:v>
                </c:pt>
              </c:numCache>
            </c:numRef>
          </c:cat>
          <c:val>
            <c:numRef>
              <c:f>Оптимистический!$C$27:$I$27</c:f>
              <c:numCache>
                <c:formatCode>General</c:formatCode>
                <c:ptCount val="7"/>
                <c:pt idx="0">
                  <c:v>113.3</c:v>
                </c:pt>
                <c:pt idx="1">
                  <c:v>98.28</c:v>
                </c:pt>
                <c:pt idx="2">
                  <c:v>99.210000000000022</c:v>
                </c:pt>
                <c:pt idx="3">
                  <c:v>91.85</c:v>
                </c:pt>
                <c:pt idx="4">
                  <c:v>81.099999999999994</c:v>
                </c:pt>
                <c:pt idx="5">
                  <c:v>107.2</c:v>
                </c:pt>
                <c:pt idx="6">
                  <c:v>100.05</c:v>
                </c:pt>
              </c:numCache>
            </c:numRef>
          </c:val>
        </c:ser>
        <c:marker val="1"/>
        <c:axId val="189654912"/>
        <c:axId val="189656448"/>
      </c:lineChart>
      <c:catAx>
        <c:axId val="189654912"/>
        <c:scaling>
          <c:orientation val="minMax"/>
        </c:scaling>
        <c:axPos val="b"/>
        <c:numFmt formatCode="General" sourceLinked="1"/>
        <c:tickLblPos val="nextTo"/>
        <c:crossAx val="189656448"/>
        <c:crosses val="autoZero"/>
        <c:auto val="1"/>
        <c:lblAlgn val="ctr"/>
        <c:lblOffset val="100"/>
      </c:catAx>
      <c:valAx>
        <c:axId val="189656448"/>
        <c:scaling>
          <c:orientation val="minMax"/>
        </c:scaling>
        <c:axPos val="l"/>
        <c:majorGridlines/>
        <c:numFmt formatCode="General" sourceLinked="1"/>
        <c:tickLblPos val="nextTo"/>
        <c:crossAx val="189654912"/>
        <c:crosses val="autoZero"/>
        <c:crossBetween val="between"/>
      </c:valAx>
    </c:plotArea>
    <c:plotVisOnly val="1"/>
  </c:chart>
  <c:externalData r:id="rId1"/>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'Структура доходов'!$A$41</c:f>
              <c:strCache>
                <c:ptCount val="1"/>
                <c:pt idx="0">
                  <c:v>Собственные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доходов'!$B$41:$M$41</c:f>
              <c:numCache>
                <c:formatCode>0%</c:formatCode>
                <c:ptCount val="12"/>
                <c:pt idx="0">
                  <c:v>0.6767997417411018</c:v>
                </c:pt>
                <c:pt idx="1">
                  <c:v>0.16476572133168918</c:v>
                </c:pt>
                <c:pt idx="2">
                  <c:v>0.13176927147645254</c:v>
                </c:pt>
                <c:pt idx="3">
                  <c:v>0.52870608397600649</c:v>
                </c:pt>
                <c:pt idx="4">
                  <c:v>0.42790110088431732</c:v>
                </c:pt>
                <c:pt idx="5">
                  <c:v>0.26777739608382001</c:v>
                </c:pt>
                <c:pt idx="6">
                  <c:v>8.1991577904384438E-2</c:v>
                </c:pt>
                <c:pt idx="7">
                  <c:v>0.9224497912109767</c:v>
                </c:pt>
                <c:pt idx="8">
                  <c:v>0.75162484574249766</c:v>
                </c:pt>
                <c:pt idx="9">
                  <c:v>0.14342774146695741</c:v>
                </c:pt>
                <c:pt idx="10">
                  <c:v>0.1660867548132684</c:v>
                </c:pt>
                <c:pt idx="11">
                  <c:v>0.10575635876840712</c:v>
                </c:pt>
              </c:numCache>
            </c:numRef>
          </c:val>
          <c:extLst xmlns:c16r2="http://schemas.microsoft.com/office/drawing/2015/06/chart">
            <c:ext xmlns:c16="http://schemas.microsoft.com/office/drawing/2014/chart" uri="{C3380CC4-5D6E-409C-BE32-E72D297353CC}">
              <c16:uniqueId val="{00000000-3557-4566-AB54-02081CB5A1E2}"/>
            </c:ext>
          </c:extLst>
        </c:ser>
        <c:ser>
          <c:idx val="1"/>
          <c:order val="1"/>
          <c:tx>
            <c:strRef>
              <c:f>'Структура доходов'!$A$42</c:f>
              <c:strCache>
                <c:ptCount val="1"/>
                <c:pt idx="0">
                  <c:v>Дотация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доходов'!$B$42:$M$42</c:f>
              <c:numCache>
                <c:formatCode>0%</c:formatCode>
                <c:ptCount val="12"/>
                <c:pt idx="0">
                  <c:v>0.10341116969762185</c:v>
                </c:pt>
                <c:pt idx="1">
                  <c:v>0.37207151664611593</c:v>
                </c:pt>
                <c:pt idx="2">
                  <c:v>0.42529546657258777</c:v>
                </c:pt>
                <c:pt idx="3">
                  <c:v>0.41673807483576131</c:v>
                </c:pt>
                <c:pt idx="4">
                  <c:v>0.36617939000180488</c:v>
                </c:pt>
                <c:pt idx="5">
                  <c:v>0.45087598763311582</c:v>
                </c:pt>
                <c:pt idx="6">
                  <c:v>0.34629675501610074</c:v>
                </c:pt>
                <c:pt idx="7">
                  <c:v>3.3704513819844899E-2</c:v>
                </c:pt>
                <c:pt idx="8">
                  <c:v>0.20633484162895918</c:v>
                </c:pt>
                <c:pt idx="9">
                  <c:v>0.4647785039941934</c:v>
                </c:pt>
                <c:pt idx="10">
                  <c:v>0.5933658083971235</c:v>
                </c:pt>
                <c:pt idx="11">
                  <c:v>0.51673360107094957</c:v>
                </c:pt>
              </c:numCache>
            </c:numRef>
          </c:val>
          <c:extLst xmlns:c16r2="http://schemas.microsoft.com/office/drawing/2015/06/chart">
            <c:ext xmlns:c16="http://schemas.microsoft.com/office/drawing/2014/chart" uri="{C3380CC4-5D6E-409C-BE32-E72D297353CC}">
              <c16:uniqueId val="{00000001-3557-4566-AB54-02081CB5A1E2}"/>
            </c:ext>
          </c:extLst>
        </c:ser>
        <c:ser>
          <c:idx val="2"/>
          <c:order val="2"/>
          <c:tx>
            <c:strRef>
              <c:f>'Структура доходов'!$A$43</c:f>
              <c:strCache>
                <c:ptCount val="1"/>
                <c:pt idx="0">
                  <c:v>Иные межбюд.транс.</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доходов'!$B$43:$M$43</c:f>
              <c:numCache>
                <c:formatCode>0%</c:formatCode>
                <c:ptCount val="12"/>
                <c:pt idx="0">
                  <c:v>0.21978908856128559</c:v>
                </c:pt>
                <c:pt idx="1">
                  <c:v>0.46316276202219481</c:v>
                </c:pt>
                <c:pt idx="2">
                  <c:v>0.44293526195096383</c:v>
                </c:pt>
                <c:pt idx="3">
                  <c:v>5.4555841188231931E-2</c:v>
                </c:pt>
                <c:pt idx="4">
                  <c:v>0.20591950911387841</c:v>
                </c:pt>
                <c:pt idx="5">
                  <c:v>0.28134661628306701</c:v>
                </c:pt>
                <c:pt idx="6">
                  <c:v>0.57171166707952081</c:v>
                </c:pt>
                <c:pt idx="7">
                  <c:v>4.3845694969178804E-2</c:v>
                </c:pt>
                <c:pt idx="8">
                  <c:v>4.2040312628547925E-2</c:v>
                </c:pt>
                <c:pt idx="9">
                  <c:v>0.39179375453885257</c:v>
                </c:pt>
                <c:pt idx="10">
                  <c:v>0.24054743678961002</c:v>
                </c:pt>
                <c:pt idx="11">
                  <c:v>0.37751004016064693</c:v>
                </c:pt>
              </c:numCache>
            </c:numRef>
          </c:val>
          <c:extLst xmlns:c16r2="http://schemas.microsoft.com/office/drawing/2015/06/chart">
            <c:ext xmlns:c16="http://schemas.microsoft.com/office/drawing/2014/chart" uri="{C3380CC4-5D6E-409C-BE32-E72D297353CC}">
              <c16:uniqueId val="{00000002-3557-4566-AB54-02081CB5A1E2}"/>
            </c:ext>
          </c:extLst>
        </c:ser>
        <c:shape val="box"/>
        <c:axId val="189724160"/>
        <c:axId val="189725696"/>
        <c:axId val="0"/>
      </c:bar3DChart>
      <c:catAx>
        <c:axId val="189724160"/>
        <c:scaling>
          <c:orientation val="minMax"/>
        </c:scaling>
        <c:axPos val="b"/>
        <c:numFmt formatCode="General" sourceLinked="0"/>
        <c:tickLblPos val="nextTo"/>
        <c:crossAx val="189725696"/>
        <c:crosses val="autoZero"/>
        <c:auto val="1"/>
        <c:lblAlgn val="ctr"/>
        <c:lblOffset val="100"/>
      </c:catAx>
      <c:valAx>
        <c:axId val="189725696"/>
        <c:scaling>
          <c:orientation val="minMax"/>
        </c:scaling>
        <c:axPos val="l"/>
        <c:majorGridlines/>
        <c:numFmt formatCode="0%" sourceLinked="1"/>
        <c:tickLblPos val="nextTo"/>
        <c:crossAx val="189724160"/>
        <c:crosses val="autoZero"/>
        <c:crossBetween val="between"/>
      </c:valAx>
    </c:plotArea>
    <c:legend>
      <c:legendPos val="b"/>
    </c:legend>
    <c:plotVisOnly val="1"/>
    <c:dispBlanksAs val="gap"/>
  </c:chart>
  <c:spPr>
    <a:ln>
      <a:noFill/>
    </a:ln>
  </c:spPr>
  <c:externalData r:id="rId1"/>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'Структура доходов'!$A$46</c:f>
              <c:strCache>
                <c:ptCount val="1"/>
                <c:pt idx="0">
                  <c:v>Собственные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доходов'!$B$46:$M$46</c:f>
              <c:numCache>
                <c:formatCode>0%</c:formatCode>
                <c:ptCount val="12"/>
                <c:pt idx="0">
                  <c:v>0.51162411112138861</c:v>
                </c:pt>
                <c:pt idx="1">
                  <c:v>8.6588494484947751E-2</c:v>
                </c:pt>
                <c:pt idx="2">
                  <c:v>9.4761523504518025E-2</c:v>
                </c:pt>
                <c:pt idx="3">
                  <c:v>0.40305967119951613</c:v>
                </c:pt>
                <c:pt idx="4">
                  <c:v>0.33874725877192979</c:v>
                </c:pt>
                <c:pt idx="5">
                  <c:v>0.1781639492412547</c:v>
                </c:pt>
                <c:pt idx="6">
                  <c:v>8.3625940523111675E-2</c:v>
                </c:pt>
                <c:pt idx="7">
                  <c:v>0.90444065667893325</c:v>
                </c:pt>
                <c:pt idx="8">
                  <c:v>0.83489445822775221</c:v>
                </c:pt>
                <c:pt idx="9">
                  <c:v>0.10000869036238808</c:v>
                </c:pt>
                <c:pt idx="10">
                  <c:v>9.0679047200786345E-2</c:v>
                </c:pt>
                <c:pt idx="11">
                  <c:v>9.0577488965180267E-2</c:v>
                </c:pt>
              </c:numCache>
            </c:numRef>
          </c:val>
          <c:extLst xmlns:c16r2="http://schemas.microsoft.com/office/drawing/2015/06/chart">
            <c:ext xmlns:c16="http://schemas.microsoft.com/office/drawing/2014/chart" uri="{C3380CC4-5D6E-409C-BE32-E72D297353CC}">
              <c16:uniqueId val="{00000000-BA91-4D86-B3C1-84C9E83140EB}"/>
            </c:ext>
          </c:extLst>
        </c:ser>
        <c:ser>
          <c:idx val="1"/>
          <c:order val="1"/>
          <c:tx>
            <c:strRef>
              <c:f>'Структура доходов'!$A$47</c:f>
              <c:strCache>
                <c:ptCount val="1"/>
                <c:pt idx="0">
                  <c:v>Дотация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доходов'!$B$47:$M$47</c:f>
              <c:numCache>
                <c:formatCode>0%</c:formatCode>
                <c:ptCount val="12"/>
                <c:pt idx="0">
                  <c:v>0.30454463843655294</c:v>
                </c:pt>
                <c:pt idx="1">
                  <c:v>0.41340425840302625</c:v>
                </c:pt>
                <c:pt idx="2">
                  <c:v>0.51410652331388962</c:v>
                </c:pt>
                <c:pt idx="3">
                  <c:v>0.40884412421351735</c:v>
                </c:pt>
                <c:pt idx="4">
                  <c:v>0.52833744517543857</c:v>
                </c:pt>
                <c:pt idx="5">
                  <c:v>0.57446247693640096</c:v>
                </c:pt>
                <c:pt idx="6">
                  <c:v>0.42293084915800788</c:v>
                </c:pt>
                <c:pt idx="7">
                  <c:v>3.3336323674531265E-2</c:v>
                </c:pt>
                <c:pt idx="8">
                  <c:v>0.1598118689716477</c:v>
                </c:pt>
                <c:pt idx="9">
                  <c:v>0.53433562179542859</c:v>
                </c:pt>
                <c:pt idx="10">
                  <c:v>0.67291967291968391</c:v>
                </c:pt>
                <c:pt idx="11">
                  <c:v>0.61681584109858856</c:v>
                </c:pt>
              </c:numCache>
            </c:numRef>
          </c:val>
          <c:extLst xmlns:c16r2="http://schemas.microsoft.com/office/drawing/2015/06/chart">
            <c:ext xmlns:c16="http://schemas.microsoft.com/office/drawing/2014/chart" uri="{C3380CC4-5D6E-409C-BE32-E72D297353CC}">
              <c16:uniqueId val="{00000001-BA91-4D86-B3C1-84C9E83140EB}"/>
            </c:ext>
          </c:extLst>
        </c:ser>
        <c:ser>
          <c:idx val="2"/>
          <c:order val="2"/>
          <c:tx>
            <c:strRef>
              <c:f>'Структура доходов'!$A$48</c:f>
              <c:strCache>
                <c:ptCount val="1"/>
                <c:pt idx="0">
                  <c:v>Иные межбюд.транс.</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доходов'!$B$48:$M$48</c:f>
              <c:numCache>
                <c:formatCode>0%</c:formatCode>
                <c:ptCount val="12"/>
                <c:pt idx="0">
                  <c:v>0.18383125044206053</c:v>
                </c:pt>
                <c:pt idx="1">
                  <c:v>0.50000724711202549</c:v>
                </c:pt>
                <c:pt idx="2">
                  <c:v>0.39113195318159294</c:v>
                </c:pt>
                <c:pt idx="3">
                  <c:v>0.18809620458697293</c:v>
                </c:pt>
                <c:pt idx="4">
                  <c:v>0.1329152960526338</c:v>
                </c:pt>
                <c:pt idx="5">
                  <c:v>0.24737357382234443</c:v>
                </c:pt>
                <c:pt idx="6">
                  <c:v>0.49344321031888388</c:v>
                </c:pt>
                <c:pt idx="7">
                  <c:v>6.2223019646542012E-2</c:v>
                </c:pt>
                <c:pt idx="8">
                  <c:v>5.2936728006050034E-3</c:v>
                </c:pt>
                <c:pt idx="9">
                  <c:v>0.36565568784218438</c:v>
                </c:pt>
                <c:pt idx="10">
                  <c:v>0.23640127987954079</c:v>
                </c:pt>
                <c:pt idx="11">
                  <c:v>0.29260666993624873</c:v>
                </c:pt>
              </c:numCache>
            </c:numRef>
          </c:val>
          <c:extLst xmlns:c16r2="http://schemas.microsoft.com/office/drawing/2015/06/chart">
            <c:ext xmlns:c16="http://schemas.microsoft.com/office/drawing/2014/chart" uri="{C3380CC4-5D6E-409C-BE32-E72D297353CC}">
              <c16:uniqueId val="{00000002-BA91-4D86-B3C1-84C9E83140EB}"/>
            </c:ext>
          </c:extLst>
        </c:ser>
        <c:shape val="box"/>
        <c:axId val="189777408"/>
        <c:axId val="189778944"/>
        <c:axId val="0"/>
      </c:bar3DChart>
      <c:catAx>
        <c:axId val="189777408"/>
        <c:scaling>
          <c:orientation val="minMax"/>
        </c:scaling>
        <c:axPos val="b"/>
        <c:numFmt formatCode="General" sourceLinked="0"/>
        <c:tickLblPos val="nextTo"/>
        <c:crossAx val="189778944"/>
        <c:crosses val="autoZero"/>
        <c:auto val="1"/>
        <c:lblAlgn val="ctr"/>
        <c:lblOffset val="100"/>
      </c:catAx>
      <c:valAx>
        <c:axId val="189778944"/>
        <c:scaling>
          <c:orientation val="minMax"/>
        </c:scaling>
        <c:axPos val="l"/>
        <c:majorGridlines/>
        <c:numFmt formatCode="0%" sourceLinked="1"/>
        <c:tickLblPos val="nextTo"/>
        <c:crossAx val="189777408"/>
        <c:crosses val="autoZero"/>
        <c:crossBetween val="between"/>
      </c:valAx>
    </c:plotArea>
    <c:legend>
      <c:legendPos val="b"/>
    </c:legend>
    <c:plotVisOnly val="1"/>
    <c:dispBlanksAs val="gap"/>
  </c:chart>
  <c:spPr>
    <a:ln>
      <a:noFill/>
    </a:ln>
  </c:spPr>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'Структура доходов'!$A$51</c:f>
              <c:strCache>
                <c:ptCount val="1"/>
                <c:pt idx="0">
                  <c:v>Собственные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доходов'!$B$51:$M$51</c:f>
              <c:numCache>
                <c:formatCode>0%</c:formatCode>
                <c:ptCount val="12"/>
                <c:pt idx="0">
                  <c:v>0.43737918814433302</c:v>
                </c:pt>
                <c:pt idx="1">
                  <c:v>0.1986654369880107</c:v>
                </c:pt>
                <c:pt idx="2">
                  <c:v>0.19055293825936026</c:v>
                </c:pt>
                <c:pt idx="3">
                  <c:v>0.23203767899101219</c:v>
                </c:pt>
                <c:pt idx="4">
                  <c:v>0.3088521335533288</c:v>
                </c:pt>
                <c:pt idx="5">
                  <c:v>0.26032544611272695</c:v>
                </c:pt>
                <c:pt idx="6">
                  <c:v>5.4849066417950607E-2</c:v>
                </c:pt>
                <c:pt idx="7">
                  <c:v>0.9300213577700297</c:v>
                </c:pt>
                <c:pt idx="8">
                  <c:v>0.73629163939261466</c:v>
                </c:pt>
                <c:pt idx="9">
                  <c:v>0.14573243600226723</c:v>
                </c:pt>
                <c:pt idx="10">
                  <c:v>0.13503031150090103</c:v>
                </c:pt>
                <c:pt idx="11">
                  <c:v>0.10835416764941741</c:v>
                </c:pt>
              </c:numCache>
            </c:numRef>
          </c:val>
          <c:extLst xmlns:c16r2="http://schemas.microsoft.com/office/drawing/2015/06/chart">
            <c:ext xmlns:c16="http://schemas.microsoft.com/office/drawing/2014/chart" uri="{C3380CC4-5D6E-409C-BE32-E72D297353CC}">
              <c16:uniqueId val="{00000000-93CA-4FDA-B675-68599B761230}"/>
            </c:ext>
          </c:extLst>
        </c:ser>
        <c:ser>
          <c:idx val="1"/>
          <c:order val="1"/>
          <c:tx>
            <c:strRef>
              <c:f>'Структура доходов'!$A$52</c:f>
              <c:strCache>
                <c:ptCount val="1"/>
                <c:pt idx="0">
                  <c:v>Дотация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доходов'!$B$52:$M$52</c:f>
              <c:numCache>
                <c:formatCode>0%</c:formatCode>
                <c:ptCount val="12"/>
                <c:pt idx="0">
                  <c:v>0.21790767289519059</c:v>
                </c:pt>
                <c:pt idx="1">
                  <c:v>0.60473064612381056</c:v>
                </c:pt>
                <c:pt idx="2">
                  <c:v>0.6171053097658602</c:v>
                </c:pt>
                <c:pt idx="3">
                  <c:v>0.28624864340881068</c:v>
                </c:pt>
                <c:pt idx="4">
                  <c:v>0.50101278388129988</c:v>
                </c:pt>
                <c:pt idx="5">
                  <c:v>0.53764641144564163</c:v>
                </c:pt>
                <c:pt idx="6">
                  <c:v>0.41820171111868432</c:v>
                </c:pt>
                <c:pt idx="7">
                  <c:v>6.9978642229970273E-2</c:v>
                </c:pt>
                <c:pt idx="8">
                  <c:v>0.25741434747268432</c:v>
                </c:pt>
                <c:pt idx="9">
                  <c:v>0.74834895276433022</c:v>
                </c:pt>
                <c:pt idx="10">
                  <c:v>0.7011827600062841</c:v>
                </c:pt>
                <c:pt idx="11">
                  <c:v>0.59939148073021775</c:v>
                </c:pt>
              </c:numCache>
            </c:numRef>
          </c:val>
          <c:extLst xmlns:c16r2="http://schemas.microsoft.com/office/drawing/2015/06/chart">
            <c:ext xmlns:c16="http://schemas.microsoft.com/office/drawing/2014/chart" uri="{C3380CC4-5D6E-409C-BE32-E72D297353CC}">
              <c16:uniqueId val="{00000001-93CA-4FDA-B675-68599B761230}"/>
            </c:ext>
          </c:extLst>
        </c:ser>
        <c:ser>
          <c:idx val="2"/>
          <c:order val="2"/>
          <c:tx>
            <c:strRef>
              <c:f>'Структура доходов'!$A$53</c:f>
              <c:strCache>
                <c:ptCount val="1"/>
                <c:pt idx="0">
                  <c:v>Иные межбюд.транс.</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доходов'!$B$53:$M$53</c:f>
              <c:numCache>
                <c:formatCode>0%</c:formatCode>
                <c:ptCount val="12"/>
                <c:pt idx="0">
                  <c:v>0.34471313896048106</c:v>
                </c:pt>
                <c:pt idx="1">
                  <c:v>0.19660391688818962</c:v>
                </c:pt>
                <c:pt idx="2">
                  <c:v>0.19234175197477937</c:v>
                </c:pt>
                <c:pt idx="3">
                  <c:v>0.48171367760017697</c:v>
                </c:pt>
                <c:pt idx="4">
                  <c:v>0.19013508256536343</c:v>
                </c:pt>
                <c:pt idx="5">
                  <c:v>0.20202814244163325</c:v>
                </c:pt>
                <c:pt idx="6">
                  <c:v>0.52694922246337406</c:v>
                </c:pt>
                <c:pt idx="7">
                  <c:v>0</c:v>
                </c:pt>
                <c:pt idx="8">
                  <c:v>6.2940131347062724E-3</c:v>
                </c:pt>
                <c:pt idx="9">
                  <c:v>0.10591861123341099</c:v>
                </c:pt>
                <c:pt idx="10">
                  <c:v>0.1637869284928109</c:v>
                </c:pt>
                <c:pt idx="11">
                  <c:v>0.2922543516203594</c:v>
                </c:pt>
              </c:numCache>
            </c:numRef>
          </c:val>
          <c:extLst xmlns:c16r2="http://schemas.microsoft.com/office/drawing/2015/06/chart">
            <c:ext xmlns:c16="http://schemas.microsoft.com/office/drawing/2014/chart" uri="{C3380CC4-5D6E-409C-BE32-E72D297353CC}">
              <c16:uniqueId val="{00000002-93CA-4FDA-B675-68599B761230}"/>
            </c:ext>
          </c:extLst>
        </c:ser>
        <c:shape val="box"/>
        <c:axId val="189847040"/>
        <c:axId val="189848576"/>
        <c:axId val="0"/>
      </c:bar3DChart>
      <c:catAx>
        <c:axId val="189847040"/>
        <c:scaling>
          <c:orientation val="minMax"/>
        </c:scaling>
        <c:axPos val="b"/>
        <c:numFmt formatCode="General" sourceLinked="0"/>
        <c:tickLblPos val="nextTo"/>
        <c:crossAx val="189848576"/>
        <c:crosses val="autoZero"/>
        <c:auto val="1"/>
        <c:lblAlgn val="ctr"/>
        <c:lblOffset val="100"/>
      </c:catAx>
      <c:valAx>
        <c:axId val="189848576"/>
        <c:scaling>
          <c:orientation val="minMax"/>
        </c:scaling>
        <c:axPos val="l"/>
        <c:majorGridlines/>
        <c:numFmt formatCode="0%" sourceLinked="1"/>
        <c:tickLblPos val="nextTo"/>
        <c:crossAx val="189847040"/>
        <c:crosses val="autoZero"/>
        <c:crossBetween val="between"/>
      </c:valAx>
    </c:plotArea>
    <c:legend>
      <c:legendPos val="b"/>
    </c:legend>
    <c:plotVisOnly val="1"/>
    <c:dispBlanksAs val="gap"/>
  </c:chart>
  <c:spPr>
    <a:ln>
      <a:noFill/>
    </a:ln>
  </c:spPr>
  <c:externalData r:id="rId1"/>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'Структура доходов'!$A$56</c:f>
              <c:strCache>
                <c:ptCount val="1"/>
                <c:pt idx="0">
                  <c:v>Собственные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доходов'!$B$56:$M$56</c:f>
              <c:numCache>
                <c:formatCode>0%</c:formatCode>
                <c:ptCount val="12"/>
                <c:pt idx="0">
                  <c:v>0.63462534294381157</c:v>
                </c:pt>
                <c:pt idx="1">
                  <c:v>0.22285255994433087</c:v>
                </c:pt>
                <c:pt idx="2">
                  <c:v>0.22000267137620397</c:v>
                </c:pt>
                <c:pt idx="3">
                  <c:v>0.47302912583831008</c:v>
                </c:pt>
                <c:pt idx="4">
                  <c:v>0.4496926517657458</c:v>
                </c:pt>
                <c:pt idx="5">
                  <c:v>0.31376394165951732</c:v>
                </c:pt>
                <c:pt idx="6">
                  <c:v>0.10700389105058369</c:v>
                </c:pt>
                <c:pt idx="7">
                  <c:v>0.97048954803207732</c:v>
                </c:pt>
                <c:pt idx="8">
                  <c:v>0.81359333488095609</c:v>
                </c:pt>
                <c:pt idx="9">
                  <c:v>0.16948611111111245</c:v>
                </c:pt>
                <c:pt idx="10">
                  <c:v>0.20807150317620673</c:v>
                </c:pt>
                <c:pt idx="11">
                  <c:v>0.10326649354706446</c:v>
                </c:pt>
              </c:numCache>
            </c:numRef>
          </c:val>
          <c:extLst xmlns:c16r2="http://schemas.microsoft.com/office/drawing/2015/06/chart">
            <c:ext xmlns:c16="http://schemas.microsoft.com/office/drawing/2014/chart" uri="{C3380CC4-5D6E-409C-BE32-E72D297353CC}">
              <c16:uniqueId val="{00000000-0FB1-4A14-8241-CBCB83A66041}"/>
            </c:ext>
          </c:extLst>
        </c:ser>
        <c:ser>
          <c:idx val="1"/>
          <c:order val="1"/>
          <c:tx>
            <c:strRef>
              <c:f>'Структура доходов'!$A$57</c:f>
              <c:strCache>
                <c:ptCount val="1"/>
                <c:pt idx="0">
                  <c:v>Дотация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доходов'!$B$57:$M$57</c:f>
              <c:numCache>
                <c:formatCode>0%</c:formatCode>
                <c:ptCount val="12"/>
                <c:pt idx="0">
                  <c:v>0.2447613625764323</c:v>
                </c:pt>
                <c:pt idx="1">
                  <c:v>0.52260370103907461</c:v>
                </c:pt>
                <c:pt idx="2">
                  <c:v>0.56615366349564422</c:v>
                </c:pt>
                <c:pt idx="3">
                  <c:v>0.52697087416169064</c:v>
                </c:pt>
                <c:pt idx="4">
                  <c:v>0.50608670032542757</c:v>
                </c:pt>
                <c:pt idx="5">
                  <c:v>0.68623605834048362</c:v>
                </c:pt>
                <c:pt idx="6">
                  <c:v>0.56977792540571315</c:v>
                </c:pt>
                <c:pt idx="7">
                  <c:v>2.9510451967922569E-2</c:v>
                </c:pt>
                <c:pt idx="8">
                  <c:v>0.18640666511903844</c:v>
                </c:pt>
                <c:pt idx="9">
                  <c:v>0.67577777777778403</c:v>
                </c:pt>
                <c:pt idx="10">
                  <c:v>0.75384826121946413</c:v>
                </c:pt>
                <c:pt idx="11">
                  <c:v>0.54640060917273559</c:v>
                </c:pt>
              </c:numCache>
            </c:numRef>
          </c:val>
          <c:extLst xmlns:c16r2="http://schemas.microsoft.com/office/drawing/2015/06/chart">
            <c:ext xmlns:c16="http://schemas.microsoft.com/office/drawing/2014/chart" uri="{C3380CC4-5D6E-409C-BE32-E72D297353CC}">
              <c16:uniqueId val="{00000001-0FB1-4A14-8241-CBCB83A66041}"/>
            </c:ext>
          </c:extLst>
        </c:ser>
        <c:ser>
          <c:idx val="2"/>
          <c:order val="2"/>
          <c:tx>
            <c:strRef>
              <c:f>'Структура доходов'!$A$58</c:f>
              <c:strCache>
                <c:ptCount val="1"/>
                <c:pt idx="0">
                  <c:v>Иные межбюд.транс.</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доходов'!$B$58:$M$58</c:f>
              <c:numCache>
                <c:formatCode>0%</c:formatCode>
                <c:ptCount val="12"/>
                <c:pt idx="0">
                  <c:v>0.12061329447977076</c:v>
                </c:pt>
                <c:pt idx="1">
                  <c:v>0.25454373901659183</c:v>
                </c:pt>
                <c:pt idx="2">
                  <c:v>0.21384366512815189</c:v>
                </c:pt>
                <c:pt idx="3">
                  <c:v>0</c:v>
                </c:pt>
                <c:pt idx="4">
                  <c:v>4.4220647908827113E-2</c:v>
                </c:pt>
                <c:pt idx="5">
                  <c:v>0</c:v>
                </c:pt>
                <c:pt idx="6">
                  <c:v>0.32321818354370635</c:v>
                </c:pt>
                <c:pt idx="7">
                  <c:v>0</c:v>
                </c:pt>
                <c:pt idx="8">
                  <c:v>0</c:v>
                </c:pt>
                <c:pt idx="9">
                  <c:v>0.15473611111111307</c:v>
                </c:pt>
                <c:pt idx="10">
                  <c:v>3.8080235604335405E-2</c:v>
                </c:pt>
                <c:pt idx="11">
                  <c:v>0.35033289728020528</c:v>
                </c:pt>
              </c:numCache>
            </c:numRef>
          </c:val>
          <c:extLst xmlns:c16r2="http://schemas.microsoft.com/office/drawing/2015/06/chart">
            <c:ext xmlns:c16="http://schemas.microsoft.com/office/drawing/2014/chart" uri="{C3380CC4-5D6E-409C-BE32-E72D297353CC}">
              <c16:uniqueId val="{00000002-0FB1-4A14-8241-CBCB83A66041}"/>
            </c:ext>
          </c:extLst>
        </c:ser>
        <c:shape val="box"/>
        <c:axId val="189973632"/>
        <c:axId val="189975168"/>
        <c:axId val="0"/>
      </c:bar3DChart>
      <c:catAx>
        <c:axId val="189973632"/>
        <c:scaling>
          <c:orientation val="minMax"/>
        </c:scaling>
        <c:axPos val="b"/>
        <c:numFmt formatCode="General" sourceLinked="0"/>
        <c:tickLblPos val="nextTo"/>
        <c:crossAx val="189975168"/>
        <c:crosses val="autoZero"/>
        <c:auto val="1"/>
        <c:lblAlgn val="ctr"/>
        <c:lblOffset val="100"/>
      </c:catAx>
      <c:valAx>
        <c:axId val="189975168"/>
        <c:scaling>
          <c:orientation val="minMax"/>
        </c:scaling>
        <c:axPos val="l"/>
        <c:majorGridlines/>
        <c:numFmt formatCode="0%" sourceLinked="1"/>
        <c:tickLblPos val="nextTo"/>
        <c:crossAx val="189973632"/>
        <c:crosses val="autoZero"/>
        <c:crossBetween val="between"/>
      </c:valAx>
    </c:plotArea>
    <c:legend>
      <c:legendPos val="b"/>
    </c:legend>
    <c:plotVisOnly val="1"/>
    <c:dispBlanksAs val="gap"/>
  </c:chart>
  <c:spPr>
    <a:ln>
      <a:noFill/>
    </a:ln>
  </c:spPr>
  <c:externalData r:id="rId1"/>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'Структура доходов'!$A$61</c:f>
              <c:strCache>
                <c:ptCount val="1"/>
                <c:pt idx="0">
                  <c:v>Собственные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доходов'!$B$61:$M$61</c:f>
              <c:numCache>
                <c:formatCode>0%</c:formatCode>
                <c:ptCount val="12"/>
                <c:pt idx="0">
                  <c:v>0.70591886103594759</c:v>
                </c:pt>
                <c:pt idx="1">
                  <c:v>0.41605226563115194</c:v>
                </c:pt>
                <c:pt idx="2">
                  <c:v>0.40878134272141675</c:v>
                </c:pt>
                <c:pt idx="3">
                  <c:v>0.50687887282384814</c:v>
                </c:pt>
                <c:pt idx="4">
                  <c:v>0.48365382832347431</c:v>
                </c:pt>
                <c:pt idx="5">
                  <c:v>0.46672191092520982</c:v>
                </c:pt>
                <c:pt idx="6">
                  <c:v>0.20452240924761711</c:v>
                </c:pt>
                <c:pt idx="7">
                  <c:v>0.97395400948968303</c:v>
                </c:pt>
                <c:pt idx="8">
                  <c:v>0.80071636127722923</c:v>
                </c:pt>
                <c:pt idx="9">
                  <c:v>0.33182255962835455</c:v>
                </c:pt>
                <c:pt idx="10">
                  <c:v>0.31538214629623312</c:v>
                </c:pt>
                <c:pt idx="11">
                  <c:v>0.25159914712153159</c:v>
                </c:pt>
              </c:numCache>
            </c:numRef>
          </c:val>
          <c:extLst xmlns:c16r2="http://schemas.microsoft.com/office/drawing/2015/06/chart">
            <c:ext xmlns:c16="http://schemas.microsoft.com/office/drawing/2014/chart" uri="{C3380CC4-5D6E-409C-BE32-E72D297353CC}">
              <c16:uniqueId val="{00000000-7495-412E-A830-7D85B618BDAC}"/>
            </c:ext>
          </c:extLst>
        </c:ser>
        <c:ser>
          <c:idx val="1"/>
          <c:order val="1"/>
          <c:tx>
            <c:strRef>
              <c:f>'Структура доходов'!$A$62</c:f>
              <c:strCache>
                <c:ptCount val="1"/>
                <c:pt idx="0">
                  <c:v>Дотация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доходов'!$B$62:$M$62</c:f>
              <c:numCache>
                <c:formatCode>0%</c:formatCode>
                <c:ptCount val="12"/>
                <c:pt idx="0">
                  <c:v>0.11420437314425827</c:v>
                </c:pt>
                <c:pt idx="1">
                  <c:v>0.3212814525227613</c:v>
                </c:pt>
                <c:pt idx="2">
                  <c:v>0.57590665211309766</c:v>
                </c:pt>
                <c:pt idx="3">
                  <c:v>0.4931211271761583</c:v>
                </c:pt>
                <c:pt idx="4">
                  <c:v>0.51634617167652552</c:v>
                </c:pt>
                <c:pt idx="5">
                  <c:v>0.53327808907479024</c:v>
                </c:pt>
                <c:pt idx="6">
                  <c:v>0.58319813425268707</c:v>
                </c:pt>
                <c:pt idx="7">
                  <c:v>2.6045990510323806E-2</c:v>
                </c:pt>
                <c:pt idx="8">
                  <c:v>0.19928363872276295</c:v>
                </c:pt>
                <c:pt idx="9">
                  <c:v>0.60847827318565562</c:v>
                </c:pt>
                <c:pt idx="10">
                  <c:v>0.58951817111879856</c:v>
                </c:pt>
                <c:pt idx="11">
                  <c:v>0.58160808858931168</c:v>
                </c:pt>
              </c:numCache>
            </c:numRef>
          </c:val>
          <c:extLst xmlns:c16r2="http://schemas.microsoft.com/office/drawing/2015/06/chart">
            <c:ext xmlns:c16="http://schemas.microsoft.com/office/drawing/2014/chart" uri="{C3380CC4-5D6E-409C-BE32-E72D297353CC}">
              <c16:uniqueId val="{00000001-7495-412E-A830-7D85B618BDAC}"/>
            </c:ext>
          </c:extLst>
        </c:ser>
        <c:ser>
          <c:idx val="2"/>
          <c:order val="2"/>
          <c:tx>
            <c:strRef>
              <c:f>'Структура доходов'!$A$63</c:f>
              <c:strCache>
                <c:ptCount val="1"/>
                <c:pt idx="0">
                  <c:v>Иные межбюд.транс.</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доходов'!$B$63:$M$63</c:f>
              <c:numCache>
                <c:formatCode>0%</c:formatCode>
                <c:ptCount val="12"/>
                <c:pt idx="0">
                  <c:v>0.17987676581979409</c:v>
                </c:pt>
                <c:pt idx="1">
                  <c:v>0.26266628184608931</c:v>
                </c:pt>
                <c:pt idx="2">
                  <c:v>1.5312005165495721E-2</c:v>
                </c:pt>
                <c:pt idx="3">
                  <c:v>0</c:v>
                </c:pt>
                <c:pt idx="4">
                  <c:v>0</c:v>
                </c:pt>
                <c:pt idx="5">
                  <c:v>0</c:v>
                </c:pt>
                <c:pt idx="6">
                  <c:v>0.21227945649969751</c:v>
                </c:pt>
                <c:pt idx="7">
                  <c:v>0</c:v>
                </c:pt>
                <c:pt idx="8">
                  <c:v>0</c:v>
                </c:pt>
                <c:pt idx="9">
                  <c:v>5.9699167185995126E-2</c:v>
                </c:pt>
                <c:pt idx="10">
                  <c:v>9.5099682584971007E-2</c:v>
                </c:pt>
                <c:pt idx="11">
                  <c:v>0.16679276428915327</c:v>
                </c:pt>
              </c:numCache>
            </c:numRef>
          </c:val>
          <c:extLst xmlns:c16r2="http://schemas.microsoft.com/office/drawing/2015/06/chart">
            <c:ext xmlns:c16="http://schemas.microsoft.com/office/drawing/2014/chart" uri="{C3380CC4-5D6E-409C-BE32-E72D297353CC}">
              <c16:uniqueId val="{00000002-7495-412E-A830-7D85B618BDAC}"/>
            </c:ext>
          </c:extLst>
        </c:ser>
        <c:shape val="box"/>
        <c:axId val="190030976"/>
        <c:axId val="190032512"/>
        <c:axId val="0"/>
      </c:bar3DChart>
      <c:catAx>
        <c:axId val="190030976"/>
        <c:scaling>
          <c:orientation val="minMax"/>
        </c:scaling>
        <c:axPos val="b"/>
        <c:numFmt formatCode="General" sourceLinked="0"/>
        <c:tickLblPos val="nextTo"/>
        <c:crossAx val="190032512"/>
        <c:crosses val="autoZero"/>
        <c:auto val="1"/>
        <c:lblAlgn val="ctr"/>
        <c:lblOffset val="100"/>
      </c:catAx>
      <c:valAx>
        <c:axId val="190032512"/>
        <c:scaling>
          <c:orientation val="minMax"/>
        </c:scaling>
        <c:axPos val="l"/>
        <c:majorGridlines/>
        <c:numFmt formatCode="0%" sourceLinked="1"/>
        <c:tickLblPos val="nextTo"/>
        <c:crossAx val="190030976"/>
        <c:crosses val="autoZero"/>
        <c:crossBetween val="between"/>
      </c:valAx>
    </c:plotArea>
    <c:legend>
      <c:legendPos val="b"/>
    </c:legend>
    <c:plotVisOnly val="1"/>
    <c:dispBlanksAs val="gap"/>
  </c:chart>
  <c:spPr>
    <a:ln>
      <a:noFill/>
    </a:ln>
  </c:spPr>
  <c:externalData r:id="rId1"/>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'Структура доходов'!$A$66</c:f>
              <c:strCache>
                <c:ptCount val="1"/>
                <c:pt idx="0">
                  <c:v>Собственные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доходов'!$B$66:$M$66</c:f>
              <c:numCache>
                <c:formatCode>0%</c:formatCode>
                <c:ptCount val="12"/>
                <c:pt idx="0">
                  <c:v>0.84818570523473569</c:v>
                </c:pt>
                <c:pt idx="1">
                  <c:v>0.30012451717829192</c:v>
                </c:pt>
                <c:pt idx="2">
                  <c:v>0.37682949260320403</c:v>
                </c:pt>
                <c:pt idx="3">
                  <c:v>0.32100951047799431</c:v>
                </c:pt>
                <c:pt idx="4">
                  <c:v>0.30083871486374597</c:v>
                </c:pt>
                <c:pt idx="5">
                  <c:v>0.34568702381810751</c:v>
                </c:pt>
                <c:pt idx="6">
                  <c:v>0.17250279389069381</c:v>
                </c:pt>
                <c:pt idx="7">
                  <c:v>0.73813164319712365</c:v>
                </c:pt>
                <c:pt idx="8">
                  <c:v>0.5520106293109811</c:v>
                </c:pt>
                <c:pt idx="9">
                  <c:v>0.27957555781554438</c:v>
                </c:pt>
                <c:pt idx="10">
                  <c:v>0.24410784171619251</c:v>
                </c:pt>
                <c:pt idx="11">
                  <c:v>0.17483395431718773</c:v>
                </c:pt>
              </c:numCache>
            </c:numRef>
          </c:val>
          <c:extLst xmlns:c16r2="http://schemas.microsoft.com/office/drawing/2015/06/chart">
            <c:ext xmlns:c16="http://schemas.microsoft.com/office/drawing/2014/chart" uri="{C3380CC4-5D6E-409C-BE32-E72D297353CC}">
              <c16:uniqueId val="{00000000-FA0B-416B-A106-DBF31B6827BB}"/>
            </c:ext>
          </c:extLst>
        </c:ser>
        <c:ser>
          <c:idx val="1"/>
          <c:order val="1"/>
          <c:tx>
            <c:strRef>
              <c:f>'Структура доходов'!$A$67</c:f>
              <c:strCache>
                <c:ptCount val="1"/>
                <c:pt idx="0">
                  <c:v>Дотация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доходов'!$B$67:$M$67</c:f>
              <c:numCache>
                <c:formatCode>0%</c:formatCode>
                <c:ptCount val="12"/>
                <c:pt idx="0">
                  <c:v>0.13874487091456111</c:v>
                </c:pt>
                <c:pt idx="1">
                  <c:v>0.47828572880666831</c:v>
                </c:pt>
                <c:pt idx="2">
                  <c:v>0.58860393620096152</c:v>
                </c:pt>
                <c:pt idx="3">
                  <c:v>0.6427189262629176</c:v>
                </c:pt>
                <c:pt idx="4">
                  <c:v>0.6971515849835207</c:v>
                </c:pt>
                <c:pt idx="5">
                  <c:v>0.58220972432522888</c:v>
                </c:pt>
                <c:pt idx="6">
                  <c:v>0.74501090947794157</c:v>
                </c:pt>
                <c:pt idx="7">
                  <c:v>0.12275271893265038</c:v>
                </c:pt>
                <c:pt idx="8">
                  <c:v>0.43877073986894077</c:v>
                </c:pt>
                <c:pt idx="9">
                  <c:v>0.67561540440862233</c:v>
                </c:pt>
                <c:pt idx="10">
                  <c:v>0.65789244818090065</c:v>
                </c:pt>
                <c:pt idx="11">
                  <c:v>0.62232706949619365</c:v>
                </c:pt>
              </c:numCache>
            </c:numRef>
          </c:val>
          <c:extLst xmlns:c16r2="http://schemas.microsoft.com/office/drawing/2015/06/chart">
            <c:ext xmlns:c16="http://schemas.microsoft.com/office/drawing/2014/chart" uri="{C3380CC4-5D6E-409C-BE32-E72D297353CC}">
              <c16:uniqueId val="{00000001-FA0B-416B-A106-DBF31B6827BB}"/>
            </c:ext>
          </c:extLst>
        </c:ser>
        <c:ser>
          <c:idx val="2"/>
          <c:order val="2"/>
          <c:tx>
            <c:strRef>
              <c:f>'Структура доходов'!$A$68</c:f>
              <c:strCache>
                <c:ptCount val="1"/>
                <c:pt idx="0">
                  <c:v>Иные межбюд.транс.</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доходов'!$B$68:$M$68</c:f>
              <c:numCache>
                <c:formatCode>0%</c:formatCode>
                <c:ptCount val="12"/>
                <c:pt idx="0">
                  <c:v>1.3069423850703393E-2</c:v>
                </c:pt>
                <c:pt idx="1">
                  <c:v>0.22158975401504372</c:v>
                </c:pt>
                <c:pt idx="2">
                  <c:v>3.4566571195837767E-2</c:v>
                </c:pt>
                <c:pt idx="3">
                  <c:v>3.627156325908848E-2</c:v>
                </c:pt>
                <c:pt idx="4">
                  <c:v>2.0097001527372418E-3</c:v>
                </c:pt>
                <c:pt idx="5">
                  <c:v>7.2103251856659431E-2</c:v>
                </c:pt>
                <c:pt idx="6">
                  <c:v>8.2486296631365419E-2</c:v>
                </c:pt>
                <c:pt idx="7">
                  <c:v>0.13911563787023279</c:v>
                </c:pt>
                <c:pt idx="8">
                  <c:v>9.2186308200808698E-3</c:v>
                </c:pt>
                <c:pt idx="9">
                  <c:v>4.4809037775844537E-2</c:v>
                </c:pt>
                <c:pt idx="10">
                  <c:v>9.7999710102913473E-2</c:v>
                </c:pt>
                <c:pt idx="11">
                  <c:v>0.20283897618661914</c:v>
                </c:pt>
              </c:numCache>
            </c:numRef>
          </c:val>
          <c:extLst xmlns:c16r2="http://schemas.microsoft.com/office/drawing/2015/06/chart">
            <c:ext xmlns:c16="http://schemas.microsoft.com/office/drawing/2014/chart" uri="{C3380CC4-5D6E-409C-BE32-E72D297353CC}">
              <c16:uniqueId val="{00000002-FA0B-416B-A106-DBF31B6827BB}"/>
            </c:ext>
          </c:extLst>
        </c:ser>
        <c:shape val="box"/>
        <c:axId val="190092416"/>
        <c:axId val="190093952"/>
        <c:axId val="0"/>
      </c:bar3DChart>
      <c:catAx>
        <c:axId val="190092416"/>
        <c:scaling>
          <c:orientation val="minMax"/>
        </c:scaling>
        <c:axPos val="b"/>
        <c:numFmt formatCode="General" sourceLinked="0"/>
        <c:tickLblPos val="nextTo"/>
        <c:crossAx val="190093952"/>
        <c:crosses val="autoZero"/>
        <c:auto val="1"/>
        <c:lblAlgn val="ctr"/>
        <c:lblOffset val="100"/>
      </c:catAx>
      <c:valAx>
        <c:axId val="190093952"/>
        <c:scaling>
          <c:orientation val="minMax"/>
        </c:scaling>
        <c:axPos val="l"/>
        <c:majorGridlines/>
        <c:numFmt formatCode="0%" sourceLinked="1"/>
        <c:tickLblPos val="nextTo"/>
        <c:crossAx val="190092416"/>
        <c:crosses val="autoZero"/>
        <c:crossBetween val="between"/>
      </c:valAx>
    </c:plotArea>
    <c:legend>
      <c:legendPos val="b"/>
    </c:legend>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'Соц. образование'!$C$1</c:f>
              <c:strCache>
                <c:ptCount val="1"/>
                <c:pt idx="0">
                  <c:v>Численность  обучающихся  в образовательных организациях, человек
в том числе: обучающихся во 2-3 смену, человек
</c:v>
                </c:pt>
              </c:strCache>
            </c:strRef>
          </c:tx>
          <c:dLbls>
            <c:spPr>
              <a:noFill/>
              <a:ln>
                <a:noFill/>
              </a:ln>
              <a:effectLst/>
            </c:spPr>
            <c:txPr>
              <a:bodyPr/>
              <a:lstStyle/>
              <a:p>
                <a:pPr>
                  <a:defRPr sz="1100">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'Соц. образование'!$B$2:$B$8</c:f>
              <c:strCache>
                <c:ptCount val="7"/>
                <c:pt idx="0">
                  <c:v>01.01.2011 г.</c:v>
                </c:pt>
                <c:pt idx="1">
                  <c:v>01.01.2012 г.</c:v>
                </c:pt>
                <c:pt idx="2">
                  <c:v>01.01.2013 г.</c:v>
                </c:pt>
                <c:pt idx="3">
                  <c:v>01.01.2014 г.</c:v>
                </c:pt>
                <c:pt idx="4">
                  <c:v>01.01.2015 г.</c:v>
                </c:pt>
                <c:pt idx="5">
                  <c:v>01.01.2016 г.</c:v>
                </c:pt>
                <c:pt idx="6">
                  <c:v>01.01.2017 г.</c:v>
                </c:pt>
              </c:strCache>
            </c:strRef>
          </c:cat>
          <c:val>
            <c:numRef>
              <c:f>'Соц. образование'!$C$2:$C$8</c:f>
              <c:numCache>
                <c:formatCode>General</c:formatCode>
                <c:ptCount val="7"/>
                <c:pt idx="0">
                  <c:v>3095</c:v>
                </c:pt>
                <c:pt idx="1">
                  <c:v>3162</c:v>
                </c:pt>
                <c:pt idx="2">
                  <c:v>3106</c:v>
                </c:pt>
                <c:pt idx="3">
                  <c:v>3045</c:v>
                </c:pt>
                <c:pt idx="4">
                  <c:v>3025</c:v>
                </c:pt>
                <c:pt idx="5">
                  <c:v>3011</c:v>
                </c:pt>
                <c:pt idx="6">
                  <c:v>3080</c:v>
                </c:pt>
              </c:numCache>
            </c:numRef>
          </c:val>
          <c:extLst xmlns:c16r2="http://schemas.microsoft.com/office/drawing/2015/06/chart">
            <c:ext xmlns:c16="http://schemas.microsoft.com/office/drawing/2014/chart" uri="{C3380CC4-5D6E-409C-BE32-E72D297353CC}">
              <c16:uniqueId val="{00000000-76D2-4383-9E65-D4192E3D27E4}"/>
            </c:ext>
          </c:extLst>
        </c:ser>
        <c:overlap val="100"/>
        <c:axId val="170361216"/>
        <c:axId val="170362752"/>
      </c:barChart>
      <c:catAx>
        <c:axId val="170361216"/>
        <c:scaling>
          <c:orientation val="minMax"/>
        </c:scaling>
        <c:axPos val="b"/>
        <c:numFmt formatCode="General" sourceLinked="0"/>
        <c:tickLblPos val="nextTo"/>
        <c:crossAx val="170362752"/>
        <c:crosses val="autoZero"/>
        <c:auto val="1"/>
        <c:lblAlgn val="ctr"/>
        <c:lblOffset val="100"/>
      </c:catAx>
      <c:valAx>
        <c:axId val="170362752"/>
        <c:scaling>
          <c:orientation val="minMax"/>
        </c:scaling>
        <c:axPos val="l"/>
        <c:majorGridlines/>
        <c:numFmt formatCode="General" sourceLinked="1"/>
        <c:tickLblPos val="nextTo"/>
        <c:crossAx val="170361216"/>
        <c:crosses val="autoZero"/>
        <c:crossBetween val="between"/>
      </c:valAx>
    </c:plotArea>
    <c:plotVisOnly val="1"/>
    <c:dispBlanksAs val="gap"/>
  </c:chart>
  <c:spPr>
    <a:ln>
      <a:noFill/>
    </a:ln>
  </c:spPr>
  <c:externalData r:id="rId1"/>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'Структура доходов'!$A$71</c:f>
              <c:strCache>
                <c:ptCount val="1"/>
                <c:pt idx="0">
                  <c:v>Собственные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доходов'!$B$71:$M$71</c:f>
              <c:numCache>
                <c:formatCode>0%</c:formatCode>
                <c:ptCount val="12"/>
                <c:pt idx="0">
                  <c:v>0.81268135311441292</c:v>
                </c:pt>
                <c:pt idx="1">
                  <c:v>0.30187236435198694</c:v>
                </c:pt>
                <c:pt idx="2">
                  <c:v>0.36495413301426316</c:v>
                </c:pt>
                <c:pt idx="3">
                  <c:v>0.35630157839917104</c:v>
                </c:pt>
                <c:pt idx="4">
                  <c:v>0.31262476767399122</c:v>
                </c:pt>
                <c:pt idx="5">
                  <c:v>0.37089185715597439</c:v>
                </c:pt>
                <c:pt idx="6">
                  <c:v>0.18402192716407184</c:v>
                </c:pt>
                <c:pt idx="7">
                  <c:v>0.84463800145168266</c:v>
                </c:pt>
                <c:pt idx="8">
                  <c:v>0.61587925026720924</c:v>
                </c:pt>
                <c:pt idx="9">
                  <c:v>0.30701129652557885</c:v>
                </c:pt>
                <c:pt idx="10">
                  <c:v>0.31720684862269438</c:v>
                </c:pt>
                <c:pt idx="11">
                  <c:v>0.2181233736415123</c:v>
                </c:pt>
              </c:numCache>
            </c:numRef>
          </c:val>
          <c:extLst xmlns:c16r2="http://schemas.microsoft.com/office/drawing/2015/06/chart">
            <c:ext xmlns:c16="http://schemas.microsoft.com/office/drawing/2014/chart" uri="{C3380CC4-5D6E-409C-BE32-E72D297353CC}">
              <c16:uniqueId val="{00000000-BFE9-4AA7-B7CC-630316466794}"/>
            </c:ext>
          </c:extLst>
        </c:ser>
        <c:ser>
          <c:idx val="1"/>
          <c:order val="1"/>
          <c:tx>
            <c:strRef>
              <c:f>'Структура доходов'!$A$72</c:f>
              <c:strCache>
                <c:ptCount val="1"/>
                <c:pt idx="0">
                  <c:v>Дотация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доходов'!$B$72:$M$72</c:f>
              <c:numCache>
                <c:formatCode>0%</c:formatCode>
                <c:ptCount val="12"/>
                <c:pt idx="0">
                  <c:v>0.17325228902780973</c:v>
                </c:pt>
                <c:pt idx="1">
                  <c:v>0.39030643800956338</c:v>
                </c:pt>
                <c:pt idx="2">
                  <c:v>0.57852228537241956</c:v>
                </c:pt>
                <c:pt idx="3">
                  <c:v>0.48433619101033581</c:v>
                </c:pt>
                <c:pt idx="4">
                  <c:v>0.61737913310847137</c:v>
                </c:pt>
                <c:pt idx="5">
                  <c:v>0.5744055815661433</c:v>
                </c:pt>
                <c:pt idx="6">
                  <c:v>0.54811170272516907</c:v>
                </c:pt>
                <c:pt idx="7">
                  <c:v>0.1553619985483248</c:v>
                </c:pt>
                <c:pt idx="8">
                  <c:v>0.38412074973280069</c:v>
                </c:pt>
                <c:pt idx="9">
                  <c:v>0.36257354794175595</c:v>
                </c:pt>
                <c:pt idx="10">
                  <c:v>0.61177975739196844</c:v>
                </c:pt>
                <c:pt idx="11">
                  <c:v>0.61704314360062162</c:v>
                </c:pt>
              </c:numCache>
            </c:numRef>
          </c:val>
          <c:extLst xmlns:c16r2="http://schemas.microsoft.com/office/drawing/2015/06/chart">
            <c:ext xmlns:c16="http://schemas.microsoft.com/office/drawing/2014/chart" uri="{C3380CC4-5D6E-409C-BE32-E72D297353CC}">
              <c16:uniqueId val="{00000001-BFE9-4AA7-B7CC-630316466794}"/>
            </c:ext>
          </c:extLst>
        </c:ser>
        <c:ser>
          <c:idx val="2"/>
          <c:order val="2"/>
          <c:tx>
            <c:strRef>
              <c:f>'Структура доходов'!$A$73</c:f>
              <c:strCache>
                <c:ptCount val="1"/>
                <c:pt idx="0">
                  <c:v>Иные межбюд.транс.</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доходов'!$B$73:$M$73</c:f>
              <c:numCache>
                <c:formatCode>0%</c:formatCode>
                <c:ptCount val="12"/>
                <c:pt idx="0">
                  <c:v>1.4066357857785167E-2</c:v>
                </c:pt>
                <c:pt idx="1">
                  <c:v>0.30782119763846405</c:v>
                </c:pt>
                <c:pt idx="2">
                  <c:v>5.6523581613321404E-2</c:v>
                </c:pt>
                <c:pt idx="3">
                  <c:v>0.15936223059050086</c:v>
                </c:pt>
                <c:pt idx="4">
                  <c:v>6.9996099217549887E-2</c:v>
                </c:pt>
                <c:pt idx="5">
                  <c:v>5.4702561277884913E-2</c:v>
                </c:pt>
                <c:pt idx="6">
                  <c:v>0.26786637011076286</c:v>
                </c:pt>
                <c:pt idx="7">
                  <c:v>0</c:v>
                </c:pt>
                <c:pt idx="8">
                  <c:v>0</c:v>
                </c:pt>
                <c:pt idx="9">
                  <c:v>0.33041515553267164</c:v>
                </c:pt>
                <c:pt idx="10">
                  <c:v>7.1013393985342524E-2</c:v>
                </c:pt>
                <c:pt idx="11">
                  <c:v>0.16483348275786883</c:v>
                </c:pt>
              </c:numCache>
            </c:numRef>
          </c:val>
          <c:extLst xmlns:c16r2="http://schemas.microsoft.com/office/drawing/2015/06/chart">
            <c:ext xmlns:c16="http://schemas.microsoft.com/office/drawing/2014/chart" uri="{C3380CC4-5D6E-409C-BE32-E72D297353CC}">
              <c16:uniqueId val="{00000002-BFE9-4AA7-B7CC-630316466794}"/>
            </c:ext>
          </c:extLst>
        </c:ser>
        <c:shape val="box"/>
        <c:axId val="190141568"/>
        <c:axId val="190143104"/>
        <c:axId val="0"/>
      </c:bar3DChart>
      <c:catAx>
        <c:axId val="190141568"/>
        <c:scaling>
          <c:orientation val="minMax"/>
        </c:scaling>
        <c:axPos val="b"/>
        <c:numFmt formatCode="General" sourceLinked="0"/>
        <c:tickLblPos val="nextTo"/>
        <c:crossAx val="190143104"/>
        <c:crosses val="autoZero"/>
        <c:auto val="1"/>
        <c:lblAlgn val="ctr"/>
        <c:lblOffset val="100"/>
      </c:catAx>
      <c:valAx>
        <c:axId val="190143104"/>
        <c:scaling>
          <c:orientation val="minMax"/>
        </c:scaling>
        <c:axPos val="l"/>
        <c:majorGridlines/>
        <c:numFmt formatCode="0%" sourceLinked="1"/>
        <c:tickLblPos val="nextTo"/>
        <c:crossAx val="190141568"/>
        <c:crosses val="autoZero"/>
        <c:crossBetween val="between"/>
      </c:valAx>
    </c:plotArea>
    <c:legend>
      <c:legendPos val="b"/>
    </c:legend>
    <c:plotVisOnly val="1"/>
    <c:dispBlanksAs val="gap"/>
  </c:chart>
  <c:spPr>
    <a:ln>
      <a:noFill/>
    </a:ln>
  </c:spPr>
  <c:externalData r:id="rId1"/>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Лист9!$C$2</c:f>
              <c:strCache>
                <c:ptCount val="1"/>
                <c:pt idx="0">
                  <c:v>доходы</c:v>
                </c:pt>
              </c:strCache>
            </c:strRef>
          </c:tx>
          <c:spPr>
            <a:noFill/>
          </c:spPr>
          <c:cat>
            <c:strRef>
              <c:f>Лист9!$B$3:$B$9</c:f>
              <c:strCache>
                <c:ptCount val="7"/>
                <c:pt idx="0">
                  <c:v>2010 год</c:v>
                </c:pt>
                <c:pt idx="1">
                  <c:v>2011 год</c:v>
                </c:pt>
                <c:pt idx="2">
                  <c:v>2012 год</c:v>
                </c:pt>
                <c:pt idx="3">
                  <c:v>2013 год</c:v>
                </c:pt>
                <c:pt idx="4">
                  <c:v>2014 год</c:v>
                </c:pt>
                <c:pt idx="5">
                  <c:v>2015 год</c:v>
                </c:pt>
                <c:pt idx="6">
                  <c:v>2016 год</c:v>
                </c:pt>
              </c:strCache>
            </c:strRef>
          </c:cat>
          <c:val>
            <c:numRef>
              <c:f>Лист9!$C$3:$C$9</c:f>
              <c:numCache>
                <c:formatCode>General</c:formatCode>
                <c:ptCount val="7"/>
                <c:pt idx="0">
                  <c:v>18586</c:v>
                </c:pt>
                <c:pt idx="1">
                  <c:v>18379.900000000001</c:v>
                </c:pt>
                <c:pt idx="2">
                  <c:v>29798.400000000001</c:v>
                </c:pt>
                <c:pt idx="3">
                  <c:v>31091.1</c:v>
                </c:pt>
                <c:pt idx="4">
                  <c:v>42536.9</c:v>
                </c:pt>
                <c:pt idx="5">
                  <c:v>30146.7</c:v>
                </c:pt>
                <c:pt idx="6">
                  <c:v>32360.899999999896</c:v>
                </c:pt>
              </c:numCache>
            </c:numRef>
          </c:val>
          <c:extLst xmlns:c16r2="http://schemas.microsoft.com/office/drawing/2015/06/chart">
            <c:ext xmlns:c16="http://schemas.microsoft.com/office/drawing/2014/chart" uri="{C3380CC4-5D6E-409C-BE32-E72D297353CC}">
              <c16:uniqueId val="{00000000-F7E8-4EFB-B8FF-92E33DBE87AE}"/>
            </c:ext>
          </c:extLst>
        </c:ser>
        <c:ser>
          <c:idx val="1"/>
          <c:order val="1"/>
          <c:tx>
            <c:strRef>
              <c:f>Лист9!$E$2</c:f>
              <c:strCache>
                <c:ptCount val="1"/>
                <c:pt idx="0">
                  <c:v>Дефицит/профицит</c:v>
                </c:pt>
              </c:strCache>
            </c:strRef>
          </c:tx>
          <c:spPr>
            <a:blipFill dpi="0" rotWithShape="1">
              <a:blip xmlns:r="http://schemas.openxmlformats.org/officeDocument/2006/relationships" r:embed="rId1"/>
              <a:srcRect/>
              <a:tile tx="0" ty="0" sx="100000" sy="100000" flip="none" algn="tl"/>
            </a:blipFill>
          </c:spPr>
          <c:dLbls>
            <c:dLbl>
              <c:idx val="6"/>
              <c:layout>
                <c:manualLayout>
                  <c:x val="2.9442691903259741E-2"/>
                  <c:y val="-3.06513409961686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7E8-4EFB-B8FF-92E33DBE87AE}"/>
                </c:ext>
              </c:extLst>
            </c:dLbl>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Лист9!$B$3:$B$9</c:f>
              <c:strCache>
                <c:ptCount val="7"/>
                <c:pt idx="0">
                  <c:v>2010 год</c:v>
                </c:pt>
                <c:pt idx="1">
                  <c:v>2011 год</c:v>
                </c:pt>
                <c:pt idx="2">
                  <c:v>2012 год</c:v>
                </c:pt>
                <c:pt idx="3">
                  <c:v>2013 год</c:v>
                </c:pt>
                <c:pt idx="4">
                  <c:v>2014 год</c:v>
                </c:pt>
                <c:pt idx="5">
                  <c:v>2015 год</c:v>
                </c:pt>
                <c:pt idx="6">
                  <c:v>2016 год</c:v>
                </c:pt>
              </c:strCache>
            </c:strRef>
          </c:cat>
          <c:val>
            <c:numRef>
              <c:f>Лист9!$E$3:$E$9</c:f>
              <c:numCache>
                <c:formatCode>General</c:formatCode>
                <c:ptCount val="7"/>
                <c:pt idx="0">
                  <c:v>-2473.5</c:v>
                </c:pt>
                <c:pt idx="1">
                  <c:v>-1067.6000000000022</c:v>
                </c:pt>
                <c:pt idx="2">
                  <c:v>3033.7999999999947</c:v>
                </c:pt>
                <c:pt idx="3">
                  <c:v>2019.0999999999979</c:v>
                </c:pt>
                <c:pt idx="4">
                  <c:v>-5165.1000000000004</c:v>
                </c:pt>
                <c:pt idx="5">
                  <c:v>4225.2000000000007</c:v>
                </c:pt>
                <c:pt idx="6">
                  <c:v>-38.399999999997817</c:v>
                </c:pt>
              </c:numCache>
            </c:numRef>
          </c:val>
          <c:extLst xmlns:c16r2="http://schemas.microsoft.com/office/drawing/2015/06/chart">
            <c:ext xmlns:c16="http://schemas.microsoft.com/office/drawing/2014/chart" uri="{C3380CC4-5D6E-409C-BE32-E72D297353CC}">
              <c16:uniqueId val="{00000002-F7E8-4EFB-B8FF-92E33DBE87AE}"/>
            </c:ext>
          </c:extLst>
        </c:ser>
        <c:axId val="190208256"/>
        <c:axId val="190226432"/>
      </c:areaChart>
      <c:lineChart>
        <c:grouping val="standard"/>
        <c:ser>
          <c:idx val="2"/>
          <c:order val="2"/>
          <c:tx>
            <c:strRef>
              <c:f>Лист9!$C$2</c:f>
              <c:strCache>
                <c:ptCount val="1"/>
                <c:pt idx="0">
                  <c:v>доходы</c:v>
                </c:pt>
              </c:strCache>
            </c:strRef>
          </c:tx>
          <c:cat>
            <c:strRef>
              <c:f>Лист9!$B$3:$B$9</c:f>
              <c:strCache>
                <c:ptCount val="7"/>
                <c:pt idx="0">
                  <c:v>2010 год</c:v>
                </c:pt>
                <c:pt idx="1">
                  <c:v>2011 год</c:v>
                </c:pt>
                <c:pt idx="2">
                  <c:v>2012 год</c:v>
                </c:pt>
                <c:pt idx="3">
                  <c:v>2013 год</c:v>
                </c:pt>
                <c:pt idx="4">
                  <c:v>2014 год</c:v>
                </c:pt>
                <c:pt idx="5">
                  <c:v>2015 год</c:v>
                </c:pt>
                <c:pt idx="6">
                  <c:v>2016 год</c:v>
                </c:pt>
              </c:strCache>
            </c:strRef>
          </c:cat>
          <c:val>
            <c:numRef>
              <c:f>Лист9!$C$3:$C$9</c:f>
              <c:numCache>
                <c:formatCode>General</c:formatCode>
                <c:ptCount val="7"/>
                <c:pt idx="0">
                  <c:v>18586</c:v>
                </c:pt>
                <c:pt idx="1">
                  <c:v>18379.900000000001</c:v>
                </c:pt>
                <c:pt idx="2">
                  <c:v>29798.400000000001</c:v>
                </c:pt>
                <c:pt idx="3">
                  <c:v>31091.1</c:v>
                </c:pt>
                <c:pt idx="4">
                  <c:v>42536.9</c:v>
                </c:pt>
                <c:pt idx="5">
                  <c:v>30146.7</c:v>
                </c:pt>
                <c:pt idx="6">
                  <c:v>32360.899999999896</c:v>
                </c:pt>
              </c:numCache>
            </c:numRef>
          </c:val>
          <c:extLst xmlns:c16r2="http://schemas.microsoft.com/office/drawing/2015/06/chart">
            <c:ext xmlns:c16="http://schemas.microsoft.com/office/drawing/2014/chart" uri="{C3380CC4-5D6E-409C-BE32-E72D297353CC}">
              <c16:uniqueId val="{00000003-F7E8-4EFB-B8FF-92E33DBE87AE}"/>
            </c:ext>
          </c:extLst>
        </c:ser>
        <c:ser>
          <c:idx val="3"/>
          <c:order val="3"/>
          <c:tx>
            <c:strRef>
              <c:f>Лист9!$D$2</c:f>
              <c:strCache>
                <c:ptCount val="1"/>
                <c:pt idx="0">
                  <c:v>расходы</c:v>
                </c:pt>
              </c:strCache>
            </c:strRef>
          </c:tx>
          <c:cat>
            <c:strRef>
              <c:f>Лист9!$B$3:$B$9</c:f>
              <c:strCache>
                <c:ptCount val="7"/>
                <c:pt idx="0">
                  <c:v>2010 год</c:v>
                </c:pt>
                <c:pt idx="1">
                  <c:v>2011 год</c:v>
                </c:pt>
                <c:pt idx="2">
                  <c:v>2012 год</c:v>
                </c:pt>
                <c:pt idx="3">
                  <c:v>2013 год</c:v>
                </c:pt>
                <c:pt idx="4">
                  <c:v>2014 год</c:v>
                </c:pt>
                <c:pt idx="5">
                  <c:v>2015 год</c:v>
                </c:pt>
                <c:pt idx="6">
                  <c:v>2016 год</c:v>
                </c:pt>
              </c:strCache>
            </c:strRef>
          </c:cat>
          <c:val>
            <c:numRef>
              <c:f>Лист9!$D$3:$D$9</c:f>
              <c:numCache>
                <c:formatCode>General</c:formatCode>
                <c:ptCount val="7"/>
                <c:pt idx="0">
                  <c:v>16112.5</c:v>
                </c:pt>
                <c:pt idx="1">
                  <c:v>17312.3</c:v>
                </c:pt>
                <c:pt idx="2">
                  <c:v>32832.199999999997</c:v>
                </c:pt>
                <c:pt idx="3">
                  <c:v>33110.199999999997</c:v>
                </c:pt>
                <c:pt idx="4">
                  <c:v>37371.800000000003</c:v>
                </c:pt>
                <c:pt idx="5">
                  <c:v>34371.9</c:v>
                </c:pt>
                <c:pt idx="6">
                  <c:v>32322.5</c:v>
                </c:pt>
              </c:numCache>
            </c:numRef>
          </c:val>
          <c:extLst xmlns:c16r2="http://schemas.microsoft.com/office/drawing/2015/06/chart">
            <c:ext xmlns:c16="http://schemas.microsoft.com/office/drawing/2014/chart" uri="{C3380CC4-5D6E-409C-BE32-E72D297353CC}">
              <c16:uniqueId val="{00000004-F7E8-4EFB-B8FF-92E33DBE87AE}"/>
            </c:ext>
          </c:extLst>
        </c:ser>
        <c:marker val="1"/>
        <c:axId val="190208256"/>
        <c:axId val="190226432"/>
      </c:lineChart>
      <c:catAx>
        <c:axId val="190208256"/>
        <c:scaling>
          <c:orientation val="minMax"/>
        </c:scaling>
        <c:axPos val="b"/>
        <c:numFmt formatCode="General" sourceLinked="0"/>
        <c:tickLblPos val="nextTo"/>
        <c:crossAx val="190226432"/>
        <c:crosses val="autoZero"/>
        <c:auto val="1"/>
        <c:lblAlgn val="ctr"/>
        <c:lblOffset val="100"/>
      </c:catAx>
      <c:valAx>
        <c:axId val="190226432"/>
        <c:scaling>
          <c:orientation val="minMax"/>
        </c:scaling>
        <c:axPos val="l"/>
        <c:majorGridlines/>
        <c:numFmt formatCode="General" sourceLinked="1"/>
        <c:tickLblPos val="nextTo"/>
        <c:crossAx val="190208256"/>
        <c:crosses val="autoZero"/>
        <c:crossBetween val="between"/>
      </c:valAx>
    </c:plotArea>
    <c:legend>
      <c:legendPos val="b"/>
      <c:legendEntry>
        <c:idx val="0"/>
        <c:delete val="1"/>
      </c:legendEntry>
    </c:legend>
    <c:plotVisOnly val="1"/>
    <c:dispBlanksAs val="zero"/>
  </c:chart>
  <c:spPr>
    <a:ln>
      <a:noFill/>
    </a:ln>
  </c:spPr>
  <c:externalData r:id="rId2"/>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Лист9!$C$10</c:f>
              <c:strCache>
                <c:ptCount val="1"/>
                <c:pt idx="0">
                  <c:v>доходы</c:v>
                </c:pt>
              </c:strCache>
            </c:strRef>
          </c:tx>
          <c:spPr>
            <a:noFill/>
          </c:spPr>
          <c:cat>
            <c:strRef>
              <c:f>Лист9!$B$11:$B$17</c:f>
              <c:strCache>
                <c:ptCount val="7"/>
                <c:pt idx="0">
                  <c:v>2010 год</c:v>
                </c:pt>
                <c:pt idx="1">
                  <c:v>2011 год</c:v>
                </c:pt>
                <c:pt idx="2">
                  <c:v>2012 год</c:v>
                </c:pt>
                <c:pt idx="3">
                  <c:v>2013 год</c:v>
                </c:pt>
                <c:pt idx="4">
                  <c:v>2014 год</c:v>
                </c:pt>
                <c:pt idx="5">
                  <c:v>2015 год</c:v>
                </c:pt>
                <c:pt idx="6">
                  <c:v>2016 год</c:v>
                </c:pt>
              </c:strCache>
            </c:strRef>
          </c:cat>
          <c:val>
            <c:numRef>
              <c:f>Лист9!$C$11:$C$17</c:f>
              <c:numCache>
                <c:formatCode>General</c:formatCode>
                <c:ptCount val="7"/>
                <c:pt idx="0">
                  <c:v>6488</c:v>
                </c:pt>
                <c:pt idx="1">
                  <c:v>6899.2999999999993</c:v>
                </c:pt>
                <c:pt idx="2">
                  <c:v>7373.2000000000007</c:v>
                </c:pt>
                <c:pt idx="3">
                  <c:v>8478.7000000000007</c:v>
                </c:pt>
                <c:pt idx="4">
                  <c:v>7622.6000000000013</c:v>
                </c:pt>
                <c:pt idx="5">
                  <c:v>7870.4</c:v>
                </c:pt>
                <c:pt idx="6">
                  <c:v>8892.5</c:v>
                </c:pt>
              </c:numCache>
            </c:numRef>
          </c:val>
          <c:extLst xmlns:c16r2="http://schemas.microsoft.com/office/drawing/2015/06/chart">
            <c:ext xmlns:c16="http://schemas.microsoft.com/office/drawing/2014/chart" uri="{C3380CC4-5D6E-409C-BE32-E72D297353CC}">
              <c16:uniqueId val="{00000000-B5B7-414F-A997-70DDD45AD40D}"/>
            </c:ext>
          </c:extLst>
        </c:ser>
        <c:ser>
          <c:idx val="1"/>
          <c:order val="1"/>
          <c:tx>
            <c:strRef>
              <c:f>Лист9!$E$10</c:f>
              <c:strCache>
                <c:ptCount val="1"/>
                <c:pt idx="0">
                  <c:v>Дефицит/профицит</c:v>
                </c:pt>
              </c:strCache>
            </c:strRef>
          </c:tx>
          <c:spPr>
            <a:blipFill>
              <a:blip xmlns:r="http://schemas.openxmlformats.org/officeDocument/2006/relationships" r:embed="rId1"/>
              <a:tile tx="0" ty="0" sx="100000" sy="100000" flip="none" algn="tl"/>
            </a:blipFill>
            <a:ln>
              <a:noFill/>
            </a:ln>
          </c:spPr>
          <c:dLbls>
            <c:dLbl>
              <c:idx val="0"/>
              <c:layout>
                <c:manualLayout>
                  <c:x val="-2.5477707006369994E-2"/>
                  <c:y val="1.129943502824858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5B7-414F-A997-70DDD45AD40D}"/>
                </c:ext>
              </c:extLst>
            </c:dLbl>
            <c:dLbl>
              <c:idx val="5"/>
              <c:layout>
                <c:manualLayout>
                  <c:x val="1.4861995753715523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5B7-414F-A997-70DDD45AD40D}"/>
                </c:ext>
              </c:extLst>
            </c:dLbl>
            <c:dLbl>
              <c:idx val="6"/>
              <c:layout>
                <c:manualLayout>
                  <c:x val="2.5477707006369994E-2"/>
                  <c:y val="-4.89642184557439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5B7-414F-A997-70DDD45AD40D}"/>
                </c:ext>
              </c:extLst>
            </c:dLbl>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Лист9!$B$11:$B$17</c:f>
              <c:strCache>
                <c:ptCount val="7"/>
                <c:pt idx="0">
                  <c:v>2010 год</c:v>
                </c:pt>
                <c:pt idx="1">
                  <c:v>2011 год</c:v>
                </c:pt>
                <c:pt idx="2">
                  <c:v>2012 год</c:v>
                </c:pt>
                <c:pt idx="3">
                  <c:v>2013 год</c:v>
                </c:pt>
                <c:pt idx="4">
                  <c:v>2014 год</c:v>
                </c:pt>
                <c:pt idx="5">
                  <c:v>2015 год</c:v>
                </c:pt>
                <c:pt idx="6">
                  <c:v>2016 год</c:v>
                </c:pt>
              </c:strCache>
            </c:strRef>
          </c:cat>
          <c:val>
            <c:numRef>
              <c:f>Лист9!$E$11:$E$17</c:f>
              <c:numCache>
                <c:formatCode>General</c:formatCode>
                <c:ptCount val="7"/>
                <c:pt idx="0">
                  <c:v>-275.69999999999965</c:v>
                </c:pt>
                <c:pt idx="1">
                  <c:v>-410.09999999999923</c:v>
                </c:pt>
                <c:pt idx="2">
                  <c:v>-591.10000000000059</c:v>
                </c:pt>
                <c:pt idx="3">
                  <c:v>-151.90000000000146</c:v>
                </c:pt>
                <c:pt idx="4">
                  <c:v>-673.7999999999995</c:v>
                </c:pt>
                <c:pt idx="5">
                  <c:v>-81.599999999999497</c:v>
                </c:pt>
                <c:pt idx="6">
                  <c:v>-91.899999999999636</c:v>
                </c:pt>
              </c:numCache>
            </c:numRef>
          </c:val>
          <c:extLst xmlns:c16r2="http://schemas.microsoft.com/office/drawing/2015/06/chart">
            <c:ext xmlns:c16="http://schemas.microsoft.com/office/drawing/2014/chart" uri="{C3380CC4-5D6E-409C-BE32-E72D297353CC}">
              <c16:uniqueId val="{00000004-B5B7-414F-A997-70DDD45AD40D}"/>
            </c:ext>
          </c:extLst>
        </c:ser>
        <c:axId val="190270080"/>
        <c:axId val="190296448"/>
      </c:areaChart>
      <c:lineChart>
        <c:grouping val="standard"/>
        <c:ser>
          <c:idx val="2"/>
          <c:order val="2"/>
          <c:tx>
            <c:strRef>
              <c:f>Лист9!$C$10</c:f>
              <c:strCache>
                <c:ptCount val="1"/>
                <c:pt idx="0">
                  <c:v>доходы</c:v>
                </c:pt>
              </c:strCache>
            </c:strRef>
          </c:tx>
          <c:cat>
            <c:strRef>
              <c:f>Лист9!$B$11:$B$17</c:f>
              <c:strCache>
                <c:ptCount val="7"/>
                <c:pt idx="0">
                  <c:v>2010 год</c:v>
                </c:pt>
                <c:pt idx="1">
                  <c:v>2011 год</c:v>
                </c:pt>
                <c:pt idx="2">
                  <c:v>2012 год</c:v>
                </c:pt>
                <c:pt idx="3">
                  <c:v>2013 год</c:v>
                </c:pt>
                <c:pt idx="4">
                  <c:v>2014 год</c:v>
                </c:pt>
                <c:pt idx="5">
                  <c:v>2015 год</c:v>
                </c:pt>
                <c:pt idx="6">
                  <c:v>2016 год</c:v>
                </c:pt>
              </c:strCache>
            </c:strRef>
          </c:cat>
          <c:val>
            <c:numRef>
              <c:f>Лист9!$C$11:$C$17</c:f>
              <c:numCache>
                <c:formatCode>General</c:formatCode>
                <c:ptCount val="7"/>
                <c:pt idx="0">
                  <c:v>6488</c:v>
                </c:pt>
                <c:pt idx="1">
                  <c:v>6899.2999999999993</c:v>
                </c:pt>
                <c:pt idx="2">
                  <c:v>7373.2000000000007</c:v>
                </c:pt>
                <c:pt idx="3">
                  <c:v>8478.7000000000007</c:v>
                </c:pt>
                <c:pt idx="4">
                  <c:v>7622.6000000000013</c:v>
                </c:pt>
                <c:pt idx="5">
                  <c:v>7870.4</c:v>
                </c:pt>
                <c:pt idx="6">
                  <c:v>8892.5</c:v>
                </c:pt>
              </c:numCache>
            </c:numRef>
          </c:val>
          <c:extLst xmlns:c16r2="http://schemas.microsoft.com/office/drawing/2015/06/chart">
            <c:ext xmlns:c16="http://schemas.microsoft.com/office/drawing/2014/chart" uri="{C3380CC4-5D6E-409C-BE32-E72D297353CC}">
              <c16:uniqueId val="{00000005-B5B7-414F-A997-70DDD45AD40D}"/>
            </c:ext>
          </c:extLst>
        </c:ser>
        <c:ser>
          <c:idx val="3"/>
          <c:order val="3"/>
          <c:tx>
            <c:strRef>
              <c:f>Лист9!$D$10</c:f>
              <c:strCache>
                <c:ptCount val="1"/>
                <c:pt idx="0">
                  <c:v>расходы</c:v>
                </c:pt>
              </c:strCache>
            </c:strRef>
          </c:tx>
          <c:cat>
            <c:strRef>
              <c:f>Лист9!$B$11:$B$17</c:f>
              <c:strCache>
                <c:ptCount val="7"/>
                <c:pt idx="0">
                  <c:v>2010 год</c:v>
                </c:pt>
                <c:pt idx="1">
                  <c:v>2011 год</c:v>
                </c:pt>
                <c:pt idx="2">
                  <c:v>2012 год</c:v>
                </c:pt>
                <c:pt idx="3">
                  <c:v>2013 год</c:v>
                </c:pt>
                <c:pt idx="4">
                  <c:v>2014 год</c:v>
                </c:pt>
                <c:pt idx="5">
                  <c:v>2015 год</c:v>
                </c:pt>
                <c:pt idx="6">
                  <c:v>2016 год</c:v>
                </c:pt>
              </c:strCache>
            </c:strRef>
          </c:cat>
          <c:val>
            <c:numRef>
              <c:f>Лист9!$D$11:$D$17</c:f>
              <c:numCache>
                <c:formatCode>General</c:formatCode>
                <c:ptCount val="7"/>
                <c:pt idx="0">
                  <c:v>6212.3</c:v>
                </c:pt>
                <c:pt idx="1">
                  <c:v>6489.2</c:v>
                </c:pt>
                <c:pt idx="2">
                  <c:v>6782.1</c:v>
                </c:pt>
                <c:pt idx="3">
                  <c:v>8326.7999999999811</c:v>
                </c:pt>
                <c:pt idx="4">
                  <c:v>6948.8</c:v>
                </c:pt>
                <c:pt idx="5">
                  <c:v>7788.8</c:v>
                </c:pt>
                <c:pt idx="6">
                  <c:v>8800.6</c:v>
                </c:pt>
              </c:numCache>
            </c:numRef>
          </c:val>
          <c:extLst xmlns:c16r2="http://schemas.microsoft.com/office/drawing/2015/06/chart">
            <c:ext xmlns:c16="http://schemas.microsoft.com/office/drawing/2014/chart" uri="{C3380CC4-5D6E-409C-BE32-E72D297353CC}">
              <c16:uniqueId val="{00000006-B5B7-414F-A997-70DDD45AD40D}"/>
            </c:ext>
          </c:extLst>
        </c:ser>
        <c:marker val="1"/>
        <c:axId val="190270080"/>
        <c:axId val="190296448"/>
      </c:lineChart>
      <c:catAx>
        <c:axId val="190270080"/>
        <c:scaling>
          <c:orientation val="minMax"/>
        </c:scaling>
        <c:axPos val="b"/>
        <c:numFmt formatCode="General" sourceLinked="0"/>
        <c:tickLblPos val="nextTo"/>
        <c:crossAx val="190296448"/>
        <c:crosses val="autoZero"/>
        <c:auto val="1"/>
        <c:lblAlgn val="ctr"/>
        <c:lblOffset val="100"/>
      </c:catAx>
      <c:valAx>
        <c:axId val="190296448"/>
        <c:scaling>
          <c:orientation val="minMax"/>
        </c:scaling>
        <c:axPos val="l"/>
        <c:majorGridlines/>
        <c:numFmt formatCode="General" sourceLinked="1"/>
        <c:tickLblPos val="nextTo"/>
        <c:crossAx val="190270080"/>
        <c:crosses val="autoZero"/>
        <c:crossBetween val="between"/>
      </c:valAx>
    </c:plotArea>
    <c:legend>
      <c:legendPos val="b"/>
      <c:legendEntry>
        <c:idx val="0"/>
        <c:delete val="1"/>
      </c:legendEntry>
    </c:legend>
    <c:plotVisOnly val="1"/>
    <c:dispBlanksAs val="zero"/>
  </c:chart>
  <c:spPr>
    <a:ln>
      <a:noFill/>
    </a:ln>
  </c:spPr>
  <c:externalData r:id="rId2"/>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Лист9!$C$18</c:f>
              <c:strCache>
                <c:ptCount val="1"/>
                <c:pt idx="0">
                  <c:v>доходы</c:v>
                </c:pt>
              </c:strCache>
            </c:strRef>
          </c:tx>
          <c:spPr>
            <a:noFill/>
          </c:spPr>
          <c:cat>
            <c:strRef>
              <c:f>Лист9!$B$19:$B$25</c:f>
              <c:strCache>
                <c:ptCount val="7"/>
                <c:pt idx="0">
                  <c:v>2010 год</c:v>
                </c:pt>
                <c:pt idx="1">
                  <c:v>2011 год</c:v>
                </c:pt>
                <c:pt idx="2">
                  <c:v>2012 год</c:v>
                </c:pt>
                <c:pt idx="3">
                  <c:v>2013 год</c:v>
                </c:pt>
                <c:pt idx="4">
                  <c:v>2014 год</c:v>
                </c:pt>
                <c:pt idx="5">
                  <c:v>2015 год</c:v>
                </c:pt>
                <c:pt idx="6">
                  <c:v>2016 год</c:v>
                </c:pt>
              </c:strCache>
            </c:strRef>
          </c:cat>
          <c:val>
            <c:numRef>
              <c:f>Лист9!$C$19:$C$25</c:f>
              <c:numCache>
                <c:formatCode>General</c:formatCode>
                <c:ptCount val="7"/>
                <c:pt idx="0">
                  <c:v>5669</c:v>
                </c:pt>
                <c:pt idx="1">
                  <c:v>5245.8</c:v>
                </c:pt>
                <c:pt idx="2">
                  <c:v>5646.2000000000007</c:v>
                </c:pt>
                <c:pt idx="3">
                  <c:v>6738.1</c:v>
                </c:pt>
                <c:pt idx="4">
                  <c:v>6504.7000000000007</c:v>
                </c:pt>
                <c:pt idx="5">
                  <c:v>7611.4000000000005</c:v>
                </c:pt>
                <c:pt idx="6">
                  <c:v>8023.2000000000007</c:v>
                </c:pt>
              </c:numCache>
            </c:numRef>
          </c:val>
          <c:extLst xmlns:c16r2="http://schemas.microsoft.com/office/drawing/2015/06/chart">
            <c:ext xmlns:c16="http://schemas.microsoft.com/office/drawing/2014/chart" uri="{C3380CC4-5D6E-409C-BE32-E72D297353CC}">
              <c16:uniqueId val="{00000000-EF7F-4139-AC75-3C717A004FE8}"/>
            </c:ext>
          </c:extLst>
        </c:ser>
        <c:ser>
          <c:idx val="1"/>
          <c:order val="1"/>
          <c:tx>
            <c:strRef>
              <c:f>Лист9!$E$18</c:f>
              <c:strCache>
                <c:ptCount val="1"/>
                <c:pt idx="0">
                  <c:v>Дефицит/профицит</c:v>
                </c:pt>
              </c:strCache>
            </c:strRef>
          </c:tx>
          <c:spPr>
            <a:blipFill>
              <a:blip xmlns:r="http://schemas.openxmlformats.org/officeDocument/2006/relationships" r:embed="rId1"/>
              <a:tile tx="0" ty="0" sx="100000" sy="100000" flip="none" algn="tl"/>
            </a:blipFill>
          </c:spPr>
          <c:dLbls>
            <c:dLbl>
              <c:idx val="3"/>
              <c:layout>
                <c:manualLayout>
                  <c:x val="-2.1164021164021165E-3"/>
                  <c:y val="1.388888888888906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F7F-4139-AC75-3C717A004FE8}"/>
                </c:ext>
              </c:extLst>
            </c:dLbl>
            <c:dLbl>
              <c:idx val="4"/>
              <c:layout>
                <c:manualLayout>
                  <c:x val="4.2328042328042331E-3"/>
                  <c:y val="2.31481481481481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F7F-4139-AC75-3C717A004FE8}"/>
                </c:ext>
              </c:extLst>
            </c:dLbl>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Лист9!$B$19:$B$25</c:f>
              <c:strCache>
                <c:ptCount val="7"/>
                <c:pt idx="0">
                  <c:v>2010 год</c:v>
                </c:pt>
                <c:pt idx="1">
                  <c:v>2011 год</c:v>
                </c:pt>
                <c:pt idx="2">
                  <c:v>2012 год</c:v>
                </c:pt>
                <c:pt idx="3">
                  <c:v>2013 год</c:v>
                </c:pt>
                <c:pt idx="4">
                  <c:v>2014 год</c:v>
                </c:pt>
                <c:pt idx="5">
                  <c:v>2015 год</c:v>
                </c:pt>
                <c:pt idx="6">
                  <c:v>2016 год</c:v>
                </c:pt>
              </c:strCache>
            </c:strRef>
          </c:cat>
          <c:val>
            <c:numRef>
              <c:f>Лист9!$E$19:$E$25</c:f>
              <c:numCache>
                <c:formatCode>General</c:formatCode>
                <c:ptCount val="7"/>
                <c:pt idx="0">
                  <c:v>-430.30000000000018</c:v>
                </c:pt>
                <c:pt idx="1">
                  <c:v>-681.10000000000059</c:v>
                </c:pt>
                <c:pt idx="2">
                  <c:v>-6.8000000000010905</c:v>
                </c:pt>
                <c:pt idx="3">
                  <c:v>-108.30000000000018</c:v>
                </c:pt>
                <c:pt idx="4">
                  <c:v>-58.100000000000364</c:v>
                </c:pt>
                <c:pt idx="5">
                  <c:v>-973.60000000000059</c:v>
                </c:pt>
                <c:pt idx="6">
                  <c:v>-327.50000000000091</c:v>
                </c:pt>
              </c:numCache>
            </c:numRef>
          </c:val>
          <c:extLst xmlns:c16r2="http://schemas.microsoft.com/office/drawing/2015/06/chart">
            <c:ext xmlns:c16="http://schemas.microsoft.com/office/drawing/2014/chart" uri="{C3380CC4-5D6E-409C-BE32-E72D297353CC}">
              <c16:uniqueId val="{00000003-EF7F-4139-AC75-3C717A004FE8}"/>
            </c:ext>
          </c:extLst>
        </c:ser>
        <c:axId val="190331904"/>
        <c:axId val="190341888"/>
      </c:areaChart>
      <c:lineChart>
        <c:grouping val="standard"/>
        <c:ser>
          <c:idx val="2"/>
          <c:order val="2"/>
          <c:tx>
            <c:strRef>
              <c:f>Лист9!$C$18</c:f>
              <c:strCache>
                <c:ptCount val="1"/>
                <c:pt idx="0">
                  <c:v>доходы</c:v>
                </c:pt>
              </c:strCache>
            </c:strRef>
          </c:tx>
          <c:cat>
            <c:strRef>
              <c:f>Лист9!$B$19:$B$25</c:f>
              <c:strCache>
                <c:ptCount val="7"/>
                <c:pt idx="0">
                  <c:v>2010 год</c:v>
                </c:pt>
                <c:pt idx="1">
                  <c:v>2011 год</c:v>
                </c:pt>
                <c:pt idx="2">
                  <c:v>2012 год</c:v>
                </c:pt>
                <c:pt idx="3">
                  <c:v>2013 год</c:v>
                </c:pt>
                <c:pt idx="4">
                  <c:v>2014 год</c:v>
                </c:pt>
                <c:pt idx="5">
                  <c:v>2015 год</c:v>
                </c:pt>
                <c:pt idx="6">
                  <c:v>2016 год</c:v>
                </c:pt>
              </c:strCache>
            </c:strRef>
          </c:cat>
          <c:val>
            <c:numRef>
              <c:f>Лист9!$C$19:$C$25</c:f>
              <c:numCache>
                <c:formatCode>General</c:formatCode>
                <c:ptCount val="7"/>
                <c:pt idx="0">
                  <c:v>5669</c:v>
                </c:pt>
                <c:pt idx="1">
                  <c:v>5245.8</c:v>
                </c:pt>
                <c:pt idx="2">
                  <c:v>5646.2000000000007</c:v>
                </c:pt>
                <c:pt idx="3">
                  <c:v>6738.1</c:v>
                </c:pt>
                <c:pt idx="4">
                  <c:v>6504.7000000000007</c:v>
                </c:pt>
                <c:pt idx="5">
                  <c:v>7611.4000000000005</c:v>
                </c:pt>
                <c:pt idx="6">
                  <c:v>8023.2000000000007</c:v>
                </c:pt>
              </c:numCache>
            </c:numRef>
          </c:val>
          <c:extLst xmlns:c16r2="http://schemas.microsoft.com/office/drawing/2015/06/chart">
            <c:ext xmlns:c16="http://schemas.microsoft.com/office/drawing/2014/chart" uri="{C3380CC4-5D6E-409C-BE32-E72D297353CC}">
              <c16:uniqueId val="{00000004-EF7F-4139-AC75-3C717A004FE8}"/>
            </c:ext>
          </c:extLst>
        </c:ser>
        <c:ser>
          <c:idx val="3"/>
          <c:order val="3"/>
          <c:tx>
            <c:strRef>
              <c:f>Лист9!$D$18</c:f>
              <c:strCache>
                <c:ptCount val="1"/>
                <c:pt idx="0">
                  <c:v>расходы</c:v>
                </c:pt>
              </c:strCache>
            </c:strRef>
          </c:tx>
          <c:cat>
            <c:strRef>
              <c:f>Лист9!$B$19:$B$25</c:f>
              <c:strCache>
                <c:ptCount val="7"/>
                <c:pt idx="0">
                  <c:v>2010 год</c:v>
                </c:pt>
                <c:pt idx="1">
                  <c:v>2011 год</c:v>
                </c:pt>
                <c:pt idx="2">
                  <c:v>2012 год</c:v>
                </c:pt>
                <c:pt idx="3">
                  <c:v>2013 год</c:v>
                </c:pt>
                <c:pt idx="4">
                  <c:v>2014 год</c:v>
                </c:pt>
                <c:pt idx="5">
                  <c:v>2015 год</c:v>
                </c:pt>
                <c:pt idx="6">
                  <c:v>2016 год</c:v>
                </c:pt>
              </c:strCache>
            </c:strRef>
          </c:cat>
          <c:val>
            <c:numRef>
              <c:f>Лист9!$D$19:$D$25</c:f>
              <c:numCache>
                <c:formatCode>General</c:formatCode>
                <c:ptCount val="7"/>
                <c:pt idx="0">
                  <c:v>5238.7</c:v>
                </c:pt>
                <c:pt idx="1">
                  <c:v>4564.7</c:v>
                </c:pt>
                <c:pt idx="2">
                  <c:v>5639.4</c:v>
                </c:pt>
                <c:pt idx="3">
                  <c:v>6629.8</c:v>
                </c:pt>
                <c:pt idx="4">
                  <c:v>6446.6</c:v>
                </c:pt>
                <c:pt idx="5">
                  <c:v>6637.8</c:v>
                </c:pt>
                <c:pt idx="6">
                  <c:v>7695.7</c:v>
                </c:pt>
              </c:numCache>
            </c:numRef>
          </c:val>
          <c:extLst xmlns:c16r2="http://schemas.microsoft.com/office/drawing/2015/06/chart">
            <c:ext xmlns:c16="http://schemas.microsoft.com/office/drawing/2014/chart" uri="{C3380CC4-5D6E-409C-BE32-E72D297353CC}">
              <c16:uniqueId val="{00000005-EF7F-4139-AC75-3C717A004FE8}"/>
            </c:ext>
          </c:extLst>
        </c:ser>
        <c:marker val="1"/>
        <c:axId val="190331904"/>
        <c:axId val="190341888"/>
      </c:lineChart>
      <c:catAx>
        <c:axId val="190331904"/>
        <c:scaling>
          <c:orientation val="minMax"/>
        </c:scaling>
        <c:axPos val="b"/>
        <c:numFmt formatCode="General" sourceLinked="0"/>
        <c:tickLblPos val="nextTo"/>
        <c:crossAx val="190341888"/>
        <c:crosses val="autoZero"/>
        <c:auto val="1"/>
        <c:lblAlgn val="ctr"/>
        <c:lblOffset val="100"/>
      </c:catAx>
      <c:valAx>
        <c:axId val="190341888"/>
        <c:scaling>
          <c:orientation val="minMax"/>
        </c:scaling>
        <c:axPos val="l"/>
        <c:majorGridlines/>
        <c:numFmt formatCode="General" sourceLinked="1"/>
        <c:tickLblPos val="nextTo"/>
        <c:crossAx val="190331904"/>
        <c:crosses val="autoZero"/>
        <c:crossBetween val="between"/>
      </c:valAx>
    </c:plotArea>
    <c:legend>
      <c:legendPos val="b"/>
      <c:legendEntry>
        <c:idx val="0"/>
        <c:delete val="1"/>
      </c:legendEntry>
    </c:legend>
    <c:plotVisOnly val="1"/>
    <c:dispBlanksAs val="zero"/>
  </c:chart>
  <c:spPr>
    <a:ln>
      <a:noFill/>
    </a:ln>
  </c:spPr>
  <c:externalData r:id="rId2"/>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Лист9!$C$26</c:f>
              <c:strCache>
                <c:ptCount val="1"/>
                <c:pt idx="0">
                  <c:v>доходы</c:v>
                </c:pt>
              </c:strCache>
            </c:strRef>
          </c:tx>
          <c:spPr>
            <a:noFill/>
          </c:spPr>
          <c:cat>
            <c:strRef>
              <c:f>Лист9!$B$27:$B$33</c:f>
              <c:strCache>
                <c:ptCount val="7"/>
                <c:pt idx="0">
                  <c:v>2010 год</c:v>
                </c:pt>
                <c:pt idx="1">
                  <c:v>2011 год</c:v>
                </c:pt>
                <c:pt idx="2">
                  <c:v>2012 год</c:v>
                </c:pt>
                <c:pt idx="3">
                  <c:v>2013 год</c:v>
                </c:pt>
                <c:pt idx="4">
                  <c:v>2014 год</c:v>
                </c:pt>
                <c:pt idx="5">
                  <c:v>2015 год</c:v>
                </c:pt>
                <c:pt idx="6">
                  <c:v>2016 год</c:v>
                </c:pt>
              </c:strCache>
            </c:strRef>
          </c:cat>
          <c:val>
            <c:numRef>
              <c:f>Лист9!$C$27:$C$33</c:f>
              <c:numCache>
                <c:formatCode>General</c:formatCode>
                <c:ptCount val="7"/>
                <c:pt idx="0">
                  <c:v>3501</c:v>
                </c:pt>
                <c:pt idx="1">
                  <c:v>3941.6</c:v>
                </c:pt>
                <c:pt idx="2">
                  <c:v>9490.7000000000007</c:v>
                </c:pt>
                <c:pt idx="3">
                  <c:v>5174.1000000000004</c:v>
                </c:pt>
                <c:pt idx="4">
                  <c:v>5422.4</c:v>
                </c:pt>
                <c:pt idx="5">
                  <c:v>4857.8</c:v>
                </c:pt>
                <c:pt idx="6">
                  <c:v>4992.4000000000005</c:v>
                </c:pt>
              </c:numCache>
            </c:numRef>
          </c:val>
          <c:extLst xmlns:c16r2="http://schemas.microsoft.com/office/drawing/2015/06/chart">
            <c:ext xmlns:c16="http://schemas.microsoft.com/office/drawing/2014/chart" uri="{C3380CC4-5D6E-409C-BE32-E72D297353CC}">
              <c16:uniqueId val="{00000000-0AB5-4C95-BBAC-9F11AE651B0F}"/>
            </c:ext>
          </c:extLst>
        </c:ser>
        <c:ser>
          <c:idx val="1"/>
          <c:order val="1"/>
          <c:tx>
            <c:strRef>
              <c:f>Лист9!$E$26</c:f>
              <c:strCache>
                <c:ptCount val="1"/>
                <c:pt idx="0">
                  <c:v>Дефицит/профицит</c:v>
                </c:pt>
              </c:strCache>
            </c:strRef>
          </c:tx>
          <c:spPr>
            <a:blipFill>
              <a:blip xmlns:r="http://schemas.openxmlformats.org/officeDocument/2006/relationships" r:embed="rId1"/>
              <a:tile tx="0" ty="0" sx="100000" sy="100000" flip="none" algn="tl"/>
            </a:blipFill>
          </c:spPr>
          <c:dLbls>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Лист9!$B$27:$B$33</c:f>
              <c:strCache>
                <c:ptCount val="7"/>
                <c:pt idx="0">
                  <c:v>2010 год</c:v>
                </c:pt>
                <c:pt idx="1">
                  <c:v>2011 год</c:v>
                </c:pt>
                <c:pt idx="2">
                  <c:v>2012 год</c:v>
                </c:pt>
                <c:pt idx="3">
                  <c:v>2013 год</c:v>
                </c:pt>
                <c:pt idx="4">
                  <c:v>2014 год</c:v>
                </c:pt>
                <c:pt idx="5">
                  <c:v>2015 год</c:v>
                </c:pt>
                <c:pt idx="6">
                  <c:v>2016 год</c:v>
                </c:pt>
              </c:strCache>
            </c:strRef>
          </c:cat>
          <c:val>
            <c:numRef>
              <c:f>Лист9!$E$27:$E$33</c:f>
              <c:numCache>
                <c:formatCode>General</c:formatCode>
                <c:ptCount val="7"/>
                <c:pt idx="0">
                  <c:v>-37.600000000000009</c:v>
                </c:pt>
                <c:pt idx="1">
                  <c:v>-129.29999999999973</c:v>
                </c:pt>
                <c:pt idx="2">
                  <c:v>-64.800000000001049</c:v>
                </c:pt>
                <c:pt idx="3">
                  <c:v>-97.60000000000035</c:v>
                </c:pt>
                <c:pt idx="4">
                  <c:v>-304.09999999999923</c:v>
                </c:pt>
                <c:pt idx="5">
                  <c:v>-29</c:v>
                </c:pt>
                <c:pt idx="6">
                  <c:v>456.19999999999965</c:v>
                </c:pt>
              </c:numCache>
            </c:numRef>
          </c:val>
          <c:extLst xmlns:c16r2="http://schemas.microsoft.com/office/drawing/2015/06/chart">
            <c:ext xmlns:c16="http://schemas.microsoft.com/office/drawing/2014/chart" uri="{C3380CC4-5D6E-409C-BE32-E72D297353CC}">
              <c16:uniqueId val="{00000001-0AB5-4C95-BBAC-9F11AE651B0F}"/>
            </c:ext>
          </c:extLst>
        </c:ser>
        <c:axId val="190401920"/>
        <c:axId val="190416000"/>
      </c:areaChart>
      <c:lineChart>
        <c:grouping val="standard"/>
        <c:ser>
          <c:idx val="2"/>
          <c:order val="2"/>
          <c:tx>
            <c:strRef>
              <c:f>Лист9!$C$26</c:f>
              <c:strCache>
                <c:ptCount val="1"/>
                <c:pt idx="0">
                  <c:v>доходы</c:v>
                </c:pt>
              </c:strCache>
            </c:strRef>
          </c:tx>
          <c:cat>
            <c:strRef>
              <c:f>Лист9!$B$27:$B$33</c:f>
              <c:strCache>
                <c:ptCount val="7"/>
                <c:pt idx="0">
                  <c:v>2010 год</c:v>
                </c:pt>
                <c:pt idx="1">
                  <c:v>2011 год</c:v>
                </c:pt>
                <c:pt idx="2">
                  <c:v>2012 год</c:v>
                </c:pt>
                <c:pt idx="3">
                  <c:v>2013 год</c:v>
                </c:pt>
                <c:pt idx="4">
                  <c:v>2014 год</c:v>
                </c:pt>
                <c:pt idx="5">
                  <c:v>2015 год</c:v>
                </c:pt>
                <c:pt idx="6">
                  <c:v>2016 год</c:v>
                </c:pt>
              </c:strCache>
            </c:strRef>
          </c:cat>
          <c:val>
            <c:numRef>
              <c:f>Лист9!$C$27:$C$33</c:f>
              <c:numCache>
                <c:formatCode>General</c:formatCode>
                <c:ptCount val="7"/>
                <c:pt idx="0">
                  <c:v>3501</c:v>
                </c:pt>
                <c:pt idx="1">
                  <c:v>3941.6</c:v>
                </c:pt>
                <c:pt idx="2">
                  <c:v>9490.7000000000007</c:v>
                </c:pt>
                <c:pt idx="3">
                  <c:v>5174.1000000000004</c:v>
                </c:pt>
                <c:pt idx="4">
                  <c:v>5422.4</c:v>
                </c:pt>
                <c:pt idx="5">
                  <c:v>4857.8</c:v>
                </c:pt>
                <c:pt idx="6">
                  <c:v>4992.4000000000005</c:v>
                </c:pt>
              </c:numCache>
            </c:numRef>
          </c:val>
          <c:extLst xmlns:c16r2="http://schemas.microsoft.com/office/drawing/2015/06/chart">
            <c:ext xmlns:c16="http://schemas.microsoft.com/office/drawing/2014/chart" uri="{C3380CC4-5D6E-409C-BE32-E72D297353CC}">
              <c16:uniqueId val="{00000002-0AB5-4C95-BBAC-9F11AE651B0F}"/>
            </c:ext>
          </c:extLst>
        </c:ser>
        <c:ser>
          <c:idx val="3"/>
          <c:order val="3"/>
          <c:tx>
            <c:strRef>
              <c:f>Лист9!$D$26</c:f>
              <c:strCache>
                <c:ptCount val="1"/>
                <c:pt idx="0">
                  <c:v>расходы</c:v>
                </c:pt>
              </c:strCache>
            </c:strRef>
          </c:tx>
          <c:cat>
            <c:strRef>
              <c:f>Лист9!$B$27:$B$33</c:f>
              <c:strCache>
                <c:ptCount val="7"/>
                <c:pt idx="0">
                  <c:v>2010 год</c:v>
                </c:pt>
                <c:pt idx="1">
                  <c:v>2011 год</c:v>
                </c:pt>
                <c:pt idx="2">
                  <c:v>2012 год</c:v>
                </c:pt>
                <c:pt idx="3">
                  <c:v>2013 год</c:v>
                </c:pt>
                <c:pt idx="4">
                  <c:v>2014 год</c:v>
                </c:pt>
                <c:pt idx="5">
                  <c:v>2015 год</c:v>
                </c:pt>
                <c:pt idx="6">
                  <c:v>2016 год</c:v>
                </c:pt>
              </c:strCache>
            </c:strRef>
          </c:cat>
          <c:val>
            <c:numRef>
              <c:f>Лист9!$D$27:$D$33</c:f>
              <c:numCache>
                <c:formatCode>General</c:formatCode>
                <c:ptCount val="7"/>
                <c:pt idx="0">
                  <c:v>3463.4</c:v>
                </c:pt>
                <c:pt idx="1">
                  <c:v>3812.3</c:v>
                </c:pt>
                <c:pt idx="2">
                  <c:v>9425.9</c:v>
                </c:pt>
                <c:pt idx="3">
                  <c:v>5076.5</c:v>
                </c:pt>
                <c:pt idx="4">
                  <c:v>5118.3</c:v>
                </c:pt>
                <c:pt idx="5">
                  <c:v>4828.8</c:v>
                </c:pt>
                <c:pt idx="6">
                  <c:v>5448.6</c:v>
                </c:pt>
              </c:numCache>
            </c:numRef>
          </c:val>
          <c:extLst xmlns:c16r2="http://schemas.microsoft.com/office/drawing/2015/06/chart">
            <c:ext xmlns:c16="http://schemas.microsoft.com/office/drawing/2014/chart" uri="{C3380CC4-5D6E-409C-BE32-E72D297353CC}">
              <c16:uniqueId val="{00000003-0AB5-4C95-BBAC-9F11AE651B0F}"/>
            </c:ext>
          </c:extLst>
        </c:ser>
        <c:marker val="1"/>
        <c:axId val="190401920"/>
        <c:axId val="190416000"/>
      </c:lineChart>
      <c:catAx>
        <c:axId val="190401920"/>
        <c:scaling>
          <c:orientation val="minMax"/>
        </c:scaling>
        <c:axPos val="b"/>
        <c:numFmt formatCode="General" sourceLinked="0"/>
        <c:tickLblPos val="nextTo"/>
        <c:crossAx val="190416000"/>
        <c:crosses val="autoZero"/>
        <c:auto val="1"/>
        <c:lblAlgn val="ctr"/>
        <c:lblOffset val="100"/>
      </c:catAx>
      <c:valAx>
        <c:axId val="190416000"/>
        <c:scaling>
          <c:orientation val="minMax"/>
        </c:scaling>
        <c:axPos val="l"/>
        <c:majorGridlines/>
        <c:numFmt formatCode="General" sourceLinked="1"/>
        <c:tickLblPos val="nextTo"/>
        <c:crossAx val="190401920"/>
        <c:crosses val="autoZero"/>
        <c:crossBetween val="between"/>
      </c:valAx>
    </c:plotArea>
    <c:legend>
      <c:legendPos val="b"/>
      <c:legendEntry>
        <c:idx val="0"/>
        <c:delete val="1"/>
      </c:legendEntry>
    </c:legend>
    <c:plotVisOnly val="1"/>
    <c:dispBlanksAs val="zero"/>
  </c:chart>
  <c:spPr>
    <a:ln>
      <a:noFill/>
    </a:ln>
  </c:spPr>
  <c:externalData r:id="rId2"/>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Лист9!$C$34</c:f>
              <c:strCache>
                <c:ptCount val="1"/>
                <c:pt idx="0">
                  <c:v>доходы</c:v>
                </c:pt>
              </c:strCache>
            </c:strRef>
          </c:tx>
          <c:spPr>
            <a:noFill/>
          </c:spPr>
          <c:cat>
            <c:strRef>
              <c:f>Лист9!$B$35:$B$41</c:f>
              <c:strCache>
                <c:ptCount val="7"/>
                <c:pt idx="0">
                  <c:v>2010 год</c:v>
                </c:pt>
                <c:pt idx="1">
                  <c:v>2011 год</c:v>
                </c:pt>
                <c:pt idx="2">
                  <c:v>2012 год</c:v>
                </c:pt>
                <c:pt idx="3">
                  <c:v>2013 год</c:v>
                </c:pt>
                <c:pt idx="4">
                  <c:v>2014 год</c:v>
                </c:pt>
                <c:pt idx="5">
                  <c:v>2015 год</c:v>
                </c:pt>
                <c:pt idx="6">
                  <c:v>2016 год</c:v>
                </c:pt>
              </c:strCache>
            </c:strRef>
          </c:cat>
          <c:val>
            <c:numRef>
              <c:f>Лист9!$C$35:$C$41</c:f>
              <c:numCache>
                <c:formatCode>General</c:formatCode>
                <c:ptCount val="7"/>
                <c:pt idx="0">
                  <c:v>5541</c:v>
                </c:pt>
                <c:pt idx="1">
                  <c:v>5836.8</c:v>
                </c:pt>
                <c:pt idx="2">
                  <c:v>7454.7000000000007</c:v>
                </c:pt>
                <c:pt idx="3">
                  <c:v>7467.1000000000013</c:v>
                </c:pt>
                <c:pt idx="4">
                  <c:v>5392.7</c:v>
                </c:pt>
                <c:pt idx="5">
                  <c:v>7463.7999999999993</c:v>
                </c:pt>
                <c:pt idx="6">
                  <c:v>8716.2000000000007</c:v>
                </c:pt>
              </c:numCache>
            </c:numRef>
          </c:val>
          <c:extLst xmlns:c16r2="http://schemas.microsoft.com/office/drawing/2015/06/chart">
            <c:ext xmlns:c16="http://schemas.microsoft.com/office/drawing/2014/chart" uri="{C3380CC4-5D6E-409C-BE32-E72D297353CC}">
              <c16:uniqueId val="{00000000-AA40-4860-B56C-8750706BF518}"/>
            </c:ext>
          </c:extLst>
        </c:ser>
        <c:ser>
          <c:idx val="1"/>
          <c:order val="1"/>
          <c:tx>
            <c:strRef>
              <c:f>Лист9!$E$34</c:f>
              <c:strCache>
                <c:ptCount val="1"/>
                <c:pt idx="0">
                  <c:v>Дефицит/профицит</c:v>
                </c:pt>
              </c:strCache>
            </c:strRef>
          </c:tx>
          <c:spPr>
            <a:blipFill>
              <a:blip xmlns:r="http://schemas.openxmlformats.org/officeDocument/2006/relationships" r:embed="rId1"/>
              <a:tile tx="0" ty="0" sx="100000" sy="100000" flip="none" algn="tl"/>
            </a:blipFill>
          </c:spPr>
          <c:dLbls>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Лист9!$B$35:$B$41</c:f>
              <c:strCache>
                <c:ptCount val="7"/>
                <c:pt idx="0">
                  <c:v>2010 год</c:v>
                </c:pt>
                <c:pt idx="1">
                  <c:v>2011 год</c:v>
                </c:pt>
                <c:pt idx="2">
                  <c:v>2012 год</c:v>
                </c:pt>
                <c:pt idx="3">
                  <c:v>2013 год</c:v>
                </c:pt>
                <c:pt idx="4">
                  <c:v>2014 год</c:v>
                </c:pt>
                <c:pt idx="5">
                  <c:v>2015 год</c:v>
                </c:pt>
                <c:pt idx="6">
                  <c:v>2016 год</c:v>
                </c:pt>
              </c:strCache>
            </c:strRef>
          </c:cat>
          <c:val>
            <c:numRef>
              <c:f>Лист9!$E$35:$E$41</c:f>
              <c:numCache>
                <c:formatCode>General</c:formatCode>
                <c:ptCount val="7"/>
                <c:pt idx="0">
                  <c:v>-42.100000000000364</c:v>
                </c:pt>
                <c:pt idx="1">
                  <c:v>-280.80000000000018</c:v>
                </c:pt>
                <c:pt idx="2">
                  <c:v>-508.90000000000055</c:v>
                </c:pt>
                <c:pt idx="3">
                  <c:v>419.90000000000055</c:v>
                </c:pt>
                <c:pt idx="4">
                  <c:v>19.100000000000364</c:v>
                </c:pt>
                <c:pt idx="5">
                  <c:v>-200.59999999999945</c:v>
                </c:pt>
                <c:pt idx="6">
                  <c:v>-47.700000000000763</c:v>
                </c:pt>
              </c:numCache>
            </c:numRef>
          </c:val>
          <c:extLst xmlns:c16r2="http://schemas.microsoft.com/office/drawing/2015/06/chart">
            <c:ext xmlns:c16="http://schemas.microsoft.com/office/drawing/2014/chart" uri="{C3380CC4-5D6E-409C-BE32-E72D297353CC}">
              <c16:uniqueId val="{00000001-AA40-4860-B56C-8750706BF518}"/>
            </c:ext>
          </c:extLst>
        </c:ser>
        <c:axId val="190455808"/>
        <c:axId val="190457344"/>
      </c:areaChart>
      <c:lineChart>
        <c:grouping val="standard"/>
        <c:ser>
          <c:idx val="2"/>
          <c:order val="2"/>
          <c:tx>
            <c:strRef>
              <c:f>Лист9!$C$34</c:f>
              <c:strCache>
                <c:ptCount val="1"/>
                <c:pt idx="0">
                  <c:v>доходы</c:v>
                </c:pt>
              </c:strCache>
            </c:strRef>
          </c:tx>
          <c:cat>
            <c:strRef>
              <c:f>Лист9!$B$35:$B$41</c:f>
              <c:strCache>
                <c:ptCount val="7"/>
                <c:pt idx="0">
                  <c:v>2010 год</c:v>
                </c:pt>
                <c:pt idx="1">
                  <c:v>2011 год</c:v>
                </c:pt>
                <c:pt idx="2">
                  <c:v>2012 год</c:v>
                </c:pt>
                <c:pt idx="3">
                  <c:v>2013 год</c:v>
                </c:pt>
                <c:pt idx="4">
                  <c:v>2014 год</c:v>
                </c:pt>
                <c:pt idx="5">
                  <c:v>2015 год</c:v>
                </c:pt>
                <c:pt idx="6">
                  <c:v>2016 год</c:v>
                </c:pt>
              </c:strCache>
            </c:strRef>
          </c:cat>
          <c:val>
            <c:numRef>
              <c:f>Лист9!$C$35:$C$41</c:f>
              <c:numCache>
                <c:formatCode>General</c:formatCode>
                <c:ptCount val="7"/>
                <c:pt idx="0">
                  <c:v>5541</c:v>
                </c:pt>
                <c:pt idx="1">
                  <c:v>5836.8</c:v>
                </c:pt>
                <c:pt idx="2">
                  <c:v>7454.7000000000007</c:v>
                </c:pt>
                <c:pt idx="3">
                  <c:v>7467.1000000000013</c:v>
                </c:pt>
                <c:pt idx="4">
                  <c:v>5392.7</c:v>
                </c:pt>
                <c:pt idx="5">
                  <c:v>7463.7999999999993</c:v>
                </c:pt>
                <c:pt idx="6">
                  <c:v>8716.2000000000007</c:v>
                </c:pt>
              </c:numCache>
            </c:numRef>
          </c:val>
          <c:extLst xmlns:c16r2="http://schemas.microsoft.com/office/drawing/2015/06/chart">
            <c:ext xmlns:c16="http://schemas.microsoft.com/office/drawing/2014/chart" uri="{C3380CC4-5D6E-409C-BE32-E72D297353CC}">
              <c16:uniqueId val="{00000002-AA40-4860-B56C-8750706BF518}"/>
            </c:ext>
          </c:extLst>
        </c:ser>
        <c:ser>
          <c:idx val="3"/>
          <c:order val="3"/>
          <c:tx>
            <c:strRef>
              <c:f>Лист9!$D$34</c:f>
              <c:strCache>
                <c:ptCount val="1"/>
                <c:pt idx="0">
                  <c:v>расходы</c:v>
                </c:pt>
              </c:strCache>
            </c:strRef>
          </c:tx>
          <c:cat>
            <c:strRef>
              <c:f>Лист9!$B$35:$B$41</c:f>
              <c:strCache>
                <c:ptCount val="7"/>
                <c:pt idx="0">
                  <c:v>2010 год</c:v>
                </c:pt>
                <c:pt idx="1">
                  <c:v>2011 год</c:v>
                </c:pt>
                <c:pt idx="2">
                  <c:v>2012 год</c:v>
                </c:pt>
                <c:pt idx="3">
                  <c:v>2013 год</c:v>
                </c:pt>
                <c:pt idx="4">
                  <c:v>2014 год</c:v>
                </c:pt>
                <c:pt idx="5">
                  <c:v>2015 год</c:v>
                </c:pt>
                <c:pt idx="6">
                  <c:v>2016 год</c:v>
                </c:pt>
              </c:strCache>
            </c:strRef>
          </c:cat>
          <c:val>
            <c:numRef>
              <c:f>Лист9!$D$35:$D$41</c:f>
              <c:numCache>
                <c:formatCode>General</c:formatCode>
                <c:ptCount val="7"/>
                <c:pt idx="0">
                  <c:v>5498.9</c:v>
                </c:pt>
                <c:pt idx="1">
                  <c:v>5556</c:v>
                </c:pt>
                <c:pt idx="2">
                  <c:v>6945.8</c:v>
                </c:pt>
                <c:pt idx="3">
                  <c:v>7887</c:v>
                </c:pt>
                <c:pt idx="4">
                  <c:v>5411.8</c:v>
                </c:pt>
                <c:pt idx="5">
                  <c:v>7263.2</c:v>
                </c:pt>
                <c:pt idx="6">
                  <c:v>8668.5</c:v>
                </c:pt>
              </c:numCache>
            </c:numRef>
          </c:val>
          <c:extLst xmlns:c16r2="http://schemas.microsoft.com/office/drawing/2015/06/chart">
            <c:ext xmlns:c16="http://schemas.microsoft.com/office/drawing/2014/chart" uri="{C3380CC4-5D6E-409C-BE32-E72D297353CC}">
              <c16:uniqueId val="{00000003-AA40-4860-B56C-8750706BF518}"/>
            </c:ext>
          </c:extLst>
        </c:ser>
        <c:marker val="1"/>
        <c:axId val="190455808"/>
        <c:axId val="190457344"/>
      </c:lineChart>
      <c:catAx>
        <c:axId val="190455808"/>
        <c:scaling>
          <c:orientation val="minMax"/>
        </c:scaling>
        <c:axPos val="b"/>
        <c:numFmt formatCode="General" sourceLinked="0"/>
        <c:tickLblPos val="nextTo"/>
        <c:crossAx val="190457344"/>
        <c:crosses val="autoZero"/>
        <c:auto val="1"/>
        <c:lblAlgn val="ctr"/>
        <c:lblOffset val="100"/>
      </c:catAx>
      <c:valAx>
        <c:axId val="190457344"/>
        <c:scaling>
          <c:orientation val="minMax"/>
        </c:scaling>
        <c:axPos val="l"/>
        <c:majorGridlines/>
        <c:numFmt formatCode="General" sourceLinked="1"/>
        <c:tickLblPos val="nextTo"/>
        <c:crossAx val="190455808"/>
        <c:crosses val="autoZero"/>
        <c:crossBetween val="between"/>
      </c:valAx>
    </c:plotArea>
    <c:legend>
      <c:legendPos val="b"/>
      <c:legendEntry>
        <c:idx val="0"/>
        <c:delete val="1"/>
      </c:legendEntry>
    </c:legend>
    <c:plotVisOnly val="1"/>
    <c:dispBlanksAs val="zero"/>
  </c:chart>
  <c:spPr>
    <a:ln>
      <a:noFill/>
    </a:ln>
  </c:spPr>
  <c:externalData r:id="rId2"/>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Лист9!$C$34</c:f>
              <c:strCache>
                <c:ptCount val="1"/>
                <c:pt idx="0">
                  <c:v>доходы</c:v>
                </c:pt>
              </c:strCache>
            </c:strRef>
          </c:tx>
          <c:spPr>
            <a:noFill/>
          </c:spPr>
          <c:cat>
            <c:strRef>
              <c:f>Лист9!$B$35:$B$41</c:f>
              <c:strCache>
                <c:ptCount val="7"/>
                <c:pt idx="0">
                  <c:v>2010 год</c:v>
                </c:pt>
                <c:pt idx="1">
                  <c:v>2011 год</c:v>
                </c:pt>
                <c:pt idx="2">
                  <c:v>2012 год</c:v>
                </c:pt>
                <c:pt idx="3">
                  <c:v>2013 год</c:v>
                </c:pt>
                <c:pt idx="4">
                  <c:v>2014 год</c:v>
                </c:pt>
                <c:pt idx="5">
                  <c:v>2015 год</c:v>
                </c:pt>
                <c:pt idx="6">
                  <c:v>2016 год</c:v>
                </c:pt>
              </c:strCache>
            </c:strRef>
          </c:cat>
          <c:val>
            <c:numRef>
              <c:f>Лист9!$C$35:$C$41</c:f>
              <c:numCache>
                <c:formatCode>General</c:formatCode>
                <c:ptCount val="7"/>
                <c:pt idx="0">
                  <c:v>5541</c:v>
                </c:pt>
                <c:pt idx="1">
                  <c:v>5836.8</c:v>
                </c:pt>
                <c:pt idx="2">
                  <c:v>7454.7000000000007</c:v>
                </c:pt>
                <c:pt idx="3">
                  <c:v>7467.1000000000013</c:v>
                </c:pt>
                <c:pt idx="4">
                  <c:v>5392.7</c:v>
                </c:pt>
                <c:pt idx="5">
                  <c:v>7463.7999999999993</c:v>
                </c:pt>
                <c:pt idx="6">
                  <c:v>8716.2000000000007</c:v>
                </c:pt>
              </c:numCache>
            </c:numRef>
          </c:val>
          <c:extLst xmlns:c16r2="http://schemas.microsoft.com/office/drawing/2015/06/chart">
            <c:ext xmlns:c16="http://schemas.microsoft.com/office/drawing/2014/chart" uri="{C3380CC4-5D6E-409C-BE32-E72D297353CC}">
              <c16:uniqueId val="{00000000-B2E3-4A13-B87F-27B264CD9FCA}"/>
            </c:ext>
          </c:extLst>
        </c:ser>
        <c:ser>
          <c:idx val="1"/>
          <c:order val="1"/>
          <c:tx>
            <c:strRef>
              <c:f>Лист9!$E$34</c:f>
              <c:strCache>
                <c:ptCount val="1"/>
                <c:pt idx="0">
                  <c:v>Дефицит/профицит</c:v>
                </c:pt>
              </c:strCache>
            </c:strRef>
          </c:tx>
          <c:spPr>
            <a:blipFill>
              <a:blip xmlns:r="http://schemas.openxmlformats.org/officeDocument/2006/relationships" r:embed="rId1"/>
              <a:tile tx="0" ty="0" sx="100000" sy="100000" flip="none" algn="tl"/>
            </a:blipFill>
          </c:spPr>
          <c:dLbls>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Лист9!$B$35:$B$41</c:f>
              <c:strCache>
                <c:ptCount val="7"/>
                <c:pt idx="0">
                  <c:v>2010 год</c:v>
                </c:pt>
                <c:pt idx="1">
                  <c:v>2011 год</c:v>
                </c:pt>
                <c:pt idx="2">
                  <c:v>2012 год</c:v>
                </c:pt>
                <c:pt idx="3">
                  <c:v>2013 год</c:v>
                </c:pt>
                <c:pt idx="4">
                  <c:v>2014 год</c:v>
                </c:pt>
                <c:pt idx="5">
                  <c:v>2015 год</c:v>
                </c:pt>
                <c:pt idx="6">
                  <c:v>2016 год</c:v>
                </c:pt>
              </c:strCache>
            </c:strRef>
          </c:cat>
          <c:val>
            <c:numRef>
              <c:f>Лист9!$E$35:$E$41</c:f>
              <c:numCache>
                <c:formatCode>General</c:formatCode>
                <c:ptCount val="7"/>
                <c:pt idx="0">
                  <c:v>-42.100000000000364</c:v>
                </c:pt>
                <c:pt idx="1">
                  <c:v>-280.80000000000018</c:v>
                </c:pt>
                <c:pt idx="2">
                  <c:v>-508.90000000000055</c:v>
                </c:pt>
                <c:pt idx="3">
                  <c:v>419.90000000000055</c:v>
                </c:pt>
                <c:pt idx="4">
                  <c:v>19.100000000000364</c:v>
                </c:pt>
                <c:pt idx="5">
                  <c:v>-200.59999999999945</c:v>
                </c:pt>
                <c:pt idx="6">
                  <c:v>-47.700000000000763</c:v>
                </c:pt>
              </c:numCache>
            </c:numRef>
          </c:val>
          <c:extLst xmlns:c16r2="http://schemas.microsoft.com/office/drawing/2015/06/chart">
            <c:ext xmlns:c16="http://schemas.microsoft.com/office/drawing/2014/chart" uri="{C3380CC4-5D6E-409C-BE32-E72D297353CC}">
              <c16:uniqueId val="{00000001-B2E3-4A13-B87F-27B264CD9FCA}"/>
            </c:ext>
          </c:extLst>
        </c:ser>
        <c:axId val="190505344"/>
        <c:axId val="190506880"/>
      </c:areaChart>
      <c:lineChart>
        <c:grouping val="standard"/>
        <c:ser>
          <c:idx val="2"/>
          <c:order val="2"/>
          <c:tx>
            <c:strRef>
              <c:f>Лист9!$C$34</c:f>
              <c:strCache>
                <c:ptCount val="1"/>
                <c:pt idx="0">
                  <c:v>доходы</c:v>
                </c:pt>
              </c:strCache>
            </c:strRef>
          </c:tx>
          <c:cat>
            <c:strRef>
              <c:f>Лист9!$B$35:$B$41</c:f>
              <c:strCache>
                <c:ptCount val="7"/>
                <c:pt idx="0">
                  <c:v>2010 год</c:v>
                </c:pt>
                <c:pt idx="1">
                  <c:v>2011 год</c:v>
                </c:pt>
                <c:pt idx="2">
                  <c:v>2012 год</c:v>
                </c:pt>
                <c:pt idx="3">
                  <c:v>2013 год</c:v>
                </c:pt>
                <c:pt idx="4">
                  <c:v>2014 год</c:v>
                </c:pt>
                <c:pt idx="5">
                  <c:v>2015 год</c:v>
                </c:pt>
                <c:pt idx="6">
                  <c:v>2016 год</c:v>
                </c:pt>
              </c:strCache>
            </c:strRef>
          </c:cat>
          <c:val>
            <c:numRef>
              <c:f>Лист9!$C$35:$C$41</c:f>
              <c:numCache>
                <c:formatCode>General</c:formatCode>
                <c:ptCount val="7"/>
                <c:pt idx="0">
                  <c:v>5541</c:v>
                </c:pt>
                <c:pt idx="1">
                  <c:v>5836.8</c:v>
                </c:pt>
                <c:pt idx="2">
                  <c:v>7454.7000000000007</c:v>
                </c:pt>
                <c:pt idx="3">
                  <c:v>7467.1000000000013</c:v>
                </c:pt>
                <c:pt idx="4">
                  <c:v>5392.7</c:v>
                </c:pt>
                <c:pt idx="5">
                  <c:v>7463.7999999999993</c:v>
                </c:pt>
                <c:pt idx="6">
                  <c:v>8716.2000000000007</c:v>
                </c:pt>
              </c:numCache>
            </c:numRef>
          </c:val>
          <c:extLst xmlns:c16r2="http://schemas.microsoft.com/office/drawing/2015/06/chart">
            <c:ext xmlns:c16="http://schemas.microsoft.com/office/drawing/2014/chart" uri="{C3380CC4-5D6E-409C-BE32-E72D297353CC}">
              <c16:uniqueId val="{00000002-B2E3-4A13-B87F-27B264CD9FCA}"/>
            </c:ext>
          </c:extLst>
        </c:ser>
        <c:ser>
          <c:idx val="3"/>
          <c:order val="3"/>
          <c:tx>
            <c:strRef>
              <c:f>Лист9!$D$34</c:f>
              <c:strCache>
                <c:ptCount val="1"/>
                <c:pt idx="0">
                  <c:v>расходы</c:v>
                </c:pt>
              </c:strCache>
            </c:strRef>
          </c:tx>
          <c:cat>
            <c:strRef>
              <c:f>Лист9!$B$35:$B$41</c:f>
              <c:strCache>
                <c:ptCount val="7"/>
                <c:pt idx="0">
                  <c:v>2010 год</c:v>
                </c:pt>
                <c:pt idx="1">
                  <c:v>2011 год</c:v>
                </c:pt>
                <c:pt idx="2">
                  <c:v>2012 год</c:v>
                </c:pt>
                <c:pt idx="3">
                  <c:v>2013 год</c:v>
                </c:pt>
                <c:pt idx="4">
                  <c:v>2014 год</c:v>
                </c:pt>
                <c:pt idx="5">
                  <c:v>2015 год</c:v>
                </c:pt>
                <c:pt idx="6">
                  <c:v>2016 год</c:v>
                </c:pt>
              </c:strCache>
            </c:strRef>
          </c:cat>
          <c:val>
            <c:numRef>
              <c:f>Лист9!$D$35:$D$41</c:f>
              <c:numCache>
                <c:formatCode>General</c:formatCode>
                <c:ptCount val="7"/>
                <c:pt idx="0">
                  <c:v>5498.9</c:v>
                </c:pt>
                <c:pt idx="1">
                  <c:v>5556</c:v>
                </c:pt>
                <c:pt idx="2">
                  <c:v>6945.8</c:v>
                </c:pt>
                <c:pt idx="3">
                  <c:v>7887</c:v>
                </c:pt>
                <c:pt idx="4">
                  <c:v>5411.8</c:v>
                </c:pt>
                <c:pt idx="5">
                  <c:v>7263.2</c:v>
                </c:pt>
                <c:pt idx="6">
                  <c:v>8668.5</c:v>
                </c:pt>
              </c:numCache>
            </c:numRef>
          </c:val>
          <c:extLst xmlns:c16r2="http://schemas.microsoft.com/office/drawing/2015/06/chart">
            <c:ext xmlns:c16="http://schemas.microsoft.com/office/drawing/2014/chart" uri="{C3380CC4-5D6E-409C-BE32-E72D297353CC}">
              <c16:uniqueId val="{00000003-B2E3-4A13-B87F-27B264CD9FCA}"/>
            </c:ext>
          </c:extLst>
        </c:ser>
        <c:marker val="1"/>
        <c:axId val="190505344"/>
        <c:axId val="190506880"/>
      </c:lineChart>
      <c:catAx>
        <c:axId val="190505344"/>
        <c:scaling>
          <c:orientation val="minMax"/>
        </c:scaling>
        <c:axPos val="b"/>
        <c:numFmt formatCode="General" sourceLinked="0"/>
        <c:tickLblPos val="nextTo"/>
        <c:crossAx val="190506880"/>
        <c:crosses val="autoZero"/>
        <c:auto val="1"/>
        <c:lblAlgn val="ctr"/>
        <c:lblOffset val="100"/>
      </c:catAx>
      <c:valAx>
        <c:axId val="190506880"/>
        <c:scaling>
          <c:orientation val="minMax"/>
        </c:scaling>
        <c:axPos val="l"/>
        <c:majorGridlines/>
        <c:numFmt formatCode="General" sourceLinked="1"/>
        <c:tickLblPos val="nextTo"/>
        <c:crossAx val="190505344"/>
        <c:crosses val="autoZero"/>
        <c:crossBetween val="between"/>
      </c:valAx>
    </c:plotArea>
    <c:legend>
      <c:legendPos val="b"/>
      <c:legendEntry>
        <c:idx val="0"/>
        <c:delete val="1"/>
      </c:legendEntry>
    </c:legend>
    <c:plotVisOnly val="1"/>
    <c:dispBlanksAs val="zero"/>
  </c:chart>
  <c:spPr>
    <a:ln>
      <a:noFill/>
    </a:ln>
  </c:spPr>
  <c:externalData r:id="rId2"/>
</c:chartSpace>
</file>

<file path=word/charts/chart97.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Лист9!$C$50</c:f>
              <c:strCache>
                <c:ptCount val="1"/>
                <c:pt idx="0">
                  <c:v>доходы</c:v>
                </c:pt>
              </c:strCache>
            </c:strRef>
          </c:tx>
          <c:spPr>
            <a:noFill/>
          </c:spPr>
          <c:cat>
            <c:strRef>
              <c:f>Лист9!$B$51:$B$57</c:f>
              <c:strCache>
                <c:ptCount val="7"/>
                <c:pt idx="0">
                  <c:v>2010 год</c:v>
                </c:pt>
                <c:pt idx="1">
                  <c:v>2011 год</c:v>
                </c:pt>
                <c:pt idx="2">
                  <c:v>2012 год</c:v>
                </c:pt>
                <c:pt idx="3">
                  <c:v>2013 год</c:v>
                </c:pt>
                <c:pt idx="4">
                  <c:v>2014 год</c:v>
                </c:pt>
                <c:pt idx="5">
                  <c:v>2015 год</c:v>
                </c:pt>
                <c:pt idx="6">
                  <c:v>2016 год</c:v>
                </c:pt>
              </c:strCache>
            </c:strRef>
          </c:cat>
          <c:val>
            <c:numRef>
              <c:f>Лист9!$C$51:$C$57</c:f>
              <c:numCache>
                <c:formatCode>General</c:formatCode>
                <c:ptCount val="7"/>
                <c:pt idx="0">
                  <c:v>4037</c:v>
                </c:pt>
                <c:pt idx="1">
                  <c:v>4186.5</c:v>
                </c:pt>
                <c:pt idx="2">
                  <c:v>5575.3</c:v>
                </c:pt>
                <c:pt idx="3">
                  <c:v>4214.8</c:v>
                </c:pt>
                <c:pt idx="4">
                  <c:v>3944.7999999999997</c:v>
                </c:pt>
                <c:pt idx="5">
                  <c:v>3758.2</c:v>
                </c:pt>
                <c:pt idx="6">
                  <c:v>4451.1000000000013</c:v>
                </c:pt>
              </c:numCache>
            </c:numRef>
          </c:val>
          <c:extLst xmlns:c16r2="http://schemas.microsoft.com/office/drawing/2015/06/chart">
            <c:ext xmlns:c16="http://schemas.microsoft.com/office/drawing/2014/chart" uri="{C3380CC4-5D6E-409C-BE32-E72D297353CC}">
              <c16:uniqueId val="{00000000-48B0-48C9-83C2-6DFD52C4EBB8}"/>
            </c:ext>
          </c:extLst>
        </c:ser>
        <c:ser>
          <c:idx val="1"/>
          <c:order val="1"/>
          <c:tx>
            <c:strRef>
              <c:f>Лист9!$E$50</c:f>
              <c:strCache>
                <c:ptCount val="1"/>
                <c:pt idx="0">
                  <c:v>Дефицит/профицит</c:v>
                </c:pt>
              </c:strCache>
            </c:strRef>
          </c:tx>
          <c:spPr>
            <a:blipFill>
              <a:blip xmlns:r="http://schemas.openxmlformats.org/officeDocument/2006/relationships" r:embed="rId1"/>
              <a:tile tx="0" ty="0" sx="100000" sy="100000" flip="none" algn="tl"/>
            </a:blipFill>
          </c:spPr>
          <c:dLbls>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Лист9!$B$51:$B$57</c:f>
              <c:strCache>
                <c:ptCount val="7"/>
                <c:pt idx="0">
                  <c:v>2010 год</c:v>
                </c:pt>
                <c:pt idx="1">
                  <c:v>2011 год</c:v>
                </c:pt>
                <c:pt idx="2">
                  <c:v>2012 год</c:v>
                </c:pt>
                <c:pt idx="3">
                  <c:v>2013 год</c:v>
                </c:pt>
                <c:pt idx="4">
                  <c:v>2014 год</c:v>
                </c:pt>
                <c:pt idx="5">
                  <c:v>2015 год</c:v>
                </c:pt>
                <c:pt idx="6">
                  <c:v>2016 год</c:v>
                </c:pt>
              </c:strCache>
            </c:strRef>
          </c:cat>
          <c:val>
            <c:numRef>
              <c:f>Лист9!$E$51:$E$57</c:f>
              <c:numCache>
                <c:formatCode>General</c:formatCode>
                <c:ptCount val="7"/>
                <c:pt idx="0">
                  <c:v>-305</c:v>
                </c:pt>
                <c:pt idx="1">
                  <c:v>-121</c:v>
                </c:pt>
                <c:pt idx="2">
                  <c:v>-1639.7000000000003</c:v>
                </c:pt>
                <c:pt idx="3">
                  <c:v>1767.3999999999996</c:v>
                </c:pt>
                <c:pt idx="4">
                  <c:v>66.800000000000182</c:v>
                </c:pt>
                <c:pt idx="5">
                  <c:v>208.5</c:v>
                </c:pt>
                <c:pt idx="6">
                  <c:v>-218.79999999999922</c:v>
                </c:pt>
              </c:numCache>
            </c:numRef>
          </c:val>
          <c:extLst xmlns:c16r2="http://schemas.microsoft.com/office/drawing/2015/06/chart">
            <c:ext xmlns:c16="http://schemas.microsoft.com/office/drawing/2014/chart" uri="{C3380CC4-5D6E-409C-BE32-E72D297353CC}">
              <c16:uniqueId val="{00000001-48B0-48C9-83C2-6DFD52C4EBB8}"/>
            </c:ext>
          </c:extLst>
        </c:ser>
        <c:axId val="190538496"/>
        <c:axId val="190540032"/>
      </c:areaChart>
      <c:lineChart>
        <c:grouping val="standard"/>
        <c:ser>
          <c:idx val="2"/>
          <c:order val="2"/>
          <c:tx>
            <c:strRef>
              <c:f>Лист9!$C$50</c:f>
              <c:strCache>
                <c:ptCount val="1"/>
                <c:pt idx="0">
                  <c:v>доходы</c:v>
                </c:pt>
              </c:strCache>
            </c:strRef>
          </c:tx>
          <c:cat>
            <c:strRef>
              <c:f>Лист9!$B$51:$B$57</c:f>
              <c:strCache>
                <c:ptCount val="7"/>
                <c:pt idx="0">
                  <c:v>2010 год</c:v>
                </c:pt>
                <c:pt idx="1">
                  <c:v>2011 год</c:v>
                </c:pt>
                <c:pt idx="2">
                  <c:v>2012 год</c:v>
                </c:pt>
                <c:pt idx="3">
                  <c:v>2013 год</c:v>
                </c:pt>
                <c:pt idx="4">
                  <c:v>2014 год</c:v>
                </c:pt>
                <c:pt idx="5">
                  <c:v>2015 год</c:v>
                </c:pt>
                <c:pt idx="6">
                  <c:v>2016 год</c:v>
                </c:pt>
              </c:strCache>
            </c:strRef>
          </c:cat>
          <c:val>
            <c:numRef>
              <c:f>Лист9!$C$51:$C$57</c:f>
              <c:numCache>
                <c:formatCode>General</c:formatCode>
                <c:ptCount val="7"/>
                <c:pt idx="0">
                  <c:v>4037</c:v>
                </c:pt>
                <c:pt idx="1">
                  <c:v>4186.5</c:v>
                </c:pt>
                <c:pt idx="2">
                  <c:v>5575.3</c:v>
                </c:pt>
                <c:pt idx="3">
                  <c:v>4214.8</c:v>
                </c:pt>
                <c:pt idx="4">
                  <c:v>3944.7999999999997</c:v>
                </c:pt>
                <c:pt idx="5">
                  <c:v>3758.2</c:v>
                </c:pt>
                <c:pt idx="6">
                  <c:v>4451.1000000000013</c:v>
                </c:pt>
              </c:numCache>
            </c:numRef>
          </c:val>
          <c:extLst xmlns:c16r2="http://schemas.microsoft.com/office/drawing/2015/06/chart">
            <c:ext xmlns:c16="http://schemas.microsoft.com/office/drawing/2014/chart" uri="{C3380CC4-5D6E-409C-BE32-E72D297353CC}">
              <c16:uniqueId val="{00000002-48B0-48C9-83C2-6DFD52C4EBB8}"/>
            </c:ext>
          </c:extLst>
        </c:ser>
        <c:ser>
          <c:idx val="3"/>
          <c:order val="3"/>
          <c:tx>
            <c:strRef>
              <c:f>Лист9!$D$50</c:f>
              <c:strCache>
                <c:ptCount val="1"/>
                <c:pt idx="0">
                  <c:v>расходы</c:v>
                </c:pt>
              </c:strCache>
            </c:strRef>
          </c:tx>
          <c:cat>
            <c:strRef>
              <c:f>Лист9!$B$51:$B$57</c:f>
              <c:strCache>
                <c:ptCount val="7"/>
                <c:pt idx="0">
                  <c:v>2010 год</c:v>
                </c:pt>
                <c:pt idx="1">
                  <c:v>2011 год</c:v>
                </c:pt>
                <c:pt idx="2">
                  <c:v>2012 год</c:v>
                </c:pt>
                <c:pt idx="3">
                  <c:v>2013 год</c:v>
                </c:pt>
                <c:pt idx="4">
                  <c:v>2014 год</c:v>
                </c:pt>
                <c:pt idx="5">
                  <c:v>2015 год</c:v>
                </c:pt>
                <c:pt idx="6">
                  <c:v>2016 год</c:v>
                </c:pt>
              </c:strCache>
            </c:strRef>
          </c:cat>
          <c:val>
            <c:numRef>
              <c:f>Лист9!$D$51:$D$57</c:f>
              <c:numCache>
                <c:formatCode>General</c:formatCode>
                <c:ptCount val="7"/>
                <c:pt idx="0">
                  <c:v>3732</c:v>
                </c:pt>
                <c:pt idx="1">
                  <c:v>4065.5</c:v>
                </c:pt>
                <c:pt idx="2">
                  <c:v>3935.6</c:v>
                </c:pt>
                <c:pt idx="3">
                  <c:v>5982.2</c:v>
                </c:pt>
                <c:pt idx="4">
                  <c:v>4011.6</c:v>
                </c:pt>
                <c:pt idx="5">
                  <c:v>3966.7</c:v>
                </c:pt>
                <c:pt idx="6">
                  <c:v>4232.3</c:v>
                </c:pt>
              </c:numCache>
            </c:numRef>
          </c:val>
          <c:extLst xmlns:c16r2="http://schemas.microsoft.com/office/drawing/2015/06/chart">
            <c:ext xmlns:c16="http://schemas.microsoft.com/office/drawing/2014/chart" uri="{C3380CC4-5D6E-409C-BE32-E72D297353CC}">
              <c16:uniqueId val="{00000003-48B0-48C9-83C2-6DFD52C4EBB8}"/>
            </c:ext>
          </c:extLst>
        </c:ser>
        <c:marker val="1"/>
        <c:axId val="190538496"/>
        <c:axId val="190540032"/>
      </c:lineChart>
      <c:catAx>
        <c:axId val="190538496"/>
        <c:scaling>
          <c:orientation val="minMax"/>
        </c:scaling>
        <c:axPos val="b"/>
        <c:numFmt formatCode="General" sourceLinked="0"/>
        <c:tickLblPos val="nextTo"/>
        <c:crossAx val="190540032"/>
        <c:crosses val="autoZero"/>
        <c:auto val="1"/>
        <c:lblAlgn val="ctr"/>
        <c:lblOffset val="100"/>
      </c:catAx>
      <c:valAx>
        <c:axId val="190540032"/>
        <c:scaling>
          <c:orientation val="minMax"/>
        </c:scaling>
        <c:axPos val="l"/>
        <c:majorGridlines/>
        <c:numFmt formatCode="General" sourceLinked="1"/>
        <c:tickLblPos val="nextTo"/>
        <c:crossAx val="190538496"/>
        <c:crosses val="autoZero"/>
        <c:crossBetween val="between"/>
      </c:valAx>
    </c:plotArea>
    <c:legend>
      <c:legendPos val="b"/>
      <c:legendEntry>
        <c:idx val="0"/>
        <c:delete val="1"/>
      </c:legendEntry>
    </c:legend>
    <c:plotVisOnly val="1"/>
    <c:dispBlanksAs val="zero"/>
  </c:chart>
  <c:spPr>
    <a:ln>
      <a:noFill/>
    </a:ln>
  </c:spPr>
  <c:externalData r:id="rId2"/>
</c:chartSpace>
</file>

<file path=word/charts/chart98.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Лист9!$C$58</c:f>
              <c:strCache>
                <c:ptCount val="1"/>
                <c:pt idx="0">
                  <c:v>доходы</c:v>
                </c:pt>
              </c:strCache>
            </c:strRef>
          </c:tx>
          <c:spPr>
            <a:noFill/>
          </c:spPr>
          <c:cat>
            <c:strRef>
              <c:f>Лист9!$B$59:$B$65</c:f>
              <c:strCache>
                <c:ptCount val="7"/>
                <c:pt idx="0">
                  <c:v>2010 год</c:v>
                </c:pt>
                <c:pt idx="1">
                  <c:v>2011 год</c:v>
                </c:pt>
                <c:pt idx="2">
                  <c:v>2012 год</c:v>
                </c:pt>
                <c:pt idx="3">
                  <c:v>2013 год</c:v>
                </c:pt>
                <c:pt idx="4">
                  <c:v>2014 год</c:v>
                </c:pt>
                <c:pt idx="5">
                  <c:v>2015 год</c:v>
                </c:pt>
                <c:pt idx="6">
                  <c:v>2016 год</c:v>
                </c:pt>
              </c:strCache>
            </c:strRef>
          </c:cat>
          <c:val>
            <c:numRef>
              <c:f>Лист9!$C$59:$C$65</c:f>
              <c:numCache>
                <c:formatCode>General</c:formatCode>
                <c:ptCount val="7"/>
                <c:pt idx="0">
                  <c:v>10058</c:v>
                </c:pt>
                <c:pt idx="1">
                  <c:v>11147</c:v>
                </c:pt>
                <c:pt idx="2">
                  <c:v>10956.2</c:v>
                </c:pt>
                <c:pt idx="3">
                  <c:v>11921.199999999983</c:v>
                </c:pt>
                <c:pt idx="4">
                  <c:v>14816.1</c:v>
                </c:pt>
                <c:pt idx="5">
                  <c:v>8109.8</c:v>
                </c:pt>
                <c:pt idx="6">
                  <c:v>9230.7000000000007</c:v>
                </c:pt>
              </c:numCache>
            </c:numRef>
          </c:val>
          <c:extLst xmlns:c16r2="http://schemas.microsoft.com/office/drawing/2015/06/chart">
            <c:ext xmlns:c16="http://schemas.microsoft.com/office/drawing/2014/chart" uri="{C3380CC4-5D6E-409C-BE32-E72D297353CC}">
              <c16:uniqueId val="{00000000-95D0-46D8-9975-E76A664543A5}"/>
            </c:ext>
          </c:extLst>
        </c:ser>
        <c:ser>
          <c:idx val="1"/>
          <c:order val="1"/>
          <c:tx>
            <c:strRef>
              <c:f>Лист9!$E$58</c:f>
              <c:strCache>
                <c:ptCount val="1"/>
                <c:pt idx="0">
                  <c:v>Дефицит/профицит</c:v>
                </c:pt>
              </c:strCache>
            </c:strRef>
          </c:tx>
          <c:spPr>
            <a:blipFill>
              <a:blip xmlns:r="http://schemas.openxmlformats.org/officeDocument/2006/relationships" r:embed="rId1"/>
              <a:tile tx="0" ty="0" sx="100000" sy="100000" flip="none" algn="tl"/>
            </a:blipFill>
          </c:spPr>
          <c:dLbls>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Лист9!$B$59:$B$65</c:f>
              <c:strCache>
                <c:ptCount val="7"/>
                <c:pt idx="0">
                  <c:v>2010 год</c:v>
                </c:pt>
                <c:pt idx="1">
                  <c:v>2011 год</c:v>
                </c:pt>
                <c:pt idx="2">
                  <c:v>2012 год</c:v>
                </c:pt>
                <c:pt idx="3">
                  <c:v>2013 год</c:v>
                </c:pt>
                <c:pt idx="4">
                  <c:v>2014 год</c:v>
                </c:pt>
                <c:pt idx="5">
                  <c:v>2015 год</c:v>
                </c:pt>
                <c:pt idx="6">
                  <c:v>2016 год</c:v>
                </c:pt>
              </c:strCache>
            </c:strRef>
          </c:cat>
          <c:val>
            <c:numRef>
              <c:f>Лист9!$E$59:$E$65</c:f>
              <c:numCache>
                <c:formatCode>General</c:formatCode>
                <c:ptCount val="7"/>
                <c:pt idx="0">
                  <c:v>4347</c:v>
                </c:pt>
                <c:pt idx="1">
                  <c:v>-906.70000000000073</c:v>
                </c:pt>
                <c:pt idx="2">
                  <c:v>296.29999999999899</c:v>
                </c:pt>
                <c:pt idx="3">
                  <c:v>1501.0000000000018</c:v>
                </c:pt>
                <c:pt idx="4">
                  <c:v>-1913.8999999999996</c:v>
                </c:pt>
                <c:pt idx="5">
                  <c:v>2221.1999999999998</c:v>
                </c:pt>
                <c:pt idx="6">
                  <c:v>949.2999999999995</c:v>
                </c:pt>
              </c:numCache>
            </c:numRef>
          </c:val>
          <c:extLst xmlns:c16r2="http://schemas.microsoft.com/office/drawing/2015/06/chart">
            <c:ext xmlns:c16="http://schemas.microsoft.com/office/drawing/2014/chart" uri="{C3380CC4-5D6E-409C-BE32-E72D297353CC}">
              <c16:uniqueId val="{00000001-95D0-46D8-9975-E76A664543A5}"/>
            </c:ext>
          </c:extLst>
        </c:ser>
        <c:axId val="190674048"/>
        <c:axId val="190675584"/>
      </c:areaChart>
      <c:lineChart>
        <c:grouping val="standard"/>
        <c:ser>
          <c:idx val="2"/>
          <c:order val="2"/>
          <c:tx>
            <c:strRef>
              <c:f>Лист9!$C$58</c:f>
              <c:strCache>
                <c:ptCount val="1"/>
                <c:pt idx="0">
                  <c:v>доходы</c:v>
                </c:pt>
              </c:strCache>
            </c:strRef>
          </c:tx>
          <c:cat>
            <c:strRef>
              <c:f>Лист9!$B$59:$B$65</c:f>
              <c:strCache>
                <c:ptCount val="7"/>
                <c:pt idx="0">
                  <c:v>2010 год</c:v>
                </c:pt>
                <c:pt idx="1">
                  <c:v>2011 год</c:v>
                </c:pt>
                <c:pt idx="2">
                  <c:v>2012 год</c:v>
                </c:pt>
                <c:pt idx="3">
                  <c:v>2013 год</c:v>
                </c:pt>
                <c:pt idx="4">
                  <c:v>2014 год</c:v>
                </c:pt>
                <c:pt idx="5">
                  <c:v>2015 год</c:v>
                </c:pt>
                <c:pt idx="6">
                  <c:v>2016 год</c:v>
                </c:pt>
              </c:strCache>
            </c:strRef>
          </c:cat>
          <c:val>
            <c:numRef>
              <c:f>Лист9!$C$59:$C$65</c:f>
              <c:numCache>
                <c:formatCode>General</c:formatCode>
                <c:ptCount val="7"/>
                <c:pt idx="0">
                  <c:v>10058</c:v>
                </c:pt>
                <c:pt idx="1">
                  <c:v>11147</c:v>
                </c:pt>
                <c:pt idx="2">
                  <c:v>10956.2</c:v>
                </c:pt>
                <c:pt idx="3">
                  <c:v>11921.199999999983</c:v>
                </c:pt>
                <c:pt idx="4">
                  <c:v>14816.1</c:v>
                </c:pt>
                <c:pt idx="5">
                  <c:v>8109.8</c:v>
                </c:pt>
                <c:pt idx="6">
                  <c:v>9230.7000000000007</c:v>
                </c:pt>
              </c:numCache>
            </c:numRef>
          </c:val>
          <c:extLst xmlns:c16r2="http://schemas.microsoft.com/office/drawing/2015/06/chart">
            <c:ext xmlns:c16="http://schemas.microsoft.com/office/drawing/2014/chart" uri="{C3380CC4-5D6E-409C-BE32-E72D297353CC}">
              <c16:uniqueId val="{00000002-95D0-46D8-9975-E76A664543A5}"/>
            </c:ext>
          </c:extLst>
        </c:ser>
        <c:ser>
          <c:idx val="3"/>
          <c:order val="3"/>
          <c:tx>
            <c:strRef>
              <c:f>Лист9!$D$58</c:f>
              <c:strCache>
                <c:ptCount val="1"/>
                <c:pt idx="0">
                  <c:v>расходы</c:v>
                </c:pt>
              </c:strCache>
            </c:strRef>
          </c:tx>
          <c:cat>
            <c:strRef>
              <c:f>Лист9!$B$59:$B$65</c:f>
              <c:strCache>
                <c:ptCount val="7"/>
                <c:pt idx="0">
                  <c:v>2010 год</c:v>
                </c:pt>
                <c:pt idx="1">
                  <c:v>2011 год</c:v>
                </c:pt>
                <c:pt idx="2">
                  <c:v>2012 год</c:v>
                </c:pt>
                <c:pt idx="3">
                  <c:v>2013 год</c:v>
                </c:pt>
                <c:pt idx="4">
                  <c:v>2014 год</c:v>
                </c:pt>
                <c:pt idx="5">
                  <c:v>2015 год</c:v>
                </c:pt>
                <c:pt idx="6">
                  <c:v>2016 год</c:v>
                </c:pt>
              </c:strCache>
            </c:strRef>
          </c:cat>
          <c:val>
            <c:numRef>
              <c:f>Лист9!$D$59:$D$65</c:f>
              <c:numCache>
                <c:formatCode>General</c:formatCode>
                <c:ptCount val="7"/>
                <c:pt idx="0">
                  <c:v>14405</c:v>
                </c:pt>
                <c:pt idx="1">
                  <c:v>10240.299999999987</c:v>
                </c:pt>
                <c:pt idx="2">
                  <c:v>11252.5</c:v>
                </c:pt>
                <c:pt idx="3">
                  <c:v>13422.2</c:v>
                </c:pt>
                <c:pt idx="4">
                  <c:v>12902.2</c:v>
                </c:pt>
                <c:pt idx="5">
                  <c:v>10331</c:v>
                </c:pt>
                <c:pt idx="6">
                  <c:v>10180</c:v>
                </c:pt>
              </c:numCache>
            </c:numRef>
          </c:val>
          <c:extLst xmlns:c16r2="http://schemas.microsoft.com/office/drawing/2015/06/chart">
            <c:ext xmlns:c16="http://schemas.microsoft.com/office/drawing/2014/chart" uri="{C3380CC4-5D6E-409C-BE32-E72D297353CC}">
              <c16:uniqueId val="{00000003-95D0-46D8-9975-E76A664543A5}"/>
            </c:ext>
          </c:extLst>
        </c:ser>
        <c:marker val="1"/>
        <c:axId val="190674048"/>
        <c:axId val="190675584"/>
      </c:lineChart>
      <c:catAx>
        <c:axId val="190674048"/>
        <c:scaling>
          <c:orientation val="minMax"/>
        </c:scaling>
        <c:axPos val="b"/>
        <c:numFmt formatCode="General" sourceLinked="0"/>
        <c:tickLblPos val="nextTo"/>
        <c:crossAx val="190675584"/>
        <c:crosses val="autoZero"/>
        <c:auto val="1"/>
        <c:lblAlgn val="ctr"/>
        <c:lblOffset val="100"/>
      </c:catAx>
      <c:valAx>
        <c:axId val="190675584"/>
        <c:scaling>
          <c:orientation val="minMax"/>
        </c:scaling>
        <c:axPos val="l"/>
        <c:majorGridlines/>
        <c:numFmt formatCode="General" sourceLinked="1"/>
        <c:tickLblPos val="nextTo"/>
        <c:crossAx val="190674048"/>
        <c:crosses val="autoZero"/>
        <c:crossBetween val="between"/>
      </c:valAx>
    </c:plotArea>
    <c:legend>
      <c:legendPos val="b"/>
      <c:legendEntry>
        <c:idx val="0"/>
        <c:delete val="1"/>
      </c:legendEntry>
    </c:legend>
    <c:plotVisOnly val="1"/>
    <c:dispBlanksAs val="zero"/>
  </c:chart>
  <c:spPr>
    <a:ln>
      <a:noFill/>
    </a:ln>
  </c:spPr>
  <c:externalData r:id="rId2"/>
</c:chartSpace>
</file>

<file path=word/charts/chart99.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Лист9!$C$66</c:f>
              <c:strCache>
                <c:ptCount val="1"/>
                <c:pt idx="0">
                  <c:v>доходы</c:v>
                </c:pt>
              </c:strCache>
            </c:strRef>
          </c:tx>
          <c:spPr>
            <a:noFill/>
          </c:spPr>
          <c:cat>
            <c:strRef>
              <c:f>Лист9!$B$67:$B$73</c:f>
              <c:strCache>
                <c:ptCount val="7"/>
                <c:pt idx="0">
                  <c:v>2010 год</c:v>
                </c:pt>
                <c:pt idx="1">
                  <c:v>2011 год</c:v>
                </c:pt>
                <c:pt idx="2">
                  <c:v>2012 год</c:v>
                </c:pt>
                <c:pt idx="3">
                  <c:v>2013 год</c:v>
                </c:pt>
                <c:pt idx="4">
                  <c:v>2014 год</c:v>
                </c:pt>
                <c:pt idx="5">
                  <c:v>2015 год</c:v>
                </c:pt>
                <c:pt idx="6">
                  <c:v>2016 год</c:v>
                </c:pt>
              </c:strCache>
            </c:strRef>
          </c:cat>
          <c:val>
            <c:numRef>
              <c:f>Лист9!$C$67:$C$73</c:f>
              <c:numCache>
                <c:formatCode>General</c:formatCode>
                <c:ptCount val="7"/>
                <c:pt idx="0">
                  <c:v>12155</c:v>
                </c:pt>
                <c:pt idx="1">
                  <c:v>15074.6</c:v>
                </c:pt>
                <c:pt idx="2">
                  <c:v>13902.1</c:v>
                </c:pt>
                <c:pt idx="3">
                  <c:v>19384.5</c:v>
                </c:pt>
                <c:pt idx="4">
                  <c:v>18342.7</c:v>
                </c:pt>
                <c:pt idx="5">
                  <c:v>12192.7</c:v>
                </c:pt>
                <c:pt idx="6">
                  <c:v>11508.1</c:v>
                </c:pt>
              </c:numCache>
            </c:numRef>
          </c:val>
          <c:extLst xmlns:c16r2="http://schemas.microsoft.com/office/drawing/2015/06/chart">
            <c:ext xmlns:c16="http://schemas.microsoft.com/office/drawing/2014/chart" uri="{C3380CC4-5D6E-409C-BE32-E72D297353CC}">
              <c16:uniqueId val="{00000000-FF1E-471E-96FE-ED855DDCC2C9}"/>
            </c:ext>
          </c:extLst>
        </c:ser>
        <c:ser>
          <c:idx val="1"/>
          <c:order val="1"/>
          <c:tx>
            <c:strRef>
              <c:f>Лист9!$E$66</c:f>
              <c:strCache>
                <c:ptCount val="1"/>
                <c:pt idx="0">
                  <c:v>Дефицит/профицит</c:v>
                </c:pt>
              </c:strCache>
            </c:strRef>
          </c:tx>
          <c:spPr>
            <a:blipFill>
              <a:blip xmlns:r="http://schemas.openxmlformats.org/officeDocument/2006/relationships" r:embed="rId1"/>
              <a:tile tx="0" ty="0" sx="100000" sy="100000" flip="none" algn="tl"/>
            </a:blipFill>
          </c:spPr>
          <c:dLbls>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Лист9!$B$67:$B$73</c:f>
              <c:strCache>
                <c:ptCount val="7"/>
                <c:pt idx="0">
                  <c:v>2010 год</c:v>
                </c:pt>
                <c:pt idx="1">
                  <c:v>2011 год</c:v>
                </c:pt>
                <c:pt idx="2">
                  <c:v>2012 год</c:v>
                </c:pt>
                <c:pt idx="3">
                  <c:v>2013 год</c:v>
                </c:pt>
                <c:pt idx="4">
                  <c:v>2014 год</c:v>
                </c:pt>
                <c:pt idx="5">
                  <c:v>2015 год</c:v>
                </c:pt>
                <c:pt idx="6">
                  <c:v>2016 год</c:v>
                </c:pt>
              </c:strCache>
            </c:strRef>
          </c:cat>
          <c:val>
            <c:numRef>
              <c:f>Лист9!$E$67:$E$73</c:f>
              <c:numCache>
                <c:formatCode>General</c:formatCode>
                <c:ptCount val="7"/>
                <c:pt idx="0">
                  <c:v>944.5</c:v>
                </c:pt>
                <c:pt idx="1">
                  <c:v>-3476.6000000000004</c:v>
                </c:pt>
                <c:pt idx="2">
                  <c:v>-1924.3999999999996</c:v>
                </c:pt>
                <c:pt idx="3">
                  <c:v>-3521.8999999999996</c:v>
                </c:pt>
                <c:pt idx="4">
                  <c:v>1494</c:v>
                </c:pt>
                <c:pt idx="5">
                  <c:v>-776.80000000000109</c:v>
                </c:pt>
                <c:pt idx="6">
                  <c:v>-718.70000000000073</c:v>
                </c:pt>
              </c:numCache>
            </c:numRef>
          </c:val>
          <c:extLst xmlns:c16r2="http://schemas.microsoft.com/office/drawing/2015/06/chart">
            <c:ext xmlns:c16="http://schemas.microsoft.com/office/drawing/2014/chart" uri="{C3380CC4-5D6E-409C-BE32-E72D297353CC}">
              <c16:uniqueId val="{00000001-FF1E-471E-96FE-ED855DDCC2C9}"/>
            </c:ext>
          </c:extLst>
        </c:ser>
        <c:axId val="190731776"/>
        <c:axId val="190733312"/>
      </c:areaChart>
      <c:lineChart>
        <c:grouping val="standard"/>
        <c:ser>
          <c:idx val="2"/>
          <c:order val="2"/>
          <c:tx>
            <c:strRef>
              <c:f>Лист9!$C$66</c:f>
              <c:strCache>
                <c:ptCount val="1"/>
                <c:pt idx="0">
                  <c:v>доходы</c:v>
                </c:pt>
              </c:strCache>
            </c:strRef>
          </c:tx>
          <c:cat>
            <c:strRef>
              <c:f>Лист9!$B$67:$B$73</c:f>
              <c:strCache>
                <c:ptCount val="7"/>
                <c:pt idx="0">
                  <c:v>2010 год</c:v>
                </c:pt>
                <c:pt idx="1">
                  <c:v>2011 год</c:v>
                </c:pt>
                <c:pt idx="2">
                  <c:v>2012 год</c:v>
                </c:pt>
                <c:pt idx="3">
                  <c:v>2013 год</c:v>
                </c:pt>
                <c:pt idx="4">
                  <c:v>2014 год</c:v>
                </c:pt>
                <c:pt idx="5">
                  <c:v>2015 год</c:v>
                </c:pt>
                <c:pt idx="6">
                  <c:v>2016 год</c:v>
                </c:pt>
              </c:strCache>
            </c:strRef>
          </c:cat>
          <c:val>
            <c:numRef>
              <c:f>Лист9!$C$67:$C$73</c:f>
              <c:numCache>
                <c:formatCode>General</c:formatCode>
                <c:ptCount val="7"/>
                <c:pt idx="0">
                  <c:v>12155</c:v>
                </c:pt>
                <c:pt idx="1">
                  <c:v>15074.6</c:v>
                </c:pt>
                <c:pt idx="2">
                  <c:v>13902.1</c:v>
                </c:pt>
                <c:pt idx="3">
                  <c:v>19384.5</c:v>
                </c:pt>
                <c:pt idx="4">
                  <c:v>18342.7</c:v>
                </c:pt>
                <c:pt idx="5">
                  <c:v>12192.7</c:v>
                </c:pt>
                <c:pt idx="6">
                  <c:v>11508.1</c:v>
                </c:pt>
              </c:numCache>
            </c:numRef>
          </c:val>
          <c:extLst xmlns:c16r2="http://schemas.microsoft.com/office/drawing/2015/06/chart">
            <c:ext xmlns:c16="http://schemas.microsoft.com/office/drawing/2014/chart" uri="{C3380CC4-5D6E-409C-BE32-E72D297353CC}">
              <c16:uniqueId val="{00000002-FF1E-471E-96FE-ED855DDCC2C9}"/>
            </c:ext>
          </c:extLst>
        </c:ser>
        <c:ser>
          <c:idx val="3"/>
          <c:order val="3"/>
          <c:tx>
            <c:strRef>
              <c:f>Лист9!$D$66</c:f>
              <c:strCache>
                <c:ptCount val="1"/>
                <c:pt idx="0">
                  <c:v>расходы</c:v>
                </c:pt>
              </c:strCache>
            </c:strRef>
          </c:tx>
          <c:cat>
            <c:strRef>
              <c:f>Лист9!$B$67:$B$73</c:f>
              <c:strCache>
                <c:ptCount val="7"/>
                <c:pt idx="0">
                  <c:v>2010 год</c:v>
                </c:pt>
                <c:pt idx="1">
                  <c:v>2011 год</c:v>
                </c:pt>
                <c:pt idx="2">
                  <c:v>2012 год</c:v>
                </c:pt>
                <c:pt idx="3">
                  <c:v>2013 год</c:v>
                </c:pt>
                <c:pt idx="4">
                  <c:v>2014 год</c:v>
                </c:pt>
                <c:pt idx="5">
                  <c:v>2015 год</c:v>
                </c:pt>
                <c:pt idx="6">
                  <c:v>2016 год</c:v>
                </c:pt>
              </c:strCache>
            </c:strRef>
          </c:cat>
          <c:val>
            <c:numRef>
              <c:f>Лист9!$D$67:$D$73</c:f>
              <c:numCache>
                <c:formatCode>General</c:formatCode>
                <c:ptCount val="7"/>
                <c:pt idx="0">
                  <c:v>13099.5</c:v>
                </c:pt>
                <c:pt idx="1">
                  <c:v>11598</c:v>
                </c:pt>
                <c:pt idx="2">
                  <c:v>11977.7</c:v>
                </c:pt>
                <c:pt idx="3">
                  <c:v>15862.6</c:v>
                </c:pt>
                <c:pt idx="4">
                  <c:v>19836.7</c:v>
                </c:pt>
                <c:pt idx="5">
                  <c:v>11415.9</c:v>
                </c:pt>
                <c:pt idx="6">
                  <c:v>10789.4</c:v>
                </c:pt>
              </c:numCache>
            </c:numRef>
          </c:val>
          <c:extLst xmlns:c16r2="http://schemas.microsoft.com/office/drawing/2015/06/chart">
            <c:ext xmlns:c16="http://schemas.microsoft.com/office/drawing/2014/chart" uri="{C3380CC4-5D6E-409C-BE32-E72D297353CC}">
              <c16:uniqueId val="{00000003-FF1E-471E-96FE-ED855DDCC2C9}"/>
            </c:ext>
          </c:extLst>
        </c:ser>
        <c:marker val="1"/>
        <c:axId val="190731776"/>
        <c:axId val="190733312"/>
      </c:lineChart>
      <c:catAx>
        <c:axId val="190731776"/>
        <c:scaling>
          <c:orientation val="minMax"/>
        </c:scaling>
        <c:axPos val="b"/>
        <c:numFmt formatCode="General" sourceLinked="0"/>
        <c:tickLblPos val="nextTo"/>
        <c:crossAx val="190733312"/>
        <c:crosses val="autoZero"/>
        <c:auto val="1"/>
        <c:lblAlgn val="ctr"/>
        <c:lblOffset val="100"/>
      </c:catAx>
      <c:valAx>
        <c:axId val="190733312"/>
        <c:scaling>
          <c:orientation val="minMax"/>
        </c:scaling>
        <c:axPos val="l"/>
        <c:majorGridlines/>
        <c:numFmt formatCode="General" sourceLinked="1"/>
        <c:tickLblPos val="nextTo"/>
        <c:crossAx val="190731776"/>
        <c:crosses val="autoZero"/>
        <c:crossBetween val="between"/>
      </c:valAx>
    </c:plotArea>
    <c:legend>
      <c:legendPos val="b"/>
      <c:legendEntry>
        <c:idx val="0"/>
        <c:delete val="1"/>
      </c:legendEntry>
    </c:legend>
    <c:plotVisOnly val="1"/>
    <c:dispBlanksAs val="zero"/>
  </c:chart>
  <c:spPr>
    <a:ln>
      <a:noFill/>
    </a:ln>
  </c:spPr>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A66B69-C4C3-41AF-8B4F-62D1B3CE4F9B}"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ru-RU"/>
        </a:p>
      </dgm:t>
    </dgm:pt>
    <dgm:pt modelId="{55ADB696-ACEF-4A47-B8F8-2DF207CE3DD7}">
      <dgm:prSet phldrT="[Текст]" custT="1"/>
      <dgm:spPr/>
      <dgm:t>
        <a:bodyPr/>
        <a:lstStyle/>
        <a:p>
          <a:r>
            <a:rPr lang="ru-RU" sz="1000" baseline="0">
              <a:latin typeface="Times New Roman" pitchFamily="18" charset="0"/>
            </a:rPr>
            <a:t>Социально-демографическое</a:t>
          </a:r>
          <a:r>
            <a:rPr lang="ru-RU" sz="900"/>
            <a:t> развитие</a:t>
          </a:r>
        </a:p>
      </dgm:t>
    </dgm:pt>
    <dgm:pt modelId="{FB550D43-0FCD-413E-A73B-D82F40006CFF}" type="parTrans" cxnId="{B6E5877B-B796-4C73-B142-DDAACA32B090}">
      <dgm:prSet/>
      <dgm:spPr/>
      <dgm:t>
        <a:bodyPr/>
        <a:lstStyle/>
        <a:p>
          <a:endParaRPr lang="ru-RU"/>
        </a:p>
      </dgm:t>
    </dgm:pt>
    <dgm:pt modelId="{786A708A-2FCC-4AD2-A7DB-C9C83326F9B0}" type="sibTrans" cxnId="{B6E5877B-B796-4C73-B142-DDAACA32B090}">
      <dgm:prSet/>
      <dgm:spPr/>
      <dgm:t>
        <a:bodyPr/>
        <a:lstStyle/>
        <a:p>
          <a:endParaRPr lang="ru-RU"/>
        </a:p>
      </dgm:t>
    </dgm:pt>
    <dgm:pt modelId="{5050BFDC-633B-4429-97BE-651AF16A4FE5}">
      <dgm:prSet phldrT="[Текст]" custT="1"/>
      <dgm:spPr/>
      <dgm:t>
        <a:bodyPr/>
        <a:lstStyle/>
        <a:p>
          <a:r>
            <a:rPr lang="ru-RU" sz="1000" baseline="0">
              <a:latin typeface="Times New Roman" pitchFamily="18" charset="0"/>
            </a:rPr>
            <a:t>Экономическое развитие</a:t>
          </a:r>
        </a:p>
      </dgm:t>
    </dgm:pt>
    <dgm:pt modelId="{727EACA5-2EFD-4626-9151-91E69435E012}" type="parTrans" cxnId="{704E01A8-7B72-4A3C-B4A2-1BC85AA9B7B3}">
      <dgm:prSet/>
      <dgm:spPr/>
      <dgm:t>
        <a:bodyPr/>
        <a:lstStyle/>
        <a:p>
          <a:endParaRPr lang="ru-RU"/>
        </a:p>
      </dgm:t>
    </dgm:pt>
    <dgm:pt modelId="{2327D5D6-8B08-4F1E-B103-2BDE684E2C88}" type="sibTrans" cxnId="{704E01A8-7B72-4A3C-B4A2-1BC85AA9B7B3}">
      <dgm:prSet/>
      <dgm:spPr/>
      <dgm:t>
        <a:bodyPr/>
        <a:lstStyle/>
        <a:p>
          <a:endParaRPr lang="ru-RU"/>
        </a:p>
      </dgm:t>
    </dgm:pt>
    <dgm:pt modelId="{8C7A206A-7576-465A-9622-3033D52AF6A6}">
      <dgm:prSet phldrT="[Текст]" custT="1"/>
      <dgm:spPr/>
      <dgm:t>
        <a:bodyPr/>
        <a:lstStyle/>
        <a:p>
          <a:r>
            <a:rPr lang="ru-RU" sz="1000" baseline="0">
              <a:latin typeface="Times New Roman" pitchFamily="18" charset="0"/>
            </a:rPr>
            <a:t>Экология</a:t>
          </a:r>
        </a:p>
      </dgm:t>
    </dgm:pt>
    <dgm:pt modelId="{6D3CAB68-9F8C-4FBF-B296-A48AEE0AE749}" type="parTrans" cxnId="{645908FF-CF77-4E33-BD69-FE30A39300CF}">
      <dgm:prSet/>
      <dgm:spPr/>
      <dgm:t>
        <a:bodyPr/>
        <a:lstStyle/>
        <a:p>
          <a:endParaRPr lang="ru-RU"/>
        </a:p>
      </dgm:t>
    </dgm:pt>
    <dgm:pt modelId="{A36D9DE4-83A7-4CED-AF64-F0DA5A6D1DDD}" type="sibTrans" cxnId="{645908FF-CF77-4E33-BD69-FE30A39300CF}">
      <dgm:prSet/>
      <dgm:spPr/>
      <dgm:t>
        <a:bodyPr/>
        <a:lstStyle/>
        <a:p>
          <a:endParaRPr lang="ru-RU"/>
        </a:p>
      </dgm:t>
    </dgm:pt>
    <dgm:pt modelId="{97919737-9406-4E93-95DC-E2CFE367D3D2}" type="pres">
      <dgm:prSet presAssocID="{F1A66B69-C4C3-41AF-8B4F-62D1B3CE4F9B}" presName="cycle" presStyleCnt="0">
        <dgm:presLayoutVars>
          <dgm:dir/>
          <dgm:resizeHandles val="exact"/>
        </dgm:presLayoutVars>
      </dgm:prSet>
      <dgm:spPr/>
      <dgm:t>
        <a:bodyPr/>
        <a:lstStyle/>
        <a:p>
          <a:endParaRPr lang="ru-RU"/>
        </a:p>
      </dgm:t>
    </dgm:pt>
    <dgm:pt modelId="{CF7D46B3-6A06-4D30-8067-103FDB138B69}" type="pres">
      <dgm:prSet presAssocID="{55ADB696-ACEF-4A47-B8F8-2DF207CE3DD7}" presName="node" presStyleLbl="node1" presStyleIdx="0" presStyleCnt="3">
        <dgm:presLayoutVars>
          <dgm:bulletEnabled val="1"/>
        </dgm:presLayoutVars>
      </dgm:prSet>
      <dgm:spPr/>
      <dgm:t>
        <a:bodyPr/>
        <a:lstStyle/>
        <a:p>
          <a:endParaRPr lang="ru-RU"/>
        </a:p>
      </dgm:t>
    </dgm:pt>
    <dgm:pt modelId="{57D168A7-B9A8-49BA-B004-2090D62410B6}" type="pres">
      <dgm:prSet presAssocID="{786A708A-2FCC-4AD2-A7DB-C9C83326F9B0}" presName="sibTrans" presStyleLbl="sibTrans2D1" presStyleIdx="0" presStyleCnt="3"/>
      <dgm:spPr/>
      <dgm:t>
        <a:bodyPr/>
        <a:lstStyle/>
        <a:p>
          <a:endParaRPr lang="ru-RU"/>
        </a:p>
      </dgm:t>
    </dgm:pt>
    <dgm:pt modelId="{EE0F5A03-71D3-451C-A161-3E4060589389}" type="pres">
      <dgm:prSet presAssocID="{786A708A-2FCC-4AD2-A7DB-C9C83326F9B0}" presName="connectorText" presStyleLbl="sibTrans2D1" presStyleIdx="0" presStyleCnt="3"/>
      <dgm:spPr/>
      <dgm:t>
        <a:bodyPr/>
        <a:lstStyle/>
        <a:p>
          <a:endParaRPr lang="ru-RU"/>
        </a:p>
      </dgm:t>
    </dgm:pt>
    <dgm:pt modelId="{CE06DE3D-EF09-4C5C-A8B2-7B4011E67727}" type="pres">
      <dgm:prSet presAssocID="{5050BFDC-633B-4429-97BE-651AF16A4FE5}" presName="node" presStyleLbl="node1" presStyleIdx="1" presStyleCnt="3">
        <dgm:presLayoutVars>
          <dgm:bulletEnabled val="1"/>
        </dgm:presLayoutVars>
      </dgm:prSet>
      <dgm:spPr/>
      <dgm:t>
        <a:bodyPr/>
        <a:lstStyle/>
        <a:p>
          <a:endParaRPr lang="ru-RU"/>
        </a:p>
      </dgm:t>
    </dgm:pt>
    <dgm:pt modelId="{67F5B178-8A82-4266-A37F-5F2C05F42131}" type="pres">
      <dgm:prSet presAssocID="{2327D5D6-8B08-4F1E-B103-2BDE684E2C88}" presName="sibTrans" presStyleLbl="sibTrans2D1" presStyleIdx="1" presStyleCnt="3"/>
      <dgm:spPr/>
      <dgm:t>
        <a:bodyPr/>
        <a:lstStyle/>
        <a:p>
          <a:endParaRPr lang="ru-RU"/>
        </a:p>
      </dgm:t>
    </dgm:pt>
    <dgm:pt modelId="{91CA2FDF-4E81-4C05-8608-310FC1D04A58}" type="pres">
      <dgm:prSet presAssocID="{2327D5D6-8B08-4F1E-B103-2BDE684E2C88}" presName="connectorText" presStyleLbl="sibTrans2D1" presStyleIdx="1" presStyleCnt="3"/>
      <dgm:spPr/>
      <dgm:t>
        <a:bodyPr/>
        <a:lstStyle/>
        <a:p>
          <a:endParaRPr lang="ru-RU"/>
        </a:p>
      </dgm:t>
    </dgm:pt>
    <dgm:pt modelId="{7EC8F3F3-9D77-4E31-8F95-CC8FAF8DD09D}" type="pres">
      <dgm:prSet presAssocID="{8C7A206A-7576-465A-9622-3033D52AF6A6}" presName="node" presStyleLbl="node1" presStyleIdx="2" presStyleCnt="3">
        <dgm:presLayoutVars>
          <dgm:bulletEnabled val="1"/>
        </dgm:presLayoutVars>
      </dgm:prSet>
      <dgm:spPr/>
      <dgm:t>
        <a:bodyPr/>
        <a:lstStyle/>
        <a:p>
          <a:endParaRPr lang="ru-RU"/>
        </a:p>
      </dgm:t>
    </dgm:pt>
    <dgm:pt modelId="{C0488F7C-07B8-4F30-B03F-213E318B72B5}" type="pres">
      <dgm:prSet presAssocID="{A36D9DE4-83A7-4CED-AF64-F0DA5A6D1DDD}" presName="sibTrans" presStyleLbl="sibTrans2D1" presStyleIdx="2" presStyleCnt="3"/>
      <dgm:spPr/>
      <dgm:t>
        <a:bodyPr/>
        <a:lstStyle/>
        <a:p>
          <a:endParaRPr lang="ru-RU"/>
        </a:p>
      </dgm:t>
    </dgm:pt>
    <dgm:pt modelId="{82A964B3-CE0F-4685-B78E-7AB45063BC0F}" type="pres">
      <dgm:prSet presAssocID="{A36D9DE4-83A7-4CED-AF64-F0DA5A6D1DDD}" presName="connectorText" presStyleLbl="sibTrans2D1" presStyleIdx="2" presStyleCnt="3"/>
      <dgm:spPr/>
      <dgm:t>
        <a:bodyPr/>
        <a:lstStyle/>
        <a:p>
          <a:endParaRPr lang="ru-RU"/>
        </a:p>
      </dgm:t>
    </dgm:pt>
  </dgm:ptLst>
  <dgm:cxnLst>
    <dgm:cxn modelId="{B6E5877B-B796-4C73-B142-DDAACA32B090}" srcId="{F1A66B69-C4C3-41AF-8B4F-62D1B3CE4F9B}" destId="{55ADB696-ACEF-4A47-B8F8-2DF207CE3DD7}" srcOrd="0" destOrd="0" parTransId="{FB550D43-0FCD-413E-A73B-D82F40006CFF}" sibTransId="{786A708A-2FCC-4AD2-A7DB-C9C83326F9B0}"/>
    <dgm:cxn modelId="{67E41703-E44B-4CDB-A45B-87CF85BB68E9}" type="presOf" srcId="{2327D5D6-8B08-4F1E-B103-2BDE684E2C88}" destId="{91CA2FDF-4E81-4C05-8608-310FC1D04A58}" srcOrd="1" destOrd="0" presId="urn:microsoft.com/office/officeart/2005/8/layout/cycle2"/>
    <dgm:cxn modelId="{1521A298-7748-49F2-B4F5-5E4BC2FD80E3}" type="presOf" srcId="{8C7A206A-7576-465A-9622-3033D52AF6A6}" destId="{7EC8F3F3-9D77-4E31-8F95-CC8FAF8DD09D}" srcOrd="0" destOrd="0" presId="urn:microsoft.com/office/officeart/2005/8/layout/cycle2"/>
    <dgm:cxn modelId="{645908FF-CF77-4E33-BD69-FE30A39300CF}" srcId="{F1A66B69-C4C3-41AF-8B4F-62D1B3CE4F9B}" destId="{8C7A206A-7576-465A-9622-3033D52AF6A6}" srcOrd="2" destOrd="0" parTransId="{6D3CAB68-9F8C-4FBF-B296-A48AEE0AE749}" sibTransId="{A36D9DE4-83A7-4CED-AF64-F0DA5A6D1DDD}"/>
    <dgm:cxn modelId="{704E01A8-7B72-4A3C-B4A2-1BC85AA9B7B3}" srcId="{F1A66B69-C4C3-41AF-8B4F-62D1B3CE4F9B}" destId="{5050BFDC-633B-4429-97BE-651AF16A4FE5}" srcOrd="1" destOrd="0" parTransId="{727EACA5-2EFD-4626-9151-91E69435E012}" sibTransId="{2327D5D6-8B08-4F1E-B103-2BDE684E2C88}"/>
    <dgm:cxn modelId="{0292D297-CB34-4AB4-A10A-A57A350694CD}" type="presOf" srcId="{786A708A-2FCC-4AD2-A7DB-C9C83326F9B0}" destId="{EE0F5A03-71D3-451C-A161-3E4060589389}" srcOrd="1" destOrd="0" presId="urn:microsoft.com/office/officeart/2005/8/layout/cycle2"/>
    <dgm:cxn modelId="{2B88F558-5653-4D98-8E88-5C0BF56420DB}" type="presOf" srcId="{F1A66B69-C4C3-41AF-8B4F-62D1B3CE4F9B}" destId="{97919737-9406-4E93-95DC-E2CFE367D3D2}" srcOrd="0" destOrd="0" presId="urn:microsoft.com/office/officeart/2005/8/layout/cycle2"/>
    <dgm:cxn modelId="{00054E7D-8AD5-4043-A586-27095898A5EB}" type="presOf" srcId="{A36D9DE4-83A7-4CED-AF64-F0DA5A6D1DDD}" destId="{C0488F7C-07B8-4F30-B03F-213E318B72B5}" srcOrd="0" destOrd="0" presId="urn:microsoft.com/office/officeart/2005/8/layout/cycle2"/>
    <dgm:cxn modelId="{1AE4C9F6-F7AD-4823-9EAD-643F9E8CFAAE}" type="presOf" srcId="{5050BFDC-633B-4429-97BE-651AF16A4FE5}" destId="{CE06DE3D-EF09-4C5C-A8B2-7B4011E67727}" srcOrd="0" destOrd="0" presId="urn:microsoft.com/office/officeart/2005/8/layout/cycle2"/>
    <dgm:cxn modelId="{51ADB465-F568-4C17-9B49-D50269A484E9}" type="presOf" srcId="{A36D9DE4-83A7-4CED-AF64-F0DA5A6D1DDD}" destId="{82A964B3-CE0F-4685-B78E-7AB45063BC0F}" srcOrd="1" destOrd="0" presId="urn:microsoft.com/office/officeart/2005/8/layout/cycle2"/>
    <dgm:cxn modelId="{E1E4CF20-8DE8-4E18-92AF-3245B4F55580}" type="presOf" srcId="{55ADB696-ACEF-4A47-B8F8-2DF207CE3DD7}" destId="{CF7D46B3-6A06-4D30-8067-103FDB138B69}" srcOrd="0" destOrd="0" presId="urn:microsoft.com/office/officeart/2005/8/layout/cycle2"/>
    <dgm:cxn modelId="{A95582D3-37BF-44EA-831D-DD15CB6D26F0}" type="presOf" srcId="{786A708A-2FCC-4AD2-A7DB-C9C83326F9B0}" destId="{57D168A7-B9A8-49BA-B004-2090D62410B6}" srcOrd="0" destOrd="0" presId="urn:microsoft.com/office/officeart/2005/8/layout/cycle2"/>
    <dgm:cxn modelId="{6DF6C8F5-C035-4837-AA84-421A5B545985}" type="presOf" srcId="{2327D5D6-8B08-4F1E-B103-2BDE684E2C88}" destId="{67F5B178-8A82-4266-A37F-5F2C05F42131}" srcOrd="0" destOrd="0" presId="urn:microsoft.com/office/officeart/2005/8/layout/cycle2"/>
    <dgm:cxn modelId="{832E9A81-1FC9-4CC6-997F-F5E45FC67679}" type="presParOf" srcId="{97919737-9406-4E93-95DC-E2CFE367D3D2}" destId="{CF7D46B3-6A06-4D30-8067-103FDB138B69}" srcOrd="0" destOrd="0" presId="urn:microsoft.com/office/officeart/2005/8/layout/cycle2"/>
    <dgm:cxn modelId="{D8FFA7F0-635A-440C-A283-D1A0D4C2EC23}" type="presParOf" srcId="{97919737-9406-4E93-95DC-E2CFE367D3D2}" destId="{57D168A7-B9A8-49BA-B004-2090D62410B6}" srcOrd="1" destOrd="0" presId="urn:microsoft.com/office/officeart/2005/8/layout/cycle2"/>
    <dgm:cxn modelId="{44F09889-9F5C-4F8E-9F9A-218F0869C5DE}" type="presParOf" srcId="{57D168A7-B9A8-49BA-B004-2090D62410B6}" destId="{EE0F5A03-71D3-451C-A161-3E4060589389}" srcOrd="0" destOrd="0" presId="urn:microsoft.com/office/officeart/2005/8/layout/cycle2"/>
    <dgm:cxn modelId="{5CF60311-25AF-4826-8890-8616FE485BA9}" type="presParOf" srcId="{97919737-9406-4E93-95DC-E2CFE367D3D2}" destId="{CE06DE3D-EF09-4C5C-A8B2-7B4011E67727}" srcOrd="2" destOrd="0" presId="urn:microsoft.com/office/officeart/2005/8/layout/cycle2"/>
    <dgm:cxn modelId="{17ACC595-12F6-434B-B7F4-384B90E9D608}" type="presParOf" srcId="{97919737-9406-4E93-95DC-E2CFE367D3D2}" destId="{67F5B178-8A82-4266-A37F-5F2C05F42131}" srcOrd="3" destOrd="0" presId="urn:microsoft.com/office/officeart/2005/8/layout/cycle2"/>
    <dgm:cxn modelId="{1376B810-4FF2-45E0-B268-8A9DD4F8F4EA}" type="presParOf" srcId="{67F5B178-8A82-4266-A37F-5F2C05F42131}" destId="{91CA2FDF-4E81-4C05-8608-310FC1D04A58}" srcOrd="0" destOrd="0" presId="urn:microsoft.com/office/officeart/2005/8/layout/cycle2"/>
    <dgm:cxn modelId="{67B05DB9-7B1E-49A3-8AC0-1A29C9FD636F}" type="presParOf" srcId="{97919737-9406-4E93-95DC-E2CFE367D3D2}" destId="{7EC8F3F3-9D77-4E31-8F95-CC8FAF8DD09D}" srcOrd="4" destOrd="0" presId="urn:microsoft.com/office/officeart/2005/8/layout/cycle2"/>
    <dgm:cxn modelId="{5FB2D414-4472-45F5-858D-C76884CE8307}" type="presParOf" srcId="{97919737-9406-4E93-95DC-E2CFE367D3D2}" destId="{C0488F7C-07B8-4F30-B03F-213E318B72B5}" srcOrd="5" destOrd="0" presId="urn:microsoft.com/office/officeart/2005/8/layout/cycle2"/>
    <dgm:cxn modelId="{DE64746E-19E0-4BFD-933E-E68D13B45506}" type="presParOf" srcId="{C0488F7C-07B8-4F30-B03F-213E318B72B5}" destId="{82A964B3-CE0F-4685-B78E-7AB45063BC0F}" srcOrd="0" destOrd="0" presId="urn:microsoft.com/office/officeart/2005/8/layout/cycle2"/>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F7D46B3-6A06-4D30-8067-103FDB138B69}">
      <dsp:nvSpPr>
        <dsp:cNvPr id="0" name=""/>
        <dsp:cNvSpPr/>
      </dsp:nvSpPr>
      <dsp:spPr>
        <a:xfrm>
          <a:off x="2048023" y="635"/>
          <a:ext cx="1390352" cy="139035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baseline="0">
              <a:latin typeface="Times New Roman" pitchFamily="18" charset="0"/>
            </a:rPr>
            <a:t>Социально-демографическое</a:t>
          </a:r>
          <a:r>
            <a:rPr lang="ru-RU" sz="900" kern="1200"/>
            <a:t> развитие</a:t>
          </a:r>
        </a:p>
      </dsp:txBody>
      <dsp:txXfrm>
        <a:off x="2048023" y="635"/>
        <a:ext cx="1390352" cy="1390352"/>
      </dsp:txXfrm>
    </dsp:sp>
    <dsp:sp modelId="{57D168A7-B9A8-49BA-B004-2090D62410B6}">
      <dsp:nvSpPr>
        <dsp:cNvPr id="0" name=""/>
        <dsp:cNvSpPr/>
      </dsp:nvSpPr>
      <dsp:spPr>
        <a:xfrm rot="3600000">
          <a:off x="3075077" y="1356507"/>
          <a:ext cx="370068" cy="4692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p>
      </dsp:txBody>
      <dsp:txXfrm rot="3600000">
        <a:off x="3075077" y="1356507"/>
        <a:ext cx="370068" cy="469243"/>
      </dsp:txXfrm>
    </dsp:sp>
    <dsp:sp modelId="{CE06DE3D-EF09-4C5C-A8B2-7B4011E67727}">
      <dsp:nvSpPr>
        <dsp:cNvPr id="0" name=""/>
        <dsp:cNvSpPr/>
      </dsp:nvSpPr>
      <dsp:spPr>
        <a:xfrm>
          <a:off x="3092320" y="1809411"/>
          <a:ext cx="1390352" cy="139035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baseline="0">
              <a:latin typeface="Times New Roman" pitchFamily="18" charset="0"/>
            </a:rPr>
            <a:t>Экономическое развитие</a:t>
          </a:r>
        </a:p>
      </dsp:txBody>
      <dsp:txXfrm>
        <a:off x="3092320" y="1809411"/>
        <a:ext cx="1390352" cy="1390352"/>
      </dsp:txXfrm>
    </dsp:sp>
    <dsp:sp modelId="{67F5B178-8A82-4266-A37F-5F2C05F42131}">
      <dsp:nvSpPr>
        <dsp:cNvPr id="0" name=""/>
        <dsp:cNvSpPr/>
      </dsp:nvSpPr>
      <dsp:spPr>
        <a:xfrm rot="10800000">
          <a:off x="2568639" y="2269965"/>
          <a:ext cx="370068" cy="4692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p>
      </dsp:txBody>
      <dsp:txXfrm rot="10800000">
        <a:off x="2568639" y="2269965"/>
        <a:ext cx="370068" cy="469243"/>
      </dsp:txXfrm>
    </dsp:sp>
    <dsp:sp modelId="{7EC8F3F3-9D77-4E31-8F95-CC8FAF8DD09D}">
      <dsp:nvSpPr>
        <dsp:cNvPr id="0" name=""/>
        <dsp:cNvSpPr/>
      </dsp:nvSpPr>
      <dsp:spPr>
        <a:xfrm>
          <a:off x="1003726" y="1809411"/>
          <a:ext cx="1390352" cy="139035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baseline="0">
              <a:latin typeface="Times New Roman" pitchFamily="18" charset="0"/>
            </a:rPr>
            <a:t>Экология</a:t>
          </a:r>
        </a:p>
      </dsp:txBody>
      <dsp:txXfrm>
        <a:off x="1003726" y="1809411"/>
        <a:ext cx="1390352" cy="1390352"/>
      </dsp:txXfrm>
    </dsp:sp>
    <dsp:sp modelId="{C0488F7C-07B8-4F30-B03F-213E318B72B5}">
      <dsp:nvSpPr>
        <dsp:cNvPr id="0" name=""/>
        <dsp:cNvSpPr/>
      </dsp:nvSpPr>
      <dsp:spPr>
        <a:xfrm rot="18000000">
          <a:off x="2030780" y="1374648"/>
          <a:ext cx="370068" cy="4692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p>
      </dsp:txBody>
      <dsp:txXfrm rot="18000000">
        <a:off x="2030780" y="1374648"/>
        <a:ext cx="370068" cy="469243"/>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21673-140C-43B9-B825-C0B45EE92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193</Pages>
  <Words>47588</Words>
  <Characters>271256</Characters>
  <Application>Microsoft Office Word</Application>
  <DocSecurity>0</DocSecurity>
  <Lines>2260</Lines>
  <Paragraphs>636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Ильнур</dc:creator>
  <cp:lastModifiedBy>Ахмарова</cp:lastModifiedBy>
  <cp:revision>4</cp:revision>
  <cp:lastPrinted>2018-06-01T03:33:00Z</cp:lastPrinted>
  <dcterms:created xsi:type="dcterms:W3CDTF">2018-05-29T05:55:00Z</dcterms:created>
  <dcterms:modified xsi:type="dcterms:W3CDTF">2018-06-01T03:34:00Z</dcterms:modified>
</cp:coreProperties>
</file>