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charts/chart99.xml" ContentType="application/vnd.openxmlformats-officedocument.drawingml.chart+xml"/>
  <Override PartName="/word/charts/chart59.xml" ContentType="application/vnd.openxmlformats-officedocument.drawingml.chart+xml"/>
  <Override PartName="/word/charts/chart77.xml" ContentType="application/vnd.openxmlformats-officedocument.drawingml.chart+xml"/>
  <Override PartName="/word/diagrams/colors1.xml" ContentType="application/vnd.openxmlformats-officedocument.drawingml.diagramColors+xml"/>
  <Override PartName="/word/charts/chart88.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word/footer3.xml" ContentType="application/vnd.openxmlformats-officedocument.wordprocessingml.footer+xml"/>
  <Override PartName="/word/charts/chart8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Default Extension="bin" ContentType="application/vnd.openxmlformats-officedocument.oleObject"/>
  <Override PartName="/word/charts/chart89.xml" ContentType="application/vnd.openxmlformats-officedocument.drawingml.chart+xml"/>
  <Override PartName="/word/charts/chart98.xml" ContentType="application/vnd.openxmlformats-officedocument.drawingml.chart+xml"/>
  <Default Extension="emf" ContentType="image/x-emf"/>
  <Override PartName="/word/charts/chart49.xml" ContentType="application/vnd.openxmlformats-officedocument.drawingml.chart+xml"/>
  <Override PartName="/word/charts/chart69.xml" ContentType="application/vnd.openxmlformats-officedocument.drawingml.chart+xml"/>
  <Override PartName="/word/charts/chart78.xml" ContentType="application/vnd.openxmlformats-officedocument.drawingml.chart+xml"/>
  <Override PartName="/word/charts/chart87.xml" ContentType="application/vnd.openxmlformats-officedocument.drawingml.chart+xml"/>
  <Default Extension="jpeg" ContentType="image/jpeg"/>
  <Override PartName="/word/charts/chart96.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word/charts/chart76.xml" ContentType="application/vnd.openxmlformats-officedocument.drawingml.chart+xml"/>
  <Override PartName="/word/footer4.xml" ContentType="application/vnd.openxmlformats-officedocument.wordprocessingml.footer+xml"/>
  <Override PartName="/word/charts/chart85.xml" ContentType="application/vnd.openxmlformats-officedocument.drawingml.chart+xml"/>
  <Override PartName="/word/charts/chart94.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74.xml" ContentType="application/vnd.openxmlformats-officedocument.drawingml.chart+xml"/>
  <Override PartName="/word/charts/chart83.xml" ContentType="application/vnd.openxmlformats-officedocument.drawingml.chart+xml"/>
  <Override PartName="/word/charts/chart92.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charts/chart10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charts/chart10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xml" ContentType="application/vnd.openxmlformats-officedocument.drawingml.diagramData+xml"/>
  <Override PartName="/word/charts/chart68.xml" ContentType="application/vnd.openxmlformats-officedocument.drawingml.chart+xml"/>
  <Override PartName="/word/charts/chart79.xml" ContentType="application/vnd.openxmlformats-officedocument.drawingml.chart+xml"/>
  <Default Extension="wmf" ContentType="image/x-wmf"/>
  <Override PartName="/word/charts/chart97.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86.xml" ContentType="application/vnd.openxmlformats-officedocument.drawingml.chart+xml"/>
  <Override PartName="/word/footer5.xml" ContentType="application/vnd.openxmlformats-officedocument.wordprocessingml.footer+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footer1.xml" ContentType="application/vnd.openxmlformats-officedocument.wordprocessingml.footer+xml"/>
  <Override PartName="/word/charts/chart71.xml" ContentType="application/vnd.openxmlformats-officedocument.drawingml.chart+xml"/>
  <Override PartName="/word/charts/chart8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076E" w:rsidRPr="00574C4C" w:rsidRDefault="00B9076E" w:rsidP="00B9076E">
      <w:pPr>
        <w:spacing w:after="0" w:line="240" w:lineRule="auto"/>
        <w:rPr>
          <w:rFonts w:ascii="Times New Roman" w:eastAsia="Times New Roman" w:hAnsi="Times New Roman" w:cs="Times New Roman"/>
          <w:sz w:val="28"/>
          <w:szCs w:val="28"/>
        </w:rPr>
      </w:pPr>
      <w:r w:rsidRPr="00574C4C">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page">
              <wp:posOffset>3643630</wp:posOffset>
            </wp:positionH>
            <wp:positionV relativeFrom="page">
              <wp:posOffset>262890</wp:posOffset>
            </wp:positionV>
            <wp:extent cx="671195" cy="641350"/>
            <wp:effectExtent l="19050" t="0" r="0" b="0"/>
            <wp:wrapTopAndBottom/>
            <wp:docPr id="6" name="Рисунок 6" descr="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1"/>
                    <pic:cNvPicPr>
                      <a:picLocks noChangeAspect="1" noChangeArrowheads="1"/>
                    </pic:cNvPicPr>
                  </pic:nvPicPr>
                  <pic:blipFill>
                    <a:blip r:embed="rId8" cstate="print"/>
                    <a:srcRect l="15825" r="73529" b="74850"/>
                    <a:stretch>
                      <a:fillRect/>
                    </a:stretch>
                  </pic:blipFill>
                  <pic:spPr bwMode="auto">
                    <a:xfrm>
                      <a:off x="0" y="0"/>
                      <a:ext cx="671195" cy="641350"/>
                    </a:xfrm>
                    <a:prstGeom prst="rect">
                      <a:avLst/>
                    </a:prstGeom>
                    <a:noFill/>
                    <a:ln w="9525">
                      <a:noFill/>
                      <a:miter lim="800000"/>
                      <a:headEnd/>
                      <a:tailEnd/>
                    </a:ln>
                  </pic:spPr>
                </pic:pic>
              </a:graphicData>
            </a:graphic>
          </wp:anchor>
        </w:drawing>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ЗЕМСКОЕ СОБРАНИЕ</w:t>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БАРДЫМСКОГО МУНИЦИПАЛЬНОГО РАЙОНА</w:t>
      </w: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ПЕРМСК</w:t>
      </w:r>
      <w:r w:rsidRPr="00574C4C">
        <w:rPr>
          <w:rFonts w:ascii="Times New Roman" w:eastAsia="Times New Roman" w:hAnsi="Times New Roman" w:cs="Times New Roman"/>
          <w:noProof/>
          <w:sz w:val="28"/>
          <w:szCs w:val="28"/>
          <w:lang w:eastAsia="en-US"/>
        </w:rPr>
        <w:t>ОГО</w:t>
      </w:r>
      <w:r w:rsidRPr="00574C4C">
        <w:rPr>
          <w:rFonts w:ascii="Times New Roman" w:eastAsia="Times New Roman" w:hAnsi="Times New Roman" w:cs="Times New Roman"/>
          <w:sz w:val="28"/>
          <w:szCs w:val="28"/>
        </w:rPr>
        <w:t xml:space="preserve"> КРАЯ</w:t>
      </w:r>
    </w:p>
    <w:p w:rsidR="00B9076E" w:rsidRPr="00574C4C" w:rsidRDefault="00B9076E" w:rsidP="00B9076E">
      <w:pPr>
        <w:spacing w:after="0" w:line="240" w:lineRule="auto"/>
        <w:jc w:val="center"/>
        <w:rPr>
          <w:rFonts w:ascii="Times New Roman" w:eastAsia="Times New Roman" w:hAnsi="Times New Roman" w:cs="Times New Roman"/>
          <w:sz w:val="28"/>
          <w:szCs w:val="28"/>
        </w:rPr>
      </w:pPr>
    </w:p>
    <w:p w:rsidR="00B9076E" w:rsidRPr="00AC37BD" w:rsidRDefault="00F11E5C" w:rsidP="00B9076E">
      <w:pPr>
        <w:spacing w:after="0" w:line="240"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ДВАДЦАТЬ ШЕСТОЕ </w:t>
      </w:r>
      <w:r w:rsidR="00B9076E" w:rsidRPr="00AC37BD">
        <w:rPr>
          <w:rFonts w:ascii="Times New Roman" w:eastAsia="Times New Roman" w:hAnsi="Times New Roman" w:cs="Times New Roman"/>
          <w:color w:val="000000" w:themeColor="text1"/>
          <w:sz w:val="28"/>
          <w:szCs w:val="28"/>
        </w:rPr>
        <w:t>ЗАСЕДАНИ</w:t>
      </w:r>
      <w:r w:rsidR="00136EC4">
        <w:rPr>
          <w:rFonts w:ascii="Times New Roman" w:eastAsia="Times New Roman" w:hAnsi="Times New Roman" w:cs="Times New Roman"/>
          <w:color w:val="000000" w:themeColor="text1"/>
          <w:sz w:val="28"/>
          <w:szCs w:val="28"/>
        </w:rPr>
        <w:t>Е</w:t>
      </w:r>
    </w:p>
    <w:p w:rsidR="00B9076E" w:rsidRPr="00574C4C" w:rsidRDefault="00B9076E" w:rsidP="00B9076E">
      <w:pPr>
        <w:spacing w:after="0" w:line="240" w:lineRule="auto"/>
        <w:jc w:val="center"/>
        <w:rPr>
          <w:rFonts w:ascii="Times New Roman" w:eastAsia="Times New Roman" w:hAnsi="Times New Roman" w:cs="Times New Roman"/>
          <w:sz w:val="28"/>
          <w:szCs w:val="28"/>
        </w:rPr>
      </w:pPr>
    </w:p>
    <w:p w:rsidR="00B9076E" w:rsidRPr="00574C4C" w:rsidRDefault="00B9076E" w:rsidP="00B9076E">
      <w:pPr>
        <w:spacing w:after="0" w:line="240" w:lineRule="auto"/>
        <w:jc w:val="center"/>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РЕШЕНИЕ</w:t>
      </w:r>
    </w:p>
    <w:p w:rsidR="00B9076E" w:rsidRPr="00574C4C" w:rsidRDefault="00B9076E" w:rsidP="00B9076E">
      <w:pPr>
        <w:spacing w:after="0" w:line="240" w:lineRule="auto"/>
        <w:rPr>
          <w:rFonts w:ascii="Times New Roman" w:eastAsia="Times New Roman" w:hAnsi="Times New Roman" w:cs="Times New Roman"/>
          <w:b/>
          <w:sz w:val="36"/>
          <w:szCs w:val="20"/>
        </w:rPr>
      </w:pPr>
    </w:p>
    <w:p w:rsidR="00B9076E" w:rsidRPr="00574C4C" w:rsidRDefault="00B9076E" w:rsidP="00B9076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D788E">
        <w:rPr>
          <w:rFonts w:ascii="Times New Roman" w:eastAsia="Times New Roman" w:hAnsi="Times New Roman" w:cs="Times New Roman"/>
          <w:sz w:val="28"/>
          <w:szCs w:val="28"/>
        </w:rPr>
        <w:t>22.03.2018</w:t>
      </w:r>
      <w:r w:rsidRPr="00574C4C">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E92390">
        <w:rPr>
          <w:rFonts w:ascii="Times New Roman" w:eastAsia="Times New Roman" w:hAnsi="Times New Roman" w:cs="Times New Roman"/>
          <w:sz w:val="28"/>
          <w:szCs w:val="28"/>
        </w:rPr>
        <w:tab/>
      </w:r>
      <w:r w:rsidR="001D788E">
        <w:rPr>
          <w:rFonts w:ascii="Times New Roman" w:eastAsia="Times New Roman" w:hAnsi="Times New Roman" w:cs="Times New Roman"/>
          <w:sz w:val="28"/>
          <w:szCs w:val="28"/>
        </w:rPr>
        <w:t xml:space="preserve">                            </w:t>
      </w:r>
      <w:r w:rsidRPr="00574C4C">
        <w:rPr>
          <w:rFonts w:ascii="Times New Roman" w:eastAsia="Times New Roman" w:hAnsi="Times New Roman" w:cs="Times New Roman"/>
          <w:sz w:val="28"/>
          <w:szCs w:val="28"/>
        </w:rPr>
        <w:t xml:space="preserve">№ </w:t>
      </w:r>
      <w:r w:rsidR="001D788E">
        <w:rPr>
          <w:rFonts w:ascii="Times New Roman" w:eastAsia="Times New Roman" w:hAnsi="Times New Roman" w:cs="Times New Roman"/>
          <w:sz w:val="28"/>
          <w:szCs w:val="28"/>
        </w:rPr>
        <w:t>385</w:t>
      </w:r>
    </w:p>
    <w:p w:rsidR="009F0B4C" w:rsidRDefault="009F0B4C" w:rsidP="00B9076E">
      <w:pPr>
        <w:spacing w:after="0" w:line="240" w:lineRule="auto"/>
        <w:rPr>
          <w:rFonts w:ascii="Times New Roman" w:eastAsia="Times New Roman" w:hAnsi="Times New Roman" w:cs="Times New Roman"/>
          <w:sz w:val="28"/>
          <w:szCs w:val="20"/>
        </w:rPr>
      </w:pPr>
    </w:p>
    <w:p w:rsidR="001D788E" w:rsidRPr="00574C4C" w:rsidRDefault="001D788E" w:rsidP="00B9076E">
      <w:pPr>
        <w:spacing w:after="0" w:line="240" w:lineRule="auto"/>
        <w:rPr>
          <w:rFonts w:ascii="Times New Roman" w:eastAsia="Times New Roman" w:hAnsi="Times New Roman" w:cs="Times New Roman"/>
          <w:sz w:val="28"/>
          <w:szCs w:val="20"/>
        </w:rPr>
      </w:pPr>
    </w:p>
    <w:p w:rsidR="00064F30" w:rsidRDefault="00CF141C" w:rsidP="00CF141C">
      <w:pPr>
        <w:spacing w:after="0" w:line="240" w:lineRule="auto"/>
        <w:rPr>
          <w:rFonts w:ascii="Times New Roman" w:hAnsi="Times New Roman" w:cs="Times New Roman"/>
          <w:b/>
          <w:sz w:val="28"/>
          <w:szCs w:val="28"/>
        </w:rPr>
      </w:pPr>
      <w:r w:rsidRPr="00CF141C">
        <w:rPr>
          <w:rFonts w:ascii="Times New Roman" w:hAnsi="Times New Roman" w:cs="Times New Roman"/>
          <w:b/>
          <w:sz w:val="28"/>
          <w:szCs w:val="28"/>
        </w:rPr>
        <w:t>О</w:t>
      </w:r>
      <w:r w:rsidR="003250B8">
        <w:rPr>
          <w:rFonts w:ascii="Times New Roman" w:hAnsi="Times New Roman" w:cs="Times New Roman"/>
          <w:b/>
          <w:sz w:val="28"/>
          <w:szCs w:val="28"/>
        </w:rPr>
        <w:t xml:space="preserve"> принятии Стратегии </w:t>
      </w:r>
    </w:p>
    <w:p w:rsidR="003250B8" w:rsidRDefault="003250B8" w:rsidP="00CF141C">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социально-экономического </w:t>
      </w:r>
    </w:p>
    <w:p w:rsidR="00052850" w:rsidRDefault="003250B8" w:rsidP="00CF141C">
      <w:pPr>
        <w:spacing w:after="0" w:line="240" w:lineRule="auto"/>
        <w:rPr>
          <w:rFonts w:ascii="Times New Roman" w:hAnsi="Times New Roman" w:cs="Times New Roman"/>
          <w:b/>
          <w:sz w:val="28"/>
          <w:szCs w:val="28"/>
        </w:rPr>
      </w:pPr>
      <w:r>
        <w:rPr>
          <w:rFonts w:ascii="Times New Roman" w:hAnsi="Times New Roman" w:cs="Times New Roman"/>
          <w:b/>
          <w:sz w:val="28"/>
          <w:szCs w:val="28"/>
        </w:rPr>
        <w:t>развития Бардымского</w:t>
      </w:r>
      <w:r w:rsidR="00E97C6A">
        <w:rPr>
          <w:rFonts w:ascii="Times New Roman" w:hAnsi="Times New Roman" w:cs="Times New Roman"/>
          <w:b/>
          <w:sz w:val="28"/>
          <w:szCs w:val="28"/>
        </w:rPr>
        <w:t xml:space="preserve"> </w:t>
      </w:r>
      <w:r>
        <w:rPr>
          <w:rFonts w:ascii="Times New Roman" w:hAnsi="Times New Roman" w:cs="Times New Roman"/>
          <w:b/>
          <w:sz w:val="28"/>
          <w:szCs w:val="28"/>
        </w:rPr>
        <w:t xml:space="preserve">муниципального </w:t>
      </w:r>
    </w:p>
    <w:p w:rsidR="00B9076E" w:rsidRPr="00CF141C" w:rsidRDefault="003250B8" w:rsidP="00CF141C">
      <w:pPr>
        <w:spacing w:after="0" w:line="240" w:lineRule="auto"/>
        <w:rPr>
          <w:rFonts w:ascii="Times New Roman" w:eastAsia="Times New Roman" w:hAnsi="Times New Roman" w:cs="Times New Roman"/>
          <w:b/>
          <w:bCs/>
          <w:sz w:val="28"/>
          <w:szCs w:val="28"/>
        </w:rPr>
      </w:pPr>
      <w:r>
        <w:rPr>
          <w:rFonts w:ascii="Times New Roman" w:hAnsi="Times New Roman" w:cs="Times New Roman"/>
          <w:b/>
          <w:sz w:val="28"/>
          <w:szCs w:val="28"/>
        </w:rPr>
        <w:t>района на</w:t>
      </w:r>
      <w:r w:rsidR="002D7431">
        <w:rPr>
          <w:rFonts w:ascii="Times New Roman" w:hAnsi="Times New Roman" w:cs="Times New Roman"/>
          <w:b/>
          <w:sz w:val="28"/>
          <w:szCs w:val="28"/>
        </w:rPr>
        <w:t xml:space="preserve"> </w:t>
      </w:r>
      <w:r>
        <w:rPr>
          <w:rFonts w:ascii="Times New Roman" w:hAnsi="Times New Roman" w:cs="Times New Roman"/>
          <w:b/>
          <w:sz w:val="28"/>
          <w:szCs w:val="28"/>
        </w:rPr>
        <w:t>2018-2030 годы</w:t>
      </w:r>
      <w:r w:rsidR="001241D9">
        <w:rPr>
          <w:rFonts w:ascii="Times New Roman" w:hAnsi="Times New Roman" w:cs="Times New Roman"/>
          <w:b/>
          <w:sz w:val="28"/>
          <w:szCs w:val="28"/>
        </w:rPr>
        <w:t xml:space="preserve"> в первом чтении</w:t>
      </w:r>
    </w:p>
    <w:p w:rsidR="00B9076E" w:rsidRDefault="00B9076E" w:rsidP="00B9076E">
      <w:pPr>
        <w:autoSpaceDE w:val="0"/>
        <w:autoSpaceDN w:val="0"/>
        <w:adjustRightInd w:val="0"/>
        <w:spacing w:after="0" w:line="240" w:lineRule="auto"/>
        <w:rPr>
          <w:rFonts w:ascii="Times New Roman" w:eastAsia="Times New Roman" w:hAnsi="Times New Roman" w:cs="Times New Roman"/>
          <w:b/>
          <w:sz w:val="28"/>
          <w:szCs w:val="28"/>
        </w:rPr>
      </w:pPr>
    </w:p>
    <w:p w:rsidR="00052850" w:rsidRPr="00574C4C" w:rsidRDefault="00052850" w:rsidP="00B9076E">
      <w:pPr>
        <w:autoSpaceDE w:val="0"/>
        <w:autoSpaceDN w:val="0"/>
        <w:adjustRightInd w:val="0"/>
        <w:spacing w:after="0" w:line="240" w:lineRule="auto"/>
        <w:rPr>
          <w:rFonts w:ascii="Times New Roman" w:eastAsia="Times New Roman" w:hAnsi="Times New Roman" w:cs="Times New Roman"/>
          <w:b/>
          <w:sz w:val="28"/>
          <w:szCs w:val="28"/>
        </w:rPr>
      </w:pPr>
    </w:p>
    <w:p w:rsidR="00CF141C" w:rsidRPr="00574C4C" w:rsidRDefault="00D5668B" w:rsidP="00CF141C">
      <w:pPr>
        <w:spacing w:after="0" w:line="240" w:lineRule="auto"/>
        <w:ind w:firstLine="720"/>
        <w:jc w:val="both"/>
        <w:rPr>
          <w:rFonts w:ascii="Times New Roman" w:eastAsia="Times New Roman" w:hAnsi="Times New Roman" w:cs="Times New Roman"/>
          <w:sz w:val="28"/>
          <w:szCs w:val="28"/>
        </w:rPr>
      </w:pPr>
      <w:r>
        <w:rPr>
          <w:rFonts w:ascii="Times New Roman" w:hAnsi="Times New Roman" w:cs="Times New Roman"/>
          <w:sz w:val="28"/>
          <w:szCs w:val="28"/>
        </w:rPr>
        <w:t xml:space="preserve">В соответствии с </w:t>
      </w:r>
      <w:r w:rsidR="00CF141C" w:rsidRPr="00CF141C">
        <w:rPr>
          <w:rFonts w:ascii="Times New Roman" w:hAnsi="Times New Roman" w:cs="Times New Roman"/>
          <w:sz w:val="28"/>
          <w:szCs w:val="28"/>
        </w:rPr>
        <w:t>Федеральным законом от 28</w:t>
      </w:r>
      <w:r w:rsidR="00BE7C22">
        <w:rPr>
          <w:rFonts w:ascii="Times New Roman" w:hAnsi="Times New Roman" w:cs="Times New Roman"/>
          <w:sz w:val="28"/>
          <w:szCs w:val="28"/>
        </w:rPr>
        <w:t>.06.2</w:t>
      </w:r>
      <w:r w:rsidR="00CF141C" w:rsidRPr="00CF141C">
        <w:rPr>
          <w:rFonts w:ascii="Times New Roman" w:hAnsi="Times New Roman" w:cs="Times New Roman"/>
          <w:sz w:val="28"/>
          <w:szCs w:val="28"/>
        </w:rPr>
        <w:t xml:space="preserve">014 № 172-ФЗ </w:t>
      </w:r>
      <w:r w:rsidR="00CF141C" w:rsidRPr="00CF141C">
        <w:rPr>
          <w:rFonts w:ascii="Times New Roman" w:hAnsi="Times New Roman" w:cs="Times New Roman"/>
          <w:sz w:val="28"/>
          <w:szCs w:val="28"/>
        </w:rPr>
        <w:br/>
      </w:r>
      <w:r w:rsidR="00DE2D0E">
        <w:rPr>
          <w:rFonts w:ascii="Times New Roman" w:hAnsi="Times New Roman" w:cs="Times New Roman"/>
          <w:sz w:val="28"/>
          <w:szCs w:val="28"/>
        </w:rPr>
        <w:t>«</w:t>
      </w:r>
      <w:r w:rsidR="00CF141C" w:rsidRPr="00CF141C">
        <w:rPr>
          <w:rFonts w:ascii="Times New Roman" w:hAnsi="Times New Roman" w:cs="Times New Roman"/>
          <w:sz w:val="28"/>
          <w:szCs w:val="28"/>
        </w:rPr>
        <w:t>О стратегическом планировании в Российской Федерации</w:t>
      </w:r>
      <w:r w:rsidR="00DE2D0E">
        <w:rPr>
          <w:rFonts w:ascii="Times New Roman" w:hAnsi="Times New Roman" w:cs="Times New Roman"/>
          <w:sz w:val="28"/>
          <w:szCs w:val="28"/>
        </w:rPr>
        <w:t>»</w:t>
      </w:r>
      <w:r w:rsidR="00CF141C" w:rsidRPr="00CF141C">
        <w:rPr>
          <w:rFonts w:ascii="Times New Roman" w:hAnsi="Times New Roman" w:cs="Times New Roman"/>
          <w:sz w:val="28"/>
          <w:szCs w:val="28"/>
        </w:rPr>
        <w:t>,</w:t>
      </w:r>
      <w:r w:rsidR="00A13D85" w:rsidRPr="00A13D85">
        <w:rPr>
          <w:rFonts w:ascii="Times New Roman" w:hAnsi="Times New Roman" w:cs="Times New Roman"/>
          <w:sz w:val="28"/>
          <w:szCs w:val="28"/>
        </w:rPr>
        <w:t xml:space="preserve"> </w:t>
      </w:r>
      <w:r w:rsidRPr="00CF141C">
        <w:rPr>
          <w:rFonts w:ascii="Times New Roman" w:hAnsi="Times New Roman" w:cs="Times New Roman"/>
          <w:sz w:val="28"/>
          <w:szCs w:val="28"/>
        </w:rPr>
        <w:t xml:space="preserve">Уставом </w:t>
      </w:r>
      <w:r>
        <w:rPr>
          <w:rFonts w:ascii="Times New Roman" w:hAnsi="Times New Roman" w:cs="Times New Roman"/>
          <w:sz w:val="28"/>
          <w:szCs w:val="28"/>
        </w:rPr>
        <w:t xml:space="preserve">Бардымского </w:t>
      </w:r>
      <w:r w:rsidRPr="00CF141C">
        <w:rPr>
          <w:rFonts w:ascii="Times New Roman" w:hAnsi="Times New Roman" w:cs="Times New Roman"/>
          <w:sz w:val="28"/>
          <w:szCs w:val="28"/>
        </w:rPr>
        <w:t>муниципального района</w:t>
      </w:r>
      <w:r w:rsidR="0081565B">
        <w:rPr>
          <w:rFonts w:ascii="Times New Roman" w:hAnsi="Times New Roman" w:cs="Times New Roman"/>
          <w:sz w:val="28"/>
          <w:szCs w:val="28"/>
        </w:rPr>
        <w:t>, решением Земского С</w:t>
      </w:r>
      <w:r>
        <w:rPr>
          <w:rFonts w:ascii="Times New Roman" w:hAnsi="Times New Roman" w:cs="Times New Roman"/>
          <w:sz w:val="28"/>
          <w:szCs w:val="28"/>
        </w:rPr>
        <w:t xml:space="preserve">обрания Бардымского муниципального района от 11.07.2017 № 321 </w:t>
      </w:r>
      <w:r w:rsidR="00DE2D0E">
        <w:rPr>
          <w:rFonts w:ascii="Times New Roman" w:hAnsi="Times New Roman" w:cs="Times New Roman"/>
          <w:sz w:val="28"/>
          <w:szCs w:val="28"/>
        </w:rPr>
        <w:t>«</w:t>
      </w:r>
      <w:r>
        <w:rPr>
          <w:rFonts w:ascii="Times New Roman" w:hAnsi="Times New Roman" w:cs="Times New Roman"/>
          <w:sz w:val="28"/>
          <w:szCs w:val="28"/>
        </w:rPr>
        <w:t>Об утверждении Положения о стратегическом планировании в Бардымском муниципальном районе</w:t>
      </w:r>
      <w:r w:rsidR="00DE2D0E">
        <w:rPr>
          <w:rFonts w:ascii="Times New Roman" w:hAnsi="Times New Roman" w:cs="Times New Roman"/>
          <w:sz w:val="28"/>
          <w:szCs w:val="28"/>
        </w:rPr>
        <w:t>»</w:t>
      </w:r>
      <w:r w:rsidR="002D7431">
        <w:rPr>
          <w:rFonts w:ascii="Times New Roman" w:hAnsi="Times New Roman" w:cs="Times New Roman"/>
          <w:sz w:val="28"/>
          <w:szCs w:val="28"/>
        </w:rPr>
        <w:t xml:space="preserve"> </w:t>
      </w:r>
      <w:r w:rsidR="00CF141C" w:rsidRPr="00574C4C">
        <w:rPr>
          <w:rFonts w:ascii="Times New Roman" w:eastAsia="Times New Roman" w:hAnsi="Times New Roman" w:cs="Times New Roman"/>
          <w:sz w:val="28"/>
          <w:szCs w:val="28"/>
        </w:rPr>
        <w:t>Земское Собрание Бардымского муниципального района</w:t>
      </w:r>
    </w:p>
    <w:p w:rsidR="00CF141C" w:rsidRPr="00574C4C" w:rsidRDefault="00CF141C" w:rsidP="00CF141C">
      <w:pPr>
        <w:spacing w:after="0" w:line="240" w:lineRule="auto"/>
        <w:jc w:val="both"/>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 xml:space="preserve">РЕШАЕТ: </w:t>
      </w:r>
    </w:p>
    <w:p w:rsidR="00CF141C" w:rsidRPr="00CF141C" w:rsidRDefault="00CF141C" w:rsidP="00CF141C">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CF141C">
        <w:rPr>
          <w:rFonts w:ascii="Times New Roman" w:hAnsi="Times New Roman" w:cs="Times New Roman"/>
          <w:sz w:val="28"/>
          <w:szCs w:val="28"/>
        </w:rPr>
        <w:t xml:space="preserve">1. </w:t>
      </w:r>
      <w:r w:rsidR="003250B8">
        <w:rPr>
          <w:rFonts w:ascii="Times New Roman" w:hAnsi="Times New Roman" w:cs="Times New Roman"/>
          <w:sz w:val="28"/>
          <w:szCs w:val="28"/>
        </w:rPr>
        <w:t xml:space="preserve">Принять </w:t>
      </w:r>
      <w:r w:rsidR="00D5668B">
        <w:rPr>
          <w:rFonts w:ascii="Times New Roman" w:hAnsi="Times New Roman" w:cs="Times New Roman"/>
          <w:sz w:val="28"/>
          <w:szCs w:val="28"/>
        </w:rPr>
        <w:t>в первом чтении Стратегию</w:t>
      </w:r>
      <w:r w:rsidR="003250B8">
        <w:rPr>
          <w:rFonts w:ascii="Times New Roman" w:hAnsi="Times New Roman" w:cs="Times New Roman"/>
          <w:sz w:val="28"/>
          <w:szCs w:val="28"/>
        </w:rPr>
        <w:t xml:space="preserve"> социально-экономического развития Бардымского муниципального района на 2018 – 2030 годы</w:t>
      </w:r>
      <w:r w:rsidR="00D5668B">
        <w:rPr>
          <w:rFonts w:ascii="Times New Roman" w:hAnsi="Times New Roman" w:cs="Times New Roman"/>
          <w:sz w:val="28"/>
          <w:szCs w:val="28"/>
        </w:rPr>
        <w:t xml:space="preserve"> согласно приложению к настоящему решению</w:t>
      </w:r>
      <w:r w:rsidR="003250B8">
        <w:rPr>
          <w:rFonts w:ascii="Times New Roman" w:hAnsi="Times New Roman" w:cs="Times New Roman"/>
          <w:sz w:val="28"/>
          <w:szCs w:val="28"/>
        </w:rPr>
        <w:t>.</w:t>
      </w:r>
    </w:p>
    <w:p w:rsidR="00A55770" w:rsidRDefault="00A55770" w:rsidP="00A557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CF141C" w:rsidRPr="00CF141C">
        <w:rPr>
          <w:rFonts w:ascii="Times New Roman" w:hAnsi="Times New Roman" w:cs="Times New Roman"/>
          <w:sz w:val="28"/>
          <w:szCs w:val="28"/>
        </w:rPr>
        <w:t xml:space="preserve">2. </w:t>
      </w:r>
      <w:r w:rsidR="00D5668B">
        <w:rPr>
          <w:rFonts w:ascii="Times New Roman" w:hAnsi="Times New Roman" w:cs="Times New Roman"/>
          <w:sz w:val="28"/>
          <w:szCs w:val="28"/>
        </w:rPr>
        <w:t xml:space="preserve">Назначить </w:t>
      </w:r>
      <w:r w:rsidR="00052850" w:rsidRPr="00A55770">
        <w:rPr>
          <w:rFonts w:ascii="Times New Roman" w:hAnsi="Times New Roman" w:cs="Times New Roman"/>
          <w:sz w:val="28"/>
          <w:szCs w:val="28"/>
        </w:rPr>
        <w:t>публичные слушания</w:t>
      </w:r>
      <w:r w:rsidR="002D7431">
        <w:rPr>
          <w:rFonts w:ascii="Times New Roman" w:hAnsi="Times New Roman" w:cs="Times New Roman"/>
          <w:sz w:val="28"/>
          <w:szCs w:val="28"/>
        </w:rPr>
        <w:t xml:space="preserve"> по вопросу, указанному в пункте 1 настоящего решения </w:t>
      </w:r>
      <w:r w:rsidR="00F11E5C">
        <w:rPr>
          <w:rFonts w:ascii="Times New Roman" w:hAnsi="Times New Roman" w:cs="Times New Roman"/>
          <w:sz w:val="28"/>
          <w:szCs w:val="28"/>
        </w:rPr>
        <w:t xml:space="preserve">на </w:t>
      </w:r>
      <w:r w:rsidR="00944CBC">
        <w:rPr>
          <w:rFonts w:ascii="Times New Roman" w:hAnsi="Times New Roman" w:cs="Times New Roman"/>
          <w:sz w:val="28"/>
          <w:szCs w:val="28"/>
        </w:rPr>
        <w:t>20</w:t>
      </w:r>
      <w:r w:rsidR="00F11E5C">
        <w:rPr>
          <w:rFonts w:ascii="Times New Roman" w:hAnsi="Times New Roman" w:cs="Times New Roman"/>
          <w:sz w:val="28"/>
          <w:szCs w:val="28"/>
        </w:rPr>
        <w:t>.04.2018</w:t>
      </w:r>
      <w:r w:rsidR="00212777" w:rsidRPr="00A55770">
        <w:rPr>
          <w:rFonts w:ascii="Times New Roman" w:hAnsi="Times New Roman" w:cs="Times New Roman"/>
          <w:sz w:val="28"/>
          <w:szCs w:val="28"/>
        </w:rPr>
        <w:t xml:space="preserve"> </w:t>
      </w:r>
      <w:r w:rsidR="00052850" w:rsidRPr="00A55770">
        <w:rPr>
          <w:rFonts w:ascii="Times New Roman" w:hAnsi="Times New Roman" w:cs="Times New Roman"/>
          <w:sz w:val="28"/>
          <w:szCs w:val="28"/>
        </w:rPr>
        <w:t>в</w:t>
      </w:r>
      <w:r w:rsidR="00212777" w:rsidRPr="00A55770">
        <w:rPr>
          <w:rFonts w:ascii="Times New Roman" w:hAnsi="Times New Roman" w:cs="Times New Roman"/>
          <w:sz w:val="28"/>
          <w:szCs w:val="28"/>
        </w:rPr>
        <w:t xml:space="preserve"> 1</w:t>
      </w:r>
      <w:r w:rsidR="00052850" w:rsidRPr="00A55770">
        <w:rPr>
          <w:rFonts w:ascii="Times New Roman" w:hAnsi="Times New Roman" w:cs="Times New Roman"/>
          <w:sz w:val="28"/>
          <w:szCs w:val="28"/>
        </w:rPr>
        <w:t>1</w:t>
      </w:r>
      <w:r w:rsidR="00212777" w:rsidRPr="00A55770">
        <w:rPr>
          <w:rFonts w:ascii="Times New Roman" w:hAnsi="Times New Roman" w:cs="Times New Roman"/>
          <w:sz w:val="28"/>
          <w:szCs w:val="28"/>
        </w:rPr>
        <w:t>.00 часов</w:t>
      </w:r>
      <w:r w:rsidR="002D7431">
        <w:rPr>
          <w:rFonts w:ascii="Times New Roman" w:hAnsi="Times New Roman" w:cs="Times New Roman"/>
          <w:sz w:val="28"/>
          <w:szCs w:val="28"/>
        </w:rPr>
        <w:t xml:space="preserve"> в</w:t>
      </w:r>
      <w:r w:rsidRPr="00A55770">
        <w:rPr>
          <w:rFonts w:ascii="Times New Roman" w:hAnsi="Times New Roman" w:cs="Times New Roman"/>
          <w:sz w:val="28"/>
          <w:szCs w:val="28"/>
        </w:rPr>
        <w:t xml:space="preserve"> МАУ </w:t>
      </w:r>
      <w:r w:rsidR="00DE2D0E">
        <w:rPr>
          <w:rFonts w:ascii="Times New Roman" w:hAnsi="Times New Roman" w:cs="Times New Roman"/>
          <w:sz w:val="28"/>
          <w:szCs w:val="28"/>
        </w:rPr>
        <w:t>«</w:t>
      </w:r>
      <w:r w:rsidRPr="00A55770">
        <w:rPr>
          <w:rFonts w:ascii="Times New Roman" w:hAnsi="Times New Roman" w:cs="Times New Roman"/>
          <w:sz w:val="28"/>
          <w:szCs w:val="28"/>
        </w:rPr>
        <w:t>Бардымский центр культуры и досуга</w:t>
      </w:r>
      <w:r w:rsidR="00DE2D0E">
        <w:rPr>
          <w:rFonts w:ascii="Times New Roman" w:hAnsi="Times New Roman" w:cs="Times New Roman"/>
          <w:sz w:val="28"/>
          <w:szCs w:val="28"/>
        </w:rPr>
        <w:t>»</w:t>
      </w:r>
      <w:r w:rsidRPr="00A55770">
        <w:rPr>
          <w:rFonts w:ascii="Times New Roman" w:hAnsi="Times New Roman" w:cs="Times New Roman"/>
          <w:sz w:val="28"/>
          <w:szCs w:val="28"/>
        </w:rPr>
        <w:t xml:space="preserve"> по адресу: Пермский край, Бардымский район, с.Барда, ул. Ленина, д.39.</w:t>
      </w:r>
    </w:p>
    <w:p w:rsidR="00D5668B" w:rsidRDefault="00D5668B" w:rsidP="00A557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3. Поручить проведение публичных слушаний рабочей группе по разработке Стратегии социально-экономического развития Бардымского</w:t>
      </w:r>
      <w:r w:rsidR="009F0B4C">
        <w:rPr>
          <w:rFonts w:ascii="Times New Roman" w:hAnsi="Times New Roman" w:cs="Times New Roman"/>
          <w:sz w:val="28"/>
          <w:szCs w:val="28"/>
        </w:rPr>
        <w:t xml:space="preserve"> муниципального района Пермского края на 2018-2030 годы, состав которой утвержден распоряжением Администрации Бардымского муниципального района от 27.06.2017 № 319-р.</w:t>
      </w:r>
    </w:p>
    <w:p w:rsidR="00944CBC" w:rsidRDefault="00944CBC" w:rsidP="00A557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4. </w:t>
      </w:r>
      <w:r w:rsidR="001241D9">
        <w:rPr>
          <w:rFonts w:ascii="Times New Roman" w:hAnsi="Times New Roman" w:cs="Times New Roman"/>
          <w:sz w:val="28"/>
          <w:szCs w:val="28"/>
        </w:rPr>
        <w:t>Рекомендовать Советам депутатов сельских по</w:t>
      </w:r>
      <w:r w:rsidR="003E0362">
        <w:rPr>
          <w:rFonts w:ascii="Times New Roman" w:hAnsi="Times New Roman" w:cs="Times New Roman"/>
          <w:sz w:val="28"/>
          <w:szCs w:val="28"/>
        </w:rPr>
        <w:t>с</w:t>
      </w:r>
      <w:r w:rsidR="001241D9">
        <w:rPr>
          <w:rFonts w:ascii="Times New Roman" w:hAnsi="Times New Roman" w:cs="Times New Roman"/>
          <w:sz w:val="28"/>
          <w:szCs w:val="28"/>
        </w:rPr>
        <w:t xml:space="preserve">елений рассмотреть </w:t>
      </w:r>
      <w:r w:rsidR="003E0362">
        <w:rPr>
          <w:rFonts w:ascii="Times New Roman" w:hAnsi="Times New Roman" w:cs="Times New Roman"/>
          <w:sz w:val="28"/>
          <w:szCs w:val="28"/>
        </w:rPr>
        <w:t>Стратегию</w:t>
      </w:r>
      <w:r w:rsidR="00F441E1">
        <w:rPr>
          <w:rFonts w:ascii="Times New Roman" w:hAnsi="Times New Roman" w:cs="Times New Roman"/>
          <w:sz w:val="28"/>
          <w:szCs w:val="28"/>
        </w:rPr>
        <w:t xml:space="preserve"> социально-экономического развития Бардымского муниципального </w:t>
      </w:r>
      <w:r w:rsidR="003E0362">
        <w:rPr>
          <w:rFonts w:ascii="Times New Roman" w:hAnsi="Times New Roman" w:cs="Times New Roman"/>
          <w:sz w:val="28"/>
          <w:szCs w:val="28"/>
        </w:rPr>
        <w:t xml:space="preserve">района на 2018-2030 годы и представить свои замечания и предложения в планово-экономический отдел Администрации Бардымского муниципального района в срок до 16.04.2018.  </w:t>
      </w:r>
    </w:p>
    <w:p w:rsidR="00F441E1" w:rsidRDefault="00F441E1" w:rsidP="00F441E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 xml:space="preserve">5. Рекомендовать исполнителю научно-исследовательской работы по разработке Стратегии социально-экономического развития Бардымского </w:t>
      </w:r>
      <w:r>
        <w:rPr>
          <w:rFonts w:ascii="Times New Roman" w:hAnsi="Times New Roman" w:cs="Times New Roman"/>
          <w:sz w:val="28"/>
          <w:szCs w:val="28"/>
        </w:rPr>
        <w:lastRenderedPageBreak/>
        <w:t>муниципального района на 2018-2030 годы – генеральному дире</w:t>
      </w:r>
      <w:r w:rsidR="00133164">
        <w:rPr>
          <w:rFonts w:ascii="Times New Roman" w:hAnsi="Times New Roman" w:cs="Times New Roman"/>
          <w:sz w:val="28"/>
          <w:szCs w:val="28"/>
        </w:rPr>
        <w:t>к</w:t>
      </w:r>
      <w:r>
        <w:rPr>
          <w:rFonts w:ascii="Times New Roman" w:hAnsi="Times New Roman" w:cs="Times New Roman"/>
          <w:sz w:val="28"/>
          <w:szCs w:val="28"/>
        </w:rPr>
        <w:t>тору ООО «ГК «ТенСилон»</w:t>
      </w:r>
      <w:r w:rsidR="00133164">
        <w:rPr>
          <w:rFonts w:ascii="Times New Roman" w:hAnsi="Times New Roman" w:cs="Times New Roman"/>
          <w:sz w:val="28"/>
          <w:szCs w:val="28"/>
        </w:rPr>
        <w:t xml:space="preserve"> Кутемовой Е.А. принять участие в публичном слушании по вопросу, указанному в пункте 1 настоящего решения.</w:t>
      </w:r>
    </w:p>
    <w:p w:rsidR="00CF141C" w:rsidRPr="00A55770" w:rsidRDefault="00A55770" w:rsidP="00A557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33164">
        <w:rPr>
          <w:rFonts w:ascii="Times New Roman" w:hAnsi="Times New Roman" w:cs="Times New Roman"/>
          <w:sz w:val="28"/>
          <w:szCs w:val="28"/>
        </w:rPr>
        <w:t>6</w:t>
      </w:r>
      <w:r w:rsidR="00CF141C" w:rsidRPr="00CF141C">
        <w:rPr>
          <w:rFonts w:ascii="Times New Roman" w:hAnsi="Times New Roman" w:cs="Times New Roman"/>
          <w:sz w:val="28"/>
          <w:szCs w:val="28"/>
        </w:rPr>
        <w:t xml:space="preserve">. </w:t>
      </w:r>
      <w:r w:rsidR="00CF141C" w:rsidRPr="00574C4C">
        <w:rPr>
          <w:rFonts w:ascii="Times New Roman" w:eastAsia="Times New Roman" w:hAnsi="Times New Roman" w:cs="Times New Roman"/>
          <w:bCs/>
          <w:sz w:val="28"/>
          <w:szCs w:val="20"/>
        </w:rPr>
        <w:t xml:space="preserve">Настоящее решение </w:t>
      </w:r>
      <w:r w:rsidR="002D7431">
        <w:rPr>
          <w:rFonts w:ascii="Times New Roman" w:eastAsia="Times New Roman" w:hAnsi="Times New Roman" w:cs="Times New Roman"/>
          <w:bCs/>
          <w:sz w:val="28"/>
          <w:szCs w:val="20"/>
        </w:rPr>
        <w:t>опубликовать</w:t>
      </w:r>
      <w:r w:rsidR="006F3566">
        <w:rPr>
          <w:rFonts w:ascii="Times New Roman" w:eastAsia="Times New Roman" w:hAnsi="Times New Roman" w:cs="Times New Roman"/>
          <w:bCs/>
          <w:sz w:val="28"/>
          <w:szCs w:val="20"/>
        </w:rPr>
        <w:t xml:space="preserve"> (разместить)</w:t>
      </w:r>
      <w:r w:rsidR="00CF141C">
        <w:rPr>
          <w:rFonts w:ascii="Times New Roman" w:eastAsia="Times New Roman" w:hAnsi="Times New Roman" w:cs="Times New Roman"/>
          <w:bCs/>
          <w:sz w:val="28"/>
          <w:szCs w:val="20"/>
        </w:rPr>
        <w:t xml:space="preserve"> на официальном сайте А</w:t>
      </w:r>
      <w:r w:rsidR="00CF141C" w:rsidRPr="00574C4C">
        <w:rPr>
          <w:rFonts w:ascii="Times New Roman" w:eastAsia="Times New Roman" w:hAnsi="Times New Roman" w:cs="Times New Roman"/>
          <w:bCs/>
          <w:sz w:val="28"/>
          <w:szCs w:val="20"/>
        </w:rPr>
        <w:t>дминистрации Бар</w:t>
      </w:r>
      <w:r w:rsidR="00CF141C">
        <w:rPr>
          <w:rFonts w:ascii="Times New Roman" w:eastAsia="Times New Roman" w:hAnsi="Times New Roman" w:cs="Times New Roman"/>
          <w:bCs/>
          <w:sz w:val="28"/>
          <w:szCs w:val="20"/>
        </w:rPr>
        <w:t>дымского муниципального района</w:t>
      </w:r>
      <w:r w:rsidR="002D7431">
        <w:rPr>
          <w:rFonts w:ascii="Times New Roman" w:eastAsia="Times New Roman" w:hAnsi="Times New Roman" w:cs="Times New Roman"/>
          <w:bCs/>
          <w:sz w:val="28"/>
          <w:szCs w:val="20"/>
        </w:rPr>
        <w:t xml:space="preserve"> </w:t>
      </w:r>
      <w:r w:rsidR="00CF141C" w:rsidRPr="00574C4C">
        <w:rPr>
          <w:rFonts w:ascii="Times New Roman" w:eastAsia="Times New Roman" w:hAnsi="Times New Roman" w:cs="Times New Roman"/>
          <w:bCs/>
          <w:sz w:val="28"/>
          <w:szCs w:val="20"/>
          <w:lang w:val="en-US"/>
        </w:rPr>
        <w:t>www</w:t>
      </w:r>
      <w:r w:rsidR="00CF141C" w:rsidRPr="00574C4C">
        <w:rPr>
          <w:rFonts w:ascii="Times New Roman" w:eastAsia="Times New Roman" w:hAnsi="Times New Roman" w:cs="Times New Roman"/>
          <w:bCs/>
          <w:sz w:val="28"/>
          <w:szCs w:val="20"/>
        </w:rPr>
        <w:t>.barda-rayon.ru.</w:t>
      </w:r>
    </w:p>
    <w:p w:rsidR="00CF141C" w:rsidRPr="00CF141C" w:rsidRDefault="00133164" w:rsidP="00CF141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CF141C" w:rsidRPr="00CF141C">
        <w:rPr>
          <w:rFonts w:ascii="Times New Roman" w:hAnsi="Times New Roman" w:cs="Times New Roman"/>
          <w:sz w:val="28"/>
          <w:szCs w:val="28"/>
        </w:rPr>
        <w:t>. Контроль исполнени</w:t>
      </w:r>
      <w:r w:rsidR="00BE7C22">
        <w:rPr>
          <w:rFonts w:ascii="Times New Roman" w:hAnsi="Times New Roman" w:cs="Times New Roman"/>
          <w:sz w:val="28"/>
          <w:szCs w:val="28"/>
        </w:rPr>
        <w:t xml:space="preserve">я </w:t>
      </w:r>
      <w:r w:rsidR="00CF141C" w:rsidRPr="00CF141C">
        <w:rPr>
          <w:rFonts w:ascii="Times New Roman" w:hAnsi="Times New Roman" w:cs="Times New Roman"/>
          <w:sz w:val="28"/>
          <w:szCs w:val="28"/>
        </w:rPr>
        <w:t xml:space="preserve">решения </w:t>
      </w:r>
      <w:r w:rsidR="00BE7C22">
        <w:rPr>
          <w:rFonts w:ascii="Times New Roman" w:hAnsi="Times New Roman" w:cs="Times New Roman"/>
          <w:sz w:val="28"/>
          <w:szCs w:val="28"/>
        </w:rPr>
        <w:t xml:space="preserve">возложить на </w:t>
      </w:r>
      <w:r w:rsidR="00893941">
        <w:rPr>
          <w:rFonts w:ascii="Times New Roman" w:hAnsi="Times New Roman" w:cs="Times New Roman"/>
          <w:sz w:val="28"/>
          <w:szCs w:val="28"/>
        </w:rPr>
        <w:t>председателя</w:t>
      </w:r>
      <w:r w:rsidR="001073A9">
        <w:rPr>
          <w:rFonts w:ascii="Times New Roman" w:hAnsi="Times New Roman" w:cs="Times New Roman"/>
          <w:sz w:val="28"/>
          <w:szCs w:val="28"/>
        </w:rPr>
        <w:t xml:space="preserve"> комиссии</w:t>
      </w:r>
      <w:r w:rsidR="00893941">
        <w:rPr>
          <w:rFonts w:ascii="Times New Roman" w:hAnsi="Times New Roman" w:cs="Times New Roman"/>
          <w:sz w:val="28"/>
          <w:szCs w:val="28"/>
        </w:rPr>
        <w:t xml:space="preserve"> по экономической политике Сарбаева В.М.</w:t>
      </w:r>
    </w:p>
    <w:p w:rsidR="00CF141C" w:rsidRDefault="00CF141C" w:rsidP="00B9076E">
      <w:pPr>
        <w:spacing w:after="0" w:line="240" w:lineRule="auto"/>
        <w:ind w:firstLine="720"/>
        <w:jc w:val="both"/>
        <w:rPr>
          <w:rFonts w:ascii="Times New Roman" w:eastAsia="Times New Roman" w:hAnsi="Times New Roman" w:cs="Times New Roman"/>
          <w:sz w:val="28"/>
          <w:szCs w:val="28"/>
        </w:rPr>
      </w:pPr>
    </w:p>
    <w:p w:rsidR="00B9076E" w:rsidRPr="00574C4C" w:rsidRDefault="00B9076E" w:rsidP="00B9076E">
      <w:pPr>
        <w:tabs>
          <w:tab w:val="left" w:pos="0"/>
        </w:tabs>
        <w:spacing w:after="0" w:line="240" w:lineRule="auto"/>
        <w:jc w:val="both"/>
        <w:rPr>
          <w:rFonts w:ascii="Times New Roman" w:eastAsia="Times New Roman" w:hAnsi="Times New Roman" w:cs="Times New Roman"/>
          <w:sz w:val="28"/>
          <w:szCs w:val="28"/>
        </w:rPr>
      </w:pPr>
    </w:p>
    <w:p w:rsidR="00B9076E" w:rsidRPr="00574C4C" w:rsidRDefault="00B9076E" w:rsidP="00B9076E">
      <w:pPr>
        <w:tabs>
          <w:tab w:val="left" w:pos="0"/>
        </w:tabs>
        <w:spacing w:after="0" w:line="240" w:lineRule="auto"/>
        <w:jc w:val="both"/>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Председатель Земского Собрания</w:t>
      </w:r>
    </w:p>
    <w:p w:rsidR="00B9076E" w:rsidRPr="00574C4C" w:rsidRDefault="00B9076E" w:rsidP="00B9076E">
      <w:pPr>
        <w:tabs>
          <w:tab w:val="left" w:pos="0"/>
        </w:tabs>
        <w:spacing w:after="0" w:line="240" w:lineRule="auto"/>
        <w:rPr>
          <w:rFonts w:ascii="Times New Roman" w:eastAsia="Times New Roman" w:hAnsi="Times New Roman" w:cs="Times New Roman"/>
          <w:sz w:val="28"/>
          <w:szCs w:val="28"/>
        </w:rPr>
      </w:pPr>
      <w:r w:rsidRPr="00574C4C">
        <w:rPr>
          <w:rFonts w:ascii="Times New Roman" w:eastAsia="Times New Roman" w:hAnsi="Times New Roman" w:cs="Times New Roman"/>
          <w:sz w:val="28"/>
          <w:szCs w:val="28"/>
        </w:rPr>
        <w:t xml:space="preserve">Бардымского муниципального района                      </w:t>
      </w:r>
      <w:r w:rsidR="0031634F">
        <w:rPr>
          <w:rFonts w:ascii="Times New Roman" w:eastAsia="Times New Roman" w:hAnsi="Times New Roman" w:cs="Times New Roman"/>
          <w:sz w:val="28"/>
          <w:szCs w:val="28"/>
        </w:rPr>
        <w:t xml:space="preserve">                              Х.Г.</w:t>
      </w:r>
      <w:r>
        <w:rPr>
          <w:rFonts w:ascii="Times New Roman" w:eastAsia="Times New Roman" w:hAnsi="Times New Roman" w:cs="Times New Roman"/>
          <w:sz w:val="28"/>
          <w:szCs w:val="28"/>
        </w:rPr>
        <w:t>Алапанов</w:t>
      </w:r>
    </w:p>
    <w:p w:rsidR="00B9076E" w:rsidRDefault="00B9076E" w:rsidP="00B9076E">
      <w:pPr>
        <w:tabs>
          <w:tab w:val="left" w:pos="0"/>
        </w:tabs>
        <w:spacing w:after="0" w:line="240" w:lineRule="auto"/>
        <w:jc w:val="both"/>
        <w:rPr>
          <w:rFonts w:ascii="Times New Roman" w:eastAsia="Times New Roman" w:hAnsi="Times New Roman" w:cs="Times New Roman"/>
          <w:sz w:val="28"/>
          <w:szCs w:val="28"/>
        </w:rPr>
      </w:pPr>
    </w:p>
    <w:p w:rsidR="00B9076E" w:rsidRDefault="00B9076E" w:rsidP="00B9076E">
      <w:pPr>
        <w:tabs>
          <w:tab w:val="left" w:pos="0"/>
        </w:tabs>
        <w:spacing w:after="0" w:line="240" w:lineRule="auto"/>
        <w:jc w:val="both"/>
        <w:rPr>
          <w:rFonts w:ascii="Times New Roman" w:eastAsia="Times New Roman" w:hAnsi="Times New Roman" w:cs="Times New Roman"/>
          <w:sz w:val="28"/>
          <w:szCs w:val="28"/>
        </w:rPr>
      </w:pPr>
    </w:p>
    <w:p w:rsidR="00886F09"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Глава муниципального района – </w:t>
      </w:r>
    </w:p>
    <w:p w:rsidR="00BE7C22"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глава Администрации Бардымского</w:t>
      </w:r>
    </w:p>
    <w:p w:rsidR="00BE7C22" w:rsidRPr="00BE7C22" w:rsidRDefault="00BE7C22" w:rsidP="00BE7C22">
      <w:pPr>
        <w:spacing w:after="0" w:line="240" w:lineRule="auto"/>
        <w:rPr>
          <w:rFonts w:ascii="Times New Roman" w:hAnsi="Times New Roman" w:cs="Times New Roman"/>
          <w:sz w:val="28"/>
          <w:szCs w:val="28"/>
        </w:rPr>
      </w:pPr>
      <w:r>
        <w:rPr>
          <w:rFonts w:ascii="Times New Roman" w:hAnsi="Times New Roman" w:cs="Times New Roman"/>
          <w:sz w:val="28"/>
          <w:szCs w:val="28"/>
        </w:rPr>
        <w:t>муниципального района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С.М.Ибраев</w:t>
      </w:r>
    </w:p>
    <w:p w:rsidR="00C82567" w:rsidRDefault="00C82567">
      <w:pPr>
        <w:rPr>
          <w:sz w:val="24"/>
          <w:szCs w:val="24"/>
        </w:rPr>
      </w:pPr>
    </w:p>
    <w:p w:rsidR="001D788E" w:rsidRDefault="001D788E">
      <w:pPr>
        <w:rPr>
          <w:sz w:val="24"/>
          <w:szCs w:val="24"/>
        </w:rPr>
      </w:pPr>
    </w:p>
    <w:p w:rsidR="001D788E" w:rsidRPr="001D788E" w:rsidRDefault="001D788E">
      <w:pPr>
        <w:rPr>
          <w:rFonts w:ascii="Times New Roman" w:hAnsi="Times New Roman" w:cs="Times New Roman"/>
          <w:sz w:val="24"/>
          <w:szCs w:val="24"/>
        </w:rPr>
      </w:pPr>
      <w:r w:rsidRPr="001D788E">
        <w:rPr>
          <w:rFonts w:ascii="Times New Roman" w:hAnsi="Times New Roman" w:cs="Times New Roman"/>
          <w:sz w:val="24"/>
          <w:szCs w:val="24"/>
        </w:rPr>
        <w:t>26.03.2018</w:t>
      </w:r>
    </w:p>
    <w:p w:rsidR="00CF141C" w:rsidRDefault="00CF141C"/>
    <w:p w:rsidR="00064F30" w:rsidRDefault="00CF141C" w:rsidP="00CF141C">
      <w:pPr>
        <w:spacing w:after="0" w:line="360" w:lineRule="exact"/>
        <w:ind w:hanging="708"/>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064F30" w:rsidRDefault="00064F30" w:rsidP="00CF141C">
      <w:pPr>
        <w:spacing w:after="0" w:line="360" w:lineRule="exact"/>
        <w:ind w:hanging="708"/>
        <w:rPr>
          <w:rFonts w:ascii="Times New Roman" w:hAnsi="Times New Roman" w:cs="Times New Roman"/>
        </w:rPr>
      </w:pPr>
    </w:p>
    <w:p w:rsidR="00CF141C" w:rsidRPr="00153E07" w:rsidRDefault="00064F30" w:rsidP="00153E07">
      <w:pPr>
        <w:spacing w:after="0" w:line="360" w:lineRule="exact"/>
        <w:ind w:hanging="708"/>
        <w:jc w:val="both"/>
        <w:rPr>
          <w:rFonts w:ascii="Times New Roman" w:hAnsi="Times New Roman" w:cs="Times New Roman"/>
          <w:sz w:val="28"/>
          <w:szCs w:val="28"/>
        </w:rPr>
      </w:pPr>
      <w:r w:rsidRPr="00153E07">
        <w:rPr>
          <w:rFonts w:ascii="Times New Roman" w:hAnsi="Times New Roman" w:cs="Times New Roman"/>
          <w:sz w:val="28"/>
          <w:szCs w:val="28"/>
        </w:rPr>
        <w:lastRenderedPageBreak/>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0081565B" w:rsidRPr="00153E07">
        <w:rPr>
          <w:rFonts w:ascii="Times New Roman" w:hAnsi="Times New Roman" w:cs="Times New Roman"/>
          <w:sz w:val="28"/>
          <w:szCs w:val="28"/>
        </w:rPr>
        <w:t>Приложение</w:t>
      </w:r>
    </w:p>
    <w:p w:rsidR="00C82567" w:rsidRPr="00153E07" w:rsidRDefault="00CF141C" w:rsidP="00153E07">
      <w:pPr>
        <w:spacing w:after="0" w:line="240" w:lineRule="exact"/>
        <w:jc w:val="both"/>
        <w:rPr>
          <w:rFonts w:ascii="Times New Roman" w:hAnsi="Times New Roman" w:cs="Times New Roman"/>
          <w:sz w:val="28"/>
          <w:szCs w:val="28"/>
        </w:rPr>
      </w:pP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Pr="00153E07">
        <w:rPr>
          <w:rFonts w:ascii="Times New Roman" w:hAnsi="Times New Roman" w:cs="Times New Roman"/>
          <w:sz w:val="28"/>
          <w:szCs w:val="28"/>
        </w:rPr>
        <w:tab/>
      </w:r>
      <w:r w:rsidR="0081565B" w:rsidRPr="00153E07">
        <w:rPr>
          <w:rFonts w:ascii="Times New Roman" w:hAnsi="Times New Roman" w:cs="Times New Roman"/>
          <w:sz w:val="28"/>
          <w:szCs w:val="28"/>
        </w:rPr>
        <w:t xml:space="preserve">к </w:t>
      </w:r>
      <w:r w:rsidRPr="00153E07">
        <w:rPr>
          <w:rFonts w:ascii="Times New Roman" w:hAnsi="Times New Roman" w:cs="Times New Roman"/>
          <w:sz w:val="28"/>
          <w:szCs w:val="28"/>
        </w:rPr>
        <w:t>решени</w:t>
      </w:r>
      <w:r w:rsidR="0081565B" w:rsidRPr="00153E07">
        <w:rPr>
          <w:rFonts w:ascii="Times New Roman" w:hAnsi="Times New Roman" w:cs="Times New Roman"/>
          <w:sz w:val="28"/>
          <w:szCs w:val="28"/>
        </w:rPr>
        <w:t>ю</w:t>
      </w:r>
      <w:r w:rsidR="00BE7C22" w:rsidRPr="00153E07">
        <w:rPr>
          <w:rFonts w:ascii="Times New Roman" w:hAnsi="Times New Roman" w:cs="Times New Roman"/>
          <w:sz w:val="28"/>
          <w:szCs w:val="28"/>
        </w:rPr>
        <w:t xml:space="preserve"> Земского С</w:t>
      </w:r>
      <w:r w:rsidRPr="00153E07">
        <w:rPr>
          <w:rFonts w:ascii="Times New Roman" w:hAnsi="Times New Roman" w:cs="Times New Roman"/>
          <w:sz w:val="28"/>
          <w:szCs w:val="28"/>
        </w:rPr>
        <w:t xml:space="preserve">обрания </w:t>
      </w:r>
    </w:p>
    <w:p w:rsidR="00C82567" w:rsidRPr="00153E07" w:rsidRDefault="00A13D85" w:rsidP="00153E07">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w:t>
      </w:r>
      <w:r w:rsidR="00CF141C" w:rsidRPr="00153E07">
        <w:rPr>
          <w:rFonts w:ascii="Times New Roman" w:hAnsi="Times New Roman" w:cs="Times New Roman"/>
          <w:sz w:val="28"/>
          <w:szCs w:val="28"/>
        </w:rPr>
        <w:t xml:space="preserve">Бардымского </w:t>
      </w:r>
      <w:r w:rsidR="00C82567" w:rsidRPr="00153E07">
        <w:rPr>
          <w:rFonts w:ascii="Times New Roman" w:hAnsi="Times New Roman" w:cs="Times New Roman"/>
          <w:sz w:val="28"/>
          <w:szCs w:val="28"/>
        </w:rPr>
        <w:t>мун</w:t>
      </w:r>
      <w:r w:rsidR="00CF141C" w:rsidRPr="00153E07">
        <w:rPr>
          <w:rFonts w:ascii="Times New Roman" w:hAnsi="Times New Roman" w:cs="Times New Roman"/>
          <w:sz w:val="28"/>
          <w:szCs w:val="28"/>
        </w:rPr>
        <w:t>и</w:t>
      </w:r>
      <w:r w:rsidR="00C82567" w:rsidRPr="00153E07">
        <w:rPr>
          <w:rFonts w:ascii="Times New Roman" w:hAnsi="Times New Roman" w:cs="Times New Roman"/>
          <w:sz w:val="28"/>
          <w:szCs w:val="28"/>
        </w:rPr>
        <w:t>ци</w:t>
      </w:r>
      <w:r w:rsidR="00CF141C" w:rsidRPr="00153E07">
        <w:rPr>
          <w:rFonts w:ascii="Times New Roman" w:hAnsi="Times New Roman" w:cs="Times New Roman"/>
          <w:sz w:val="28"/>
          <w:szCs w:val="28"/>
        </w:rPr>
        <w:t xml:space="preserve">пального </w:t>
      </w:r>
    </w:p>
    <w:p w:rsidR="00064F30" w:rsidRPr="00153E07" w:rsidRDefault="00A13D85" w:rsidP="00153E07">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 xml:space="preserve">                                                                                 р</w:t>
      </w:r>
      <w:r w:rsidR="00CF141C" w:rsidRPr="00153E07">
        <w:rPr>
          <w:rFonts w:ascii="Times New Roman" w:hAnsi="Times New Roman" w:cs="Times New Roman"/>
          <w:sz w:val="28"/>
          <w:szCs w:val="28"/>
        </w:rPr>
        <w:t>айона</w:t>
      </w:r>
      <w:r w:rsidR="00530383">
        <w:rPr>
          <w:rFonts w:ascii="Times New Roman" w:hAnsi="Times New Roman" w:cs="Times New Roman"/>
          <w:sz w:val="28"/>
          <w:szCs w:val="28"/>
        </w:rPr>
        <w:t xml:space="preserve"> </w:t>
      </w:r>
      <w:r w:rsidR="001D788E">
        <w:rPr>
          <w:rFonts w:ascii="Times New Roman" w:hAnsi="Times New Roman" w:cs="Times New Roman"/>
          <w:sz w:val="28"/>
          <w:szCs w:val="28"/>
        </w:rPr>
        <w:t>от</w:t>
      </w:r>
      <w:r>
        <w:rPr>
          <w:rFonts w:ascii="Times New Roman" w:hAnsi="Times New Roman" w:cs="Times New Roman"/>
          <w:sz w:val="28"/>
          <w:szCs w:val="28"/>
        </w:rPr>
        <w:t xml:space="preserve"> </w:t>
      </w:r>
      <w:r w:rsidR="001D788E">
        <w:rPr>
          <w:rFonts w:ascii="Times New Roman" w:hAnsi="Times New Roman" w:cs="Times New Roman"/>
          <w:sz w:val="28"/>
          <w:szCs w:val="28"/>
        </w:rPr>
        <w:t>22</w:t>
      </w:r>
      <w:r>
        <w:rPr>
          <w:rFonts w:ascii="Times New Roman" w:hAnsi="Times New Roman" w:cs="Times New Roman"/>
          <w:sz w:val="28"/>
          <w:szCs w:val="28"/>
        </w:rPr>
        <w:t xml:space="preserve">  </w:t>
      </w:r>
      <w:r w:rsidR="001D788E">
        <w:rPr>
          <w:rFonts w:ascii="Times New Roman" w:hAnsi="Times New Roman" w:cs="Times New Roman"/>
          <w:sz w:val="28"/>
          <w:szCs w:val="28"/>
        </w:rPr>
        <w:t>марта</w:t>
      </w:r>
      <w:r w:rsidR="00A55770" w:rsidRPr="00153E07">
        <w:rPr>
          <w:rFonts w:ascii="Times New Roman" w:hAnsi="Times New Roman" w:cs="Times New Roman"/>
          <w:sz w:val="28"/>
          <w:szCs w:val="28"/>
        </w:rPr>
        <w:t xml:space="preserve"> 201</w:t>
      </w:r>
      <w:r>
        <w:rPr>
          <w:rFonts w:ascii="Times New Roman" w:hAnsi="Times New Roman" w:cs="Times New Roman"/>
          <w:sz w:val="28"/>
          <w:szCs w:val="28"/>
        </w:rPr>
        <w:t>8</w:t>
      </w:r>
      <w:r w:rsidR="00A55770" w:rsidRPr="00153E07">
        <w:rPr>
          <w:rFonts w:ascii="Times New Roman" w:hAnsi="Times New Roman" w:cs="Times New Roman"/>
          <w:sz w:val="28"/>
          <w:szCs w:val="28"/>
        </w:rPr>
        <w:t xml:space="preserve"> </w:t>
      </w:r>
      <w:r w:rsidR="00C82567" w:rsidRPr="00153E07">
        <w:rPr>
          <w:rFonts w:ascii="Times New Roman" w:hAnsi="Times New Roman" w:cs="Times New Roman"/>
          <w:sz w:val="28"/>
          <w:szCs w:val="28"/>
        </w:rPr>
        <w:t>№</w:t>
      </w:r>
      <w:r w:rsidR="001D788E">
        <w:rPr>
          <w:rFonts w:ascii="Times New Roman" w:hAnsi="Times New Roman" w:cs="Times New Roman"/>
          <w:sz w:val="28"/>
          <w:szCs w:val="28"/>
        </w:rPr>
        <w:t>385</w:t>
      </w:r>
      <w:r w:rsidR="00064F30" w:rsidRPr="00153E07">
        <w:rPr>
          <w:rFonts w:ascii="Times New Roman" w:hAnsi="Times New Roman" w:cs="Times New Roman"/>
          <w:sz w:val="28"/>
          <w:szCs w:val="28"/>
        </w:rPr>
        <w:t>_</w:t>
      </w:r>
    </w:p>
    <w:p w:rsidR="00064F30" w:rsidRPr="00153E07" w:rsidRDefault="00064F30" w:rsidP="00153E07">
      <w:pPr>
        <w:spacing w:after="0" w:line="240" w:lineRule="exact"/>
        <w:jc w:val="both"/>
        <w:rPr>
          <w:rFonts w:ascii="Times New Roman" w:hAnsi="Times New Roman" w:cs="Times New Roman"/>
          <w:sz w:val="28"/>
          <w:szCs w:val="28"/>
        </w:rPr>
      </w:pPr>
    </w:p>
    <w:p w:rsidR="00747DEB" w:rsidRPr="00153E07" w:rsidRDefault="00747DEB" w:rsidP="00153E07">
      <w:pPr>
        <w:spacing w:after="0" w:line="240" w:lineRule="exact"/>
        <w:jc w:val="both"/>
        <w:rPr>
          <w:rFonts w:ascii="Times New Roman" w:hAnsi="Times New Roman" w:cs="Times New Roman"/>
          <w:b/>
          <w:sz w:val="28"/>
          <w:szCs w:val="28"/>
        </w:rPr>
      </w:pPr>
    </w:p>
    <w:p w:rsidR="00CF141C" w:rsidRPr="00153E07" w:rsidRDefault="00064F30" w:rsidP="00DD3EEB">
      <w:pPr>
        <w:spacing w:after="0" w:line="240" w:lineRule="auto"/>
        <w:jc w:val="both"/>
        <w:rPr>
          <w:rFonts w:ascii="Times New Roman" w:hAnsi="Times New Roman" w:cs="Times New Roman"/>
          <w:b/>
          <w:sz w:val="28"/>
          <w:szCs w:val="28"/>
        </w:rPr>
      </w:pPr>
      <w:r w:rsidRPr="00153E07">
        <w:rPr>
          <w:rFonts w:ascii="Times New Roman" w:hAnsi="Times New Roman" w:cs="Times New Roman"/>
          <w:b/>
          <w:sz w:val="28"/>
          <w:szCs w:val="28"/>
        </w:rPr>
        <w:t>Стратегия социально-экономического развития Бардымского муниципа</w:t>
      </w:r>
      <w:r w:rsidR="00747DEB" w:rsidRPr="00153E07">
        <w:rPr>
          <w:rFonts w:ascii="Times New Roman" w:hAnsi="Times New Roman" w:cs="Times New Roman"/>
          <w:b/>
          <w:sz w:val="28"/>
          <w:szCs w:val="28"/>
        </w:rPr>
        <w:t>льного района на 2018-2030 годы</w:t>
      </w:r>
    </w:p>
    <w:p w:rsidR="00CF141C" w:rsidRPr="00153E07" w:rsidRDefault="00CF141C" w:rsidP="00DD3EEB">
      <w:pPr>
        <w:spacing w:after="0" w:line="240" w:lineRule="auto"/>
        <w:jc w:val="both"/>
        <w:rPr>
          <w:rFonts w:ascii="Times New Roman" w:hAnsi="Times New Roman" w:cs="Times New Roman"/>
          <w:sz w:val="28"/>
          <w:szCs w:val="28"/>
        </w:rPr>
      </w:pPr>
    </w:p>
    <w:p w:rsidR="00064F30" w:rsidRPr="00153E07" w:rsidRDefault="00064F30" w:rsidP="00DD3EEB">
      <w:pPr>
        <w:pStyle w:val="1"/>
        <w:spacing w:line="240" w:lineRule="auto"/>
      </w:pPr>
      <w:bookmarkStart w:id="0" w:name="_Toc491779060"/>
      <w:bookmarkStart w:id="1" w:name="_Toc494124282"/>
      <w:r w:rsidRPr="00153E07">
        <w:t>1. Оценка социально-экономического развития Бардымского муниципального района</w:t>
      </w:r>
      <w:bookmarkEnd w:id="0"/>
      <w:bookmarkEnd w:id="1"/>
    </w:p>
    <w:p w:rsidR="00153E07" w:rsidRPr="00153E07" w:rsidRDefault="00153E07" w:rsidP="00DD3EEB">
      <w:pPr>
        <w:pStyle w:val="1"/>
        <w:numPr>
          <w:ilvl w:val="1"/>
          <w:numId w:val="17"/>
        </w:numPr>
        <w:spacing w:line="240" w:lineRule="auto"/>
      </w:pPr>
      <w:bookmarkStart w:id="2" w:name="_Toc491779061"/>
      <w:bookmarkStart w:id="3" w:name="_Toc494124283"/>
      <w:r w:rsidRPr="00153E07">
        <w:t>Бардымский муниципальный район (общая информация)</w:t>
      </w:r>
    </w:p>
    <w:p w:rsidR="00153E07" w:rsidRPr="00153E07" w:rsidRDefault="00153E07" w:rsidP="00DD3EEB">
      <w:pPr>
        <w:pStyle w:val="1"/>
        <w:spacing w:line="240" w:lineRule="auto"/>
      </w:pPr>
      <w:r w:rsidRPr="00153E07">
        <w:tab/>
      </w:r>
      <w:r w:rsidRPr="00153E07">
        <w:tab/>
        <w:t>1.1.1 Краткая информация</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Площадь территории Бардымского муниципального района Пермского края составляет 2403 кв. 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населения района по данным территориального органа Федеральной службы государственной статистики по Пермскому краю на 01.01.2017г. составила 25 291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Средняя плотность населения в Бардымском районе - 12 чел./кв.км.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Административным центром Бардымского муниципального района является село Барда.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Структура площади и численности населения в разрезе сельских поселений представлена в таблице 1.1.</w:t>
      </w:r>
    </w:p>
    <w:p w:rsidR="00153E07" w:rsidRPr="009D0B85" w:rsidRDefault="00153E07" w:rsidP="00DD3EEB">
      <w:pPr>
        <w:spacing w:after="0" w:line="240" w:lineRule="auto"/>
        <w:ind w:firstLine="709"/>
        <w:jc w:val="right"/>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Таблица 1.1</w:t>
      </w:r>
    </w:p>
    <w:p w:rsidR="00153E07" w:rsidRPr="009D0B85" w:rsidRDefault="00153E07" w:rsidP="00DD3EEB">
      <w:pPr>
        <w:spacing w:after="0" w:line="240" w:lineRule="auto"/>
        <w:jc w:val="center"/>
        <w:rPr>
          <w:rFonts w:ascii="Times New Roman" w:eastAsia="Times New Roman" w:hAnsi="Times New Roman" w:cs="Times New Roman"/>
          <w:b/>
          <w:color w:val="000000"/>
          <w:sz w:val="28"/>
          <w:szCs w:val="28"/>
        </w:rPr>
      </w:pPr>
      <w:r w:rsidRPr="009D0B85">
        <w:rPr>
          <w:rFonts w:ascii="Times New Roman" w:eastAsia="Times New Roman" w:hAnsi="Times New Roman" w:cs="Times New Roman"/>
          <w:b/>
          <w:sz w:val="28"/>
          <w:szCs w:val="28"/>
        </w:rPr>
        <w:t>Структура площади и численности населения в разрезе сельских поселений Бардымского муниципального района на 01.01.2017г.</w:t>
      </w:r>
    </w:p>
    <w:tbl>
      <w:tblPr>
        <w:tblW w:w="5000" w:type="pct"/>
        <w:tblLook w:val="04A0"/>
      </w:tblPr>
      <w:tblGrid>
        <w:gridCol w:w="3207"/>
        <w:gridCol w:w="1021"/>
        <w:gridCol w:w="1534"/>
        <w:gridCol w:w="1233"/>
        <w:gridCol w:w="1534"/>
        <w:gridCol w:w="1608"/>
      </w:tblGrid>
      <w:tr w:rsidR="00153E07" w:rsidRPr="00153E07" w:rsidTr="00153E07">
        <w:trPr>
          <w:trHeight w:val="300"/>
        </w:trPr>
        <w:tc>
          <w:tcPr>
            <w:tcW w:w="20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Сельское поселение</w:t>
            </w:r>
          </w:p>
        </w:tc>
        <w:tc>
          <w:tcPr>
            <w:tcW w:w="1028"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Площадь</w:t>
            </w:r>
            <w:r w:rsidRPr="00F405EC">
              <w:rPr>
                <w:rStyle w:val="aff2"/>
                <w:rFonts w:ascii="Times New Roman" w:eastAsia="Times New Roman" w:hAnsi="Times New Roman" w:cs="Times New Roman"/>
                <w:b/>
                <w:color w:val="000000"/>
                <w:sz w:val="28"/>
                <w:szCs w:val="28"/>
              </w:rPr>
              <w:footnoteReference w:id="2"/>
            </w:r>
          </w:p>
        </w:tc>
        <w:tc>
          <w:tcPr>
            <w:tcW w:w="1221"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Население на 01.01.2017г.</w:t>
            </w:r>
            <w:r w:rsidRPr="00F405EC">
              <w:rPr>
                <w:rStyle w:val="aff2"/>
                <w:rFonts w:ascii="Times New Roman" w:eastAsia="Times New Roman" w:hAnsi="Times New Roman" w:cs="Times New Roman"/>
                <w:b/>
                <w:color w:val="000000"/>
                <w:sz w:val="28"/>
                <w:szCs w:val="28"/>
              </w:rPr>
              <w:footnoteReference w:id="3"/>
            </w:r>
          </w:p>
        </w:tc>
        <w:tc>
          <w:tcPr>
            <w:tcW w:w="7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Плотность населения, чел./кв.км.</w:t>
            </w:r>
          </w:p>
        </w:tc>
      </w:tr>
      <w:tr w:rsidR="00153E07" w:rsidRPr="00153E07" w:rsidTr="00153E07">
        <w:trPr>
          <w:trHeight w:val="600"/>
        </w:trPr>
        <w:tc>
          <w:tcPr>
            <w:tcW w:w="2045" w:type="pct"/>
            <w:vMerge/>
            <w:tcBorders>
              <w:top w:val="single" w:sz="4" w:space="0" w:color="auto"/>
              <w:left w:val="single" w:sz="4" w:space="0" w:color="auto"/>
              <w:bottom w:val="single" w:sz="4" w:space="0" w:color="000000"/>
              <w:right w:val="single" w:sz="4" w:space="0" w:color="auto"/>
            </w:tcBorders>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p>
        </w:tc>
        <w:tc>
          <w:tcPr>
            <w:tcW w:w="353"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кв.км.</w:t>
            </w:r>
          </w:p>
        </w:tc>
        <w:tc>
          <w:tcPr>
            <w:tcW w:w="67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Удельный вес, %</w:t>
            </w:r>
          </w:p>
        </w:tc>
        <w:tc>
          <w:tcPr>
            <w:tcW w:w="546"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человек</w:t>
            </w:r>
          </w:p>
        </w:tc>
        <w:tc>
          <w:tcPr>
            <w:tcW w:w="67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Удельный вес, %</w:t>
            </w:r>
          </w:p>
        </w:tc>
        <w:tc>
          <w:tcPr>
            <w:tcW w:w="705" w:type="pct"/>
            <w:vMerge/>
            <w:tcBorders>
              <w:top w:val="single" w:sz="4" w:space="0" w:color="auto"/>
              <w:left w:val="single" w:sz="4" w:space="0" w:color="auto"/>
              <w:bottom w:val="single" w:sz="4" w:space="0" w:color="auto"/>
              <w:right w:val="single" w:sz="4" w:space="0" w:color="auto"/>
            </w:tcBorders>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Бардымское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232,7</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9,7%</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9827</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38,9%</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42</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Красноярское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103,5</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4,3%</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2249</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8,9%</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22</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Елпачихинское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141,6</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5,9%</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1916</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7,6%</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Сарашевское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242,4</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2487</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9,8%</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Березниковское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157,6</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6,6%</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1364</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5,4%</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Бичуринское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204,3</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8,5%</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1652</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6,5%</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lastRenderedPageBreak/>
              <w:t>Брюзлинское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115,8</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4,8%</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792</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3,1%</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Тюндюковское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206,0</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8,6%</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1312</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5,2%</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Печменское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285,2</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11,9%</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1607</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6,4%</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Федорковское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211,7</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8,8%</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1184</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4,7%</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Новоашапское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164,8</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6,9%</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422</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1,7%</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Шермейское сельское поселение</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337,5</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14,0%</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479</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w:t>
            </w:r>
          </w:p>
        </w:tc>
      </w:tr>
      <w:tr w:rsidR="00153E07" w:rsidRPr="00153E07" w:rsidTr="00153E07">
        <w:trPr>
          <w:trHeight w:val="300"/>
        </w:trPr>
        <w:tc>
          <w:tcPr>
            <w:tcW w:w="2045" w:type="pct"/>
            <w:tcBorders>
              <w:top w:val="nil"/>
              <w:left w:val="single" w:sz="4" w:space="0" w:color="auto"/>
              <w:bottom w:val="single" w:sz="4" w:space="0" w:color="auto"/>
              <w:right w:val="single" w:sz="4" w:space="0" w:color="auto"/>
            </w:tcBorders>
            <w:shd w:val="clear" w:color="auto" w:fill="auto"/>
            <w:noWrap/>
            <w:vAlign w:val="bottom"/>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Итого</w:t>
            </w:r>
          </w:p>
        </w:tc>
        <w:tc>
          <w:tcPr>
            <w:tcW w:w="353"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2403,0</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w:t>
            </w:r>
          </w:p>
        </w:tc>
        <w:tc>
          <w:tcPr>
            <w:tcW w:w="54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25291,0</w:t>
            </w:r>
          </w:p>
        </w:tc>
        <w:tc>
          <w:tcPr>
            <w:tcW w:w="67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w:t>
            </w:r>
          </w:p>
        </w:tc>
        <w:tc>
          <w:tcPr>
            <w:tcW w:w="70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Данные в таблице 1 проранжированы по плотности населения в порядке убывания.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плотности населения в Бардымском муниципальном районе лидируют Бардымское сельское поселение (42 чел./кв.км.), Красноярское сельское поселение (22 чел./кв.км.), Елпачихинское сельское поселение (14 чел./кв.км.), Сарашевское сельское поселение – 10 чел./кв.км, Березниковское сельское поселение – 9 чел./кв.км.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Наименьшая плотность населения наблюдается в Новоашапском (3 чел./кв. км.) и Шермейском (1 чел./кв.км.) сельских поселениях.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структура численности населения в Бардымском муниципальном районе представлена на рисунке 1.1.</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3438525"/>
            <wp:effectExtent l="19050" t="0" r="0" b="0"/>
            <wp:docPr id="212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 Структура численности населения в Бардымском муниципальном районе</w:t>
      </w:r>
    </w:p>
    <w:p w:rsidR="00153E07" w:rsidRPr="00153E07" w:rsidRDefault="00153E07" w:rsidP="00DD3EEB">
      <w:pPr>
        <w:pStyle w:val="1"/>
        <w:spacing w:line="240" w:lineRule="auto"/>
      </w:pPr>
      <w:r w:rsidRPr="00153E07">
        <w:lastRenderedPageBreak/>
        <w:tab/>
        <w:t>1.1.2 Географическое расположение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расположен на юге Пермского края. По территории Бардымского муниципального района протекают реки Тулва и Барда.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Бардымский муниципальный район граничит с Осинским муниципальным районом на севере, с Кунгурским муниципальным районом - на северо-востоке, с Уинским муниципальным районом - на востоке, с Чернушинским муниципальным районом – на юго-востоке, на юге и юго-западе район граничит с Куединским муниципальным районом, с Еловским муниципальным районом – на западе.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ab/>
      </w:r>
      <w:r w:rsidRPr="00153E07">
        <w:rPr>
          <w:rFonts w:ascii="Times New Roman" w:eastAsia="Times New Roman" w:hAnsi="Times New Roman" w:cs="Times New Roman"/>
          <w:sz w:val="28"/>
          <w:szCs w:val="28"/>
        </w:rPr>
        <w:tab/>
      </w:r>
    </w:p>
    <w:p w:rsidR="00153E07" w:rsidRPr="00153E07" w:rsidRDefault="00153E07" w:rsidP="00DD3EEB">
      <w:pPr>
        <w:pStyle w:val="1"/>
        <w:spacing w:line="240" w:lineRule="auto"/>
      </w:pPr>
      <w:r w:rsidRPr="00153E07">
        <w:tab/>
        <w:t>1.1.3 Природные условия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Почвы в Бардымском муниципальном районе преимущественно суглинистые и дерново-средне- и слабоподзолистые глинистые. Рельеф территории Бардымского муниципального района преимущественно увалистый. Земли сельскохозяйственного использования занимают почти 40% всей территории Бардымского района. На 53% территории Бардымского района расположены лесные массивы.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Массивы лесов в Бардымском муниципальном районе, как правило, некрупные, преимущественно темнохвойные и березовые. На южных склонах реки Тулва расположено большое количество вишенников.</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муниципального района в Бардымском, Красноярском, Брюзлинском, Елпачихинском, Шермейском сельском поселении располагается Тулвинский биологический охотничий заказник, целью которого является сохранение и поддержание численности охотничьих животных.</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Животный мир Тулвинского заказника представлен более чем 30 видами млекопитающих: заяц, барсук, выдра, медведь, норка, енотовидная собака, куница. Более редкими видами представлены равнозубая бурозубка, еж, белка-летяга, рысь, красная полевка, бобр; более чем 110 видами гнездящихся и перелетных птиц; 15 видами рыб: ерш, налим, пескарь, окунь, голавль, елец, плотва.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на территории Бардымского района имеются ботанические памятники природы: Сарашевские дубравы (в ред. Постановления Правительства Пермского края от 20.11.2012 №1320-п) и Куземьяровский орешник (введен Постановлением Правительства Пермского края от 21.07.2009г. № 457-п).</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1.1.4 Основные показатели социально-экономического развития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показателей социально-экономического развития Бардымского муниципального района в 2011- 2016 гг. представлена в таблице 1.2.</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DD3EEB" w:rsidRDefault="00DD3EEB" w:rsidP="00597C74">
      <w:pPr>
        <w:spacing w:after="0"/>
        <w:ind w:firstLine="709"/>
        <w:jc w:val="right"/>
        <w:rPr>
          <w:rFonts w:ascii="Times New Roman" w:eastAsia="Times New Roman" w:hAnsi="Times New Roman" w:cs="Times New Roman"/>
          <w:sz w:val="28"/>
          <w:szCs w:val="28"/>
        </w:rPr>
      </w:pPr>
    </w:p>
    <w:p w:rsidR="00DD3EEB" w:rsidRDefault="00DD3EEB" w:rsidP="00597C74">
      <w:pPr>
        <w:spacing w:after="0"/>
        <w:ind w:firstLine="709"/>
        <w:jc w:val="right"/>
        <w:rPr>
          <w:rFonts w:ascii="Times New Roman" w:eastAsia="Times New Roman" w:hAnsi="Times New Roman" w:cs="Times New Roman"/>
          <w:sz w:val="28"/>
          <w:szCs w:val="28"/>
        </w:rPr>
      </w:pPr>
    </w:p>
    <w:p w:rsidR="00DD3EEB" w:rsidRDefault="00DD3EEB" w:rsidP="00597C74">
      <w:pPr>
        <w:spacing w:after="0"/>
        <w:ind w:firstLine="709"/>
        <w:jc w:val="right"/>
        <w:rPr>
          <w:rFonts w:ascii="Times New Roman" w:eastAsia="Times New Roman" w:hAnsi="Times New Roman" w:cs="Times New Roman"/>
          <w:sz w:val="28"/>
          <w:szCs w:val="28"/>
        </w:rPr>
      </w:pPr>
    </w:p>
    <w:p w:rsidR="00DD3EEB" w:rsidRDefault="00DD3EEB" w:rsidP="00597C74">
      <w:pPr>
        <w:spacing w:after="0"/>
        <w:ind w:firstLine="709"/>
        <w:jc w:val="right"/>
        <w:rPr>
          <w:rFonts w:ascii="Times New Roman" w:eastAsia="Times New Roman" w:hAnsi="Times New Roman" w:cs="Times New Roman"/>
          <w:sz w:val="28"/>
          <w:szCs w:val="28"/>
        </w:rPr>
      </w:pPr>
    </w:p>
    <w:p w:rsidR="00153E07" w:rsidRPr="00153E07" w:rsidRDefault="00153E07" w:rsidP="00597C74">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p>
    <w:p w:rsidR="00153E07" w:rsidRDefault="00153E07" w:rsidP="00597C74">
      <w:pPr>
        <w:spacing w:after="0"/>
        <w:jc w:val="center"/>
        <w:rPr>
          <w:rFonts w:ascii="Times New Roman" w:eastAsia="Times New Roman" w:hAnsi="Times New Roman" w:cs="Times New Roman"/>
          <w:b/>
          <w:sz w:val="28"/>
          <w:szCs w:val="28"/>
        </w:rPr>
      </w:pPr>
      <w:r w:rsidRPr="00597C74">
        <w:rPr>
          <w:rFonts w:ascii="Times New Roman" w:eastAsia="Times New Roman" w:hAnsi="Times New Roman" w:cs="Times New Roman"/>
          <w:b/>
          <w:sz w:val="28"/>
          <w:szCs w:val="28"/>
        </w:rPr>
        <w:t>Динамика показателей социально-экономического развития Бардымского муниципального района в 2011- 2016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3"/>
        <w:gridCol w:w="855"/>
        <w:gridCol w:w="1222"/>
        <w:gridCol w:w="1223"/>
        <w:gridCol w:w="1223"/>
        <w:gridCol w:w="1223"/>
        <w:gridCol w:w="1223"/>
        <w:gridCol w:w="1225"/>
      </w:tblGrid>
      <w:tr w:rsidR="00D50C6A" w:rsidRPr="00F405EC" w:rsidTr="00D50C6A">
        <w:trPr>
          <w:trHeight w:val="600"/>
        </w:trPr>
        <w:tc>
          <w:tcPr>
            <w:tcW w:w="959" w:type="pct"/>
            <w:shd w:val="clear" w:color="auto" w:fill="auto"/>
            <w:noWrap/>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Показатели</w:t>
            </w:r>
          </w:p>
        </w:tc>
        <w:tc>
          <w:tcPr>
            <w:tcW w:w="422" w:type="pct"/>
            <w:shd w:val="clear" w:color="auto" w:fill="auto"/>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Единица измерения</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2011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2012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2013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2014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2015 г.</w:t>
            </w:r>
          </w:p>
        </w:tc>
        <w:tc>
          <w:tcPr>
            <w:tcW w:w="603" w:type="pct"/>
            <w:shd w:val="clear" w:color="auto" w:fill="auto"/>
            <w:noWrap/>
            <w:vAlign w:val="center"/>
            <w:hideMark/>
          </w:tcPr>
          <w:p w:rsidR="00D50C6A" w:rsidRPr="00F405EC" w:rsidRDefault="00D50C6A" w:rsidP="00D50C6A">
            <w:pPr>
              <w:spacing w:after="0" w:line="240" w:lineRule="auto"/>
              <w:jc w:val="center"/>
              <w:rPr>
                <w:rFonts w:ascii="Times New Roman" w:eastAsia="Times New Roman" w:hAnsi="Times New Roman" w:cs="Times New Roman"/>
                <w:b/>
                <w:sz w:val="20"/>
                <w:szCs w:val="20"/>
              </w:rPr>
            </w:pPr>
            <w:r w:rsidRPr="00F405EC">
              <w:rPr>
                <w:rFonts w:ascii="Times New Roman" w:eastAsia="Times New Roman" w:hAnsi="Times New Roman" w:cs="Times New Roman"/>
                <w:b/>
                <w:sz w:val="20"/>
                <w:szCs w:val="20"/>
              </w:rPr>
              <w:t>2016 г.</w:t>
            </w:r>
          </w:p>
        </w:tc>
      </w:tr>
      <w:tr w:rsidR="00D50C6A" w:rsidRPr="00D50C6A" w:rsidTr="00D50C6A">
        <w:trPr>
          <w:trHeight w:val="315"/>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Численность постоянного населения на конец года</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143 056 383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143 347 059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143 666 931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146 267 288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146 544 710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146 804 372</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2 631 073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2 634 461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2 636 154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2 637 032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2 634 409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2 632 097</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jc w:val="both"/>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25431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25555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25172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25251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25291</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Численность населения в трудоспособном возрасте</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87055000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86137000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85162000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85415000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84199000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83224418</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1577789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1557819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1535306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1512495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1484607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1461976</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14124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14237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13840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13530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13011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13114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Уровень безработицы</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5,8</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Оборот промышленного производства</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35052633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38220824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40545079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44064239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49107237,3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53228781</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35052645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1063800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1089100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1158200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1217600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1218100</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4,47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7,57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8,31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0,18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8,44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10,29</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Оборот розничной торговли</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19104336,5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21394526,2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23685913,5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26356237,3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27526793,2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28317321,7</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365875,8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401727,1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453294,5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487372,8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478047,5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482929,6</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375,5</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Объем платных услуг населению</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5540654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6036839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6927482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7467521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8050808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8636277</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102887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112432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124279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130984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133268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140123</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Инвестиции в основной капитал (по крупным и средним предприятиям)</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11035652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12586090,39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13450238,18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13902645,25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13897187,72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14639835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 xml:space="preserve">Млн. </w:t>
            </w:r>
            <w:r w:rsidRPr="00D50C6A">
              <w:rPr>
                <w:rFonts w:ascii="Times New Roman" w:eastAsia="Times New Roman" w:hAnsi="Times New Roman" w:cs="Times New Roman"/>
                <w:sz w:val="20"/>
                <w:szCs w:val="20"/>
              </w:rPr>
              <w:lastRenderedPageBreak/>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144781,5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162241,0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219493,9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207597,1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226213,6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237014,1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Млн. 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141,6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176,2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53,6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60,6</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Ввод жилья</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62300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65700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70500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84200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85300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80200</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748,8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825,8</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1000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1200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1100</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кв.м.</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9,66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13,24</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17,60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14,27</w:t>
            </w:r>
          </w:p>
        </w:tc>
      </w:tr>
      <w:tr w:rsidR="00D50C6A" w:rsidRPr="00DD3EEB"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Средняя заработная плата (по крупным и средним предприятиям)</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23369,20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26628,90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33556,2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36798,5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38404,6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41608,4</w:t>
            </w:r>
          </w:p>
        </w:tc>
      </w:tr>
      <w:tr w:rsidR="00D50C6A" w:rsidRPr="00D50C6A" w:rsidTr="00D50C6A">
        <w:trPr>
          <w:trHeight w:val="315"/>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18773,3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21820,9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28086,3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30849,3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31956,7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34153,5</w:t>
            </w:r>
          </w:p>
        </w:tc>
      </w:tr>
      <w:tr w:rsidR="00D50C6A" w:rsidRPr="00D50C6A" w:rsidTr="00D50C6A">
        <w:trPr>
          <w:trHeight w:val="33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17956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18400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19038,9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21290,3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23006,1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25060,2</w:t>
            </w:r>
          </w:p>
        </w:tc>
      </w:tr>
      <w:tr w:rsidR="00D50C6A" w:rsidRPr="00D50C6A" w:rsidTr="00D50C6A">
        <w:trPr>
          <w:cantSplit/>
          <w:trHeight w:val="315"/>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Прожиточный минимум в среднем за период</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6368,5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6510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7305,5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8050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9701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9828</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7199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8096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9510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9591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Руб.</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6693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7199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8096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9591</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Покупательная способность заработной платы по отношению к прожиточному минимуму</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366,9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409,0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459,3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457,1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360,2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380,5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326,0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390,2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381,1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299,4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326,9</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302,9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320,1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314,3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280,6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319,6</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Рождаемость</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1 796 629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1 902 084</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1 895 822</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1 942 683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1 940 579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1 888 729</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37 015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38 931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38 637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38 837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38 761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37 258</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459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495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411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350</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Смертность</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1 925 720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1 906 335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1 871 809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1 912 347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1 908 541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1 891 015</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38 685</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37 453</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36 966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36 901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37 370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36 369</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Чел.</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465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470</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477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432</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440</w:t>
            </w:r>
          </w:p>
        </w:tc>
      </w:tr>
      <w:tr w:rsidR="00D50C6A" w:rsidRPr="00DD3EEB"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Объем выбросов вредных веществ в атмосферу от стационарных источников</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19162,3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19630,3</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18446,5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17451,9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17295,7</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17349,3</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375,16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343,66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367,99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312,49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298,6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color w:val="000000"/>
                <w:sz w:val="20"/>
                <w:szCs w:val="20"/>
              </w:rPr>
            </w:pPr>
            <w:r w:rsidRPr="00D50C6A">
              <w:rPr>
                <w:rFonts w:ascii="Times New Roman" w:eastAsia="Times New Roman" w:hAnsi="Times New Roman" w:cs="Times New Roman"/>
                <w:color w:val="000000"/>
                <w:sz w:val="20"/>
                <w:szCs w:val="20"/>
              </w:rPr>
              <w:t>308,91</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Тыс. тонн</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13,99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8,117</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18,48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6,366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13,446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13,4</w:t>
            </w:r>
          </w:p>
        </w:tc>
      </w:tr>
      <w:tr w:rsidR="00D50C6A" w:rsidRPr="00D50C6A" w:rsidTr="00D50C6A">
        <w:trPr>
          <w:trHeight w:val="300"/>
        </w:trPr>
        <w:tc>
          <w:tcPr>
            <w:tcW w:w="5000" w:type="pct"/>
            <w:gridSpan w:val="8"/>
            <w:shd w:val="clear" w:color="auto" w:fill="auto"/>
            <w:vAlign w:val="center"/>
            <w:hideMark/>
          </w:tcPr>
          <w:p w:rsidR="00D50C6A" w:rsidRPr="00DD3EEB" w:rsidRDefault="00D50C6A" w:rsidP="00D50C6A">
            <w:pPr>
              <w:spacing w:after="0" w:line="240" w:lineRule="auto"/>
              <w:jc w:val="center"/>
              <w:rPr>
                <w:rFonts w:ascii="Times New Roman" w:eastAsia="Times New Roman" w:hAnsi="Times New Roman" w:cs="Times New Roman"/>
                <w:b/>
                <w:sz w:val="20"/>
                <w:szCs w:val="20"/>
              </w:rPr>
            </w:pPr>
            <w:r w:rsidRPr="00DD3EEB">
              <w:rPr>
                <w:rFonts w:ascii="Times New Roman" w:eastAsia="Times New Roman" w:hAnsi="Times New Roman" w:cs="Times New Roman"/>
                <w:b/>
                <w:sz w:val="20"/>
                <w:szCs w:val="20"/>
              </w:rPr>
              <w:t>Число зарегистрированных преступлений на десять тысяч жителей</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lastRenderedPageBreak/>
              <w:t>Российская Федерация</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168,1</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160,6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153,6</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149,8</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163,0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147,1</w:t>
            </w:r>
          </w:p>
        </w:tc>
      </w:tr>
      <w:tr w:rsidR="00D50C6A" w:rsidRPr="00D50C6A" w:rsidTr="00D50C6A">
        <w:trPr>
          <w:trHeight w:val="300"/>
        </w:trPr>
        <w:tc>
          <w:tcPr>
            <w:tcW w:w="959" w:type="pct"/>
            <w:shd w:val="clear" w:color="auto" w:fill="auto"/>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Пермский край</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221,9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243,9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214,9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196,9</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221,0</w:t>
            </w:r>
          </w:p>
        </w:tc>
        <w:tc>
          <w:tcPr>
            <w:tcW w:w="603" w:type="pct"/>
            <w:shd w:val="clear" w:color="auto" w:fill="auto"/>
            <w:noWrap/>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190,3</w:t>
            </w:r>
          </w:p>
        </w:tc>
      </w:tr>
      <w:tr w:rsidR="00D50C6A" w:rsidRPr="00D50C6A" w:rsidTr="00D50C6A">
        <w:trPr>
          <w:trHeight w:val="300"/>
        </w:trPr>
        <w:tc>
          <w:tcPr>
            <w:tcW w:w="959" w:type="pct"/>
            <w:shd w:val="clear" w:color="auto" w:fill="auto"/>
            <w:noWrap/>
            <w:vAlign w:val="bottom"/>
            <w:hideMark/>
          </w:tcPr>
          <w:p w:rsidR="00D50C6A" w:rsidRPr="00D50C6A" w:rsidRDefault="00D50C6A" w:rsidP="00D50C6A">
            <w:pPr>
              <w:spacing w:after="0" w:line="240" w:lineRule="auto"/>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Бардымский муниципальный район</w:t>
            </w:r>
          </w:p>
        </w:tc>
        <w:tc>
          <w:tcPr>
            <w:tcW w:w="422"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Ед</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163,9</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190,1</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180,6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169,6</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195,5</w:t>
            </w:r>
          </w:p>
        </w:tc>
        <w:tc>
          <w:tcPr>
            <w:tcW w:w="603" w:type="pct"/>
            <w:shd w:val="clear" w:color="auto" w:fill="auto"/>
            <w:vAlign w:val="center"/>
            <w:hideMark/>
          </w:tcPr>
          <w:p w:rsidR="00D50C6A" w:rsidRPr="00D50C6A" w:rsidRDefault="00D50C6A" w:rsidP="00D50C6A">
            <w:pPr>
              <w:spacing w:after="0" w:line="240" w:lineRule="auto"/>
              <w:jc w:val="center"/>
              <w:rPr>
                <w:rFonts w:ascii="Times New Roman" w:eastAsia="Times New Roman" w:hAnsi="Times New Roman" w:cs="Times New Roman"/>
                <w:sz w:val="20"/>
                <w:szCs w:val="20"/>
              </w:rPr>
            </w:pPr>
            <w:r w:rsidRPr="00D50C6A">
              <w:rPr>
                <w:rFonts w:ascii="Times New Roman" w:eastAsia="Times New Roman" w:hAnsi="Times New Roman" w:cs="Times New Roman"/>
                <w:sz w:val="20"/>
                <w:szCs w:val="20"/>
              </w:rPr>
              <w:t>179,8</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показал, что численность постоянного населения Бардымского муниципального района не имеет выраженной динамики, колебания не превышают 1,5% в год. В целом за исследуемый период времени наблюдается спад численности постоянного населения на 0,5%, это стало следствием общих демографических процессов – уменьшение показателей рождаемости, превышение уровня смертности над рождаемостью, общими миграционными процессами.</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трудоспособного населения Бардымского муниципального района имеет ярко выраженную тенденцию сокращения. Так, за анализируемый период времени произошло изменение данного показателя с 14124 чел. в 2011г. до 13114 чел. в 2016г., или 7,2%. Уровень безработицы в последние годы сократился, что имеет двойственную следственную взаимосвязь – сокращение численности населения в трудоспособном возрасте с одной стороны, общее улучшение экономики района, с другой. При этом стоит отметить, что уровень безработицы в Бардымском муниципальном районе в течение анализируемого периода времени не превышал среднероссийских показателей, за исключением 2012 года, когда уровень безработицы в среднем по России был на 0,4% ниже, чем в Бардымском муниципальном районе.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рождаемости и смертности населения имеют динамику сокращения, однако показатели смертности выше показателей рождаемости, что оказывает негативное влияние как на демографическую ситуацию в районе, так и на общее экономическое развитие района в целом.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Оборот розничной торговли в Бардымском муниципальном районе в течение анализируемого периода времени практически не изменялся и на конец 2016 года составил 375,5 млн.руб.</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Инвестиции в основной капитал в течение анализируемого периода времени имеют резкую динамику сокращения более, чем в 2 раза по сравнению с 2011 годом.</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таким показателям как ввод жилья и размер средней заработной платы, наблюдается положительная динамика, со значительным приростом за последние 5 лет. Зафиксирован прирост более чем в 1,5 раза ввода нового жилья для населения района; на 39% увеличился уровень средней заработной платы и составил 25060,2 рублей на конец 2016 года.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Покупательная способность номинальной заработной платы по отношению к прожиточному минимуму не имеет единой динамики в связи с неравномерностью темпов роста номинальной заработной платы и прожиточного минимума в соответствующие периоды. В целом динамика данного показателя стремится вверх, что является положительным фактором для развития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Объем выбросов вредных веществ в атмосферу от стационарных источников имеет также скачкообразную динамику, что связано с деятельностью </w:t>
      </w:r>
      <w:r w:rsidRPr="00153E07">
        <w:rPr>
          <w:rFonts w:ascii="Times New Roman" w:eastAsia="Times New Roman" w:hAnsi="Times New Roman" w:cs="Times New Roman"/>
          <w:sz w:val="28"/>
          <w:szCs w:val="28"/>
        </w:rPr>
        <w:lastRenderedPageBreak/>
        <w:t xml:space="preserve">Бардымского ЛПУМГ филиала ООО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Газпром Трансгаз Чайковский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АО НК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Лукойл-Пермь</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которые в соответствующие годы наращивали производство, перекачку газа, благодаря чему увеличивался объем выбросов в атмосферу от стационарных источников. Основным вредным веществом, выбрасываемым данными производствами является метан, имеющий четвертый класс опасности, обладающий наркотическими свойствами и оказывающий влияние на центральную нервную систему.</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Число зарегистрированных преступлений на десять тысяч жителей также не имеет единой динамики. Основные пики роста преступности приходятся на 2012, 2013 и 2015 годы. Возможной причиной роста преступности в указанные годы является рост уровня безработицы в 2012 году. В течение анализируемого периода времени в Пермском крае индекс стоимости жизни снизился с 1,05 до 1,01, однако негативным фактором является значение индекса превышающее единицу. При этом в 2012-2013 годах данный индекс составлял 1,06 – 1,04. </w:t>
      </w:r>
    </w:p>
    <w:p w:rsidR="00153E07" w:rsidRPr="00153E07" w:rsidRDefault="00153E07" w:rsidP="00DD3EEB">
      <w:pPr>
        <w:spacing w:line="240" w:lineRule="auto"/>
        <w:jc w:val="both"/>
        <w:rPr>
          <w:rFonts w:ascii="Times New Roman" w:eastAsia="Times New Roman" w:hAnsi="Times New Roman" w:cs="Times New Roman"/>
          <w:sz w:val="28"/>
          <w:szCs w:val="28"/>
        </w:rPr>
      </w:pPr>
    </w:p>
    <w:p w:rsidR="00153E07" w:rsidRPr="00153E07" w:rsidRDefault="00153E07" w:rsidP="00DD3EEB">
      <w:pPr>
        <w:pStyle w:val="1"/>
        <w:numPr>
          <w:ilvl w:val="1"/>
          <w:numId w:val="17"/>
        </w:numPr>
        <w:spacing w:line="240" w:lineRule="auto"/>
      </w:pPr>
      <w:r w:rsidRPr="00153E07">
        <w:t>Социально-экономическое развитие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социально-экономического развития Бардымского муниципального района проводится на основании статистических данных за 2011 – 2016 годы.</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443EEA">
      <w:pPr>
        <w:pStyle w:val="1"/>
        <w:spacing w:line="240" w:lineRule="auto"/>
      </w:pPr>
      <w:r w:rsidRPr="00153E07">
        <w:tab/>
      </w:r>
      <w:r w:rsidRPr="00153E07">
        <w:tab/>
        <w:t>1.2.1 Демография</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Согласно данным Федерального органа государственной статистики численность населения Бардымского муниципального района за последние годы изменяется не значительно. Так, на 01.01.2017г. число лиц, проживающих на территории района составило 25 291 человек. Изменение за год - не более 1,5%, что характеризует район как территорию социальной устойчивости.</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29300" cy="2105025"/>
            <wp:effectExtent l="0" t="0" r="0" b="0"/>
            <wp:docPr id="212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3E07" w:rsidRPr="005E128E" w:rsidRDefault="00153E07" w:rsidP="00443EEA">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1.2. Численность населения Бардымского района по данным Федерального органа государственной статистики, чел.</w:t>
      </w:r>
    </w:p>
    <w:p w:rsidR="00DD3EEB" w:rsidRDefault="00DD3EEB" w:rsidP="00443EEA">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данным похозяйственного учета численность населения района</w:t>
      </w:r>
      <w:r w:rsidR="00A13D85">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на </w:t>
      </w:r>
      <w:r w:rsidR="00A13D85">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1.01.2015 года составляла 26 731 человек, что на 1919 человек меньше, чем в предыдущем году. С этого периода наметилась тенденция сокращения населения </w:t>
      </w:r>
      <w:r w:rsidRPr="00153E07">
        <w:rPr>
          <w:rFonts w:ascii="Times New Roman" w:eastAsia="Times New Roman" w:hAnsi="Times New Roman" w:cs="Times New Roman"/>
          <w:sz w:val="28"/>
          <w:szCs w:val="28"/>
        </w:rPr>
        <w:lastRenderedPageBreak/>
        <w:t xml:space="preserve">Бардымского муниципального района. На </w:t>
      </w:r>
      <w:r w:rsidR="00A13D85">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1.01.2017 год население района составило 26466 человек.</w:t>
      </w:r>
    </w:p>
    <w:p w:rsidR="00153E07" w:rsidRPr="00153E07" w:rsidRDefault="00153E07" w:rsidP="00153E07">
      <w:pPr>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743200"/>
            <wp:effectExtent l="0" t="0" r="0" b="0"/>
            <wp:docPr id="212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3E07" w:rsidRPr="005E128E" w:rsidRDefault="00153E07" w:rsidP="00DD3EEB">
      <w:pPr>
        <w:spacing w:line="240" w:lineRule="auto"/>
        <w:jc w:val="both"/>
        <w:rPr>
          <w:rFonts w:ascii="Times New Roman" w:hAnsi="Times New Roman" w:cs="Times New Roman"/>
          <w:b/>
          <w:noProof/>
          <w:sz w:val="28"/>
          <w:szCs w:val="28"/>
        </w:rPr>
      </w:pPr>
      <w:r w:rsidRPr="005E128E">
        <w:rPr>
          <w:rFonts w:ascii="Times New Roman" w:hAnsi="Times New Roman" w:cs="Times New Roman"/>
          <w:b/>
          <w:noProof/>
          <w:sz w:val="28"/>
          <w:szCs w:val="28"/>
        </w:rPr>
        <w:t>Рисунок 1.3. Численность населения по данным похозяйственного учета,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Данные расхождения связаны с тем, что часть населения Бардымского муниципального района работает и учится за пределами района и в момент переписи населения отсутствовала по месту постоянного проживания. Таким образом, разницу в численности населения между данными Федерального органа государственной статистики по Пермскому краю и данными похозяйственного учета можно отнести к маятниковой миграции (рисунок 1.4).</w:t>
      </w:r>
    </w:p>
    <w:p w:rsidR="00153E07" w:rsidRPr="005E128E" w:rsidRDefault="00153E07" w:rsidP="00DD3EEB">
      <w:pPr>
        <w:spacing w:after="0" w:line="240" w:lineRule="auto"/>
        <w:ind w:firstLine="709"/>
        <w:jc w:val="both"/>
        <w:rPr>
          <w:rFonts w:ascii="Times New Roman" w:hAnsi="Times New Roman" w:cs="Times New Roman"/>
          <w:b/>
          <w:sz w:val="28"/>
          <w:szCs w:val="28"/>
        </w:rPr>
      </w:pPr>
      <w:r w:rsidRPr="00153E07">
        <w:rPr>
          <w:rFonts w:ascii="Times New Roman" w:eastAsia="Times New Roman" w:hAnsi="Times New Roman" w:cs="Times New Roman"/>
          <w:sz w:val="28"/>
          <w:szCs w:val="28"/>
        </w:rPr>
        <w:object w:dxaOrig="9593" w:dyaOrig="5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75pt;height:258.75pt" o:ole="">
            <v:imagedata r:id="rId12" o:title=""/>
          </v:shape>
          <o:OLEObject Type="Embed" ProgID="Excel.Sheet.12" ShapeID="_x0000_i1025" DrawAspect="Content" ObjectID="_1583327336" r:id="rId13"/>
        </w:object>
      </w:r>
      <w:r w:rsidRPr="005E128E">
        <w:rPr>
          <w:rFonts w:ascii="Times New Roman" w:hAnsi="Times New Roman" w:cs="Times New Roman"/>
          <w:b/>
          <w:sz w:val="28"/>
          <w:szCs w:val="28"/>
        </w:rPr>
        <w:t>Рисунок 1.4. Маятниковая миграция в Бардымском муниципальном районе (01.01.2011-01.01.2017</w:t>
      </w:r>
      <w:r w:rsidR="005E128E">
        <w:rPr>
          <w:rFonts w:ascii="Times New Roman" w:hAnsi="Times New Roman" w:cs="Times New Roman"/>
          <w:b/>
          <w:sz w:val="28"/>
          <w:szCs w:val="28"/>
        </w:rPr>
        <w:t xml:space="preserve"> </w:t>
      </w:r>
      <w:r w:rsidRPr="005E128E">
        <w:rPr>
          <w:rFonts w:ascii="Times New Roman" w:hAnsi="Times New Roman" w:cs="Times New Roman"/>
          <w:b/>
          <w:sz w:val="28"/>
          <w:szCs w:val="28"/>
        </w:rPr>
        <w:t>гг.),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 половозрастному составу население Бардымского района имеет следующую структуру: 52% женщины, 48% мужчины; трудоспособное население </w:t>
      </w:r>
      <w:r w:rsidRPr="00153E07">
        <w:rPr>
          <w:rFonts w:ascii="Times New Roman" w:eastAsia="Times New Roman" w:hAnsi="Times New Roman" w:cs="Times New Roman"/>
          <w:sz w:val="28"/>
          <w:szCs w:val="28"/>
        </w:rPr>
        <w:lastRenderedPageBreak/>
        <w:t>-  52% (13114 человек),моложе трудоспособного возраста –  23% (5704 чел.),старше трудоспособного возраста –  26 % (6473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Существенных изменений за последние года в возрастной структуре населения и структуре по полу не произошло.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последние годы доля пенсионеров, жителей трудоспособного возраста, а также детей в структуре населения практически не изменилась. Наметилась тенденция сокращения трудоспособного населения (на 4,2 % за 6 лет). Причиной данных тенденций выступает миграция населения трудоспособного возраста за пределы района, а также выход трудоспособного населения на пенсию. При сохранении данной динамики в будущем потенциал развития человеческого капитала сократится.</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695575"/>
            <wp:effectExtent l="0" t="0" r="0" b="0"/>
            <wp:docPr id="2128"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1.5. Численность населения Бардымского района по возрастному составу,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показателей рождаемости и смертности показал, что в 2016 году произошел резкий спад рождаемости на 14,8%, количество родившихся детей составило 350 человек. Самое большое значение коэффициента рождаемости было зафиксировано 01.01.2014 года, количество родившихся детей составляло 495 человек. Уровень смертности не имеет четкой динамики, отклонения от среднего значения за последние несколько лет не превышает 3%.</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95950" cy="2028825"/>
            <wp:effectExtent l="0" t="0" r="0" b="0"/>
            <wp:docPr id="2129"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1.6. Коэффициент естественного прироста населения, промилле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Наименьшее число было зафиксировано 01.01.2017 года – 350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Наименьшее количество умерших было зарегистрировано 01.01.2016 года и составило 432 человека, что на 45 человек меньше, чем в предыдущем году.</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401340" cy="1690577"/>
            <wp:effectExtent l="0" t="0" r="8890" b="5080"/>
            <wp:docPr id="213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1.7. Число родившихся/умерших в Бардымском муниципальном районе,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показал, что коэффициент миграционного прироста незначительный, преимущественно находится в отрицательной зоне. Уровень жизни, отсутствие достаточного и разнообразного предложения на рынке труда способствует формированию прогрессирующего потока убывших, за 2011-2016 гг. в среднем в год убывало от 1 до 12% населения района. Причинами миграционного притока служит формирование образа района как территории спокойной и комфортной жизни в преклонном возрасте, и соответственно привлечение пожилых людей. В 2014 году коэффициент миграционного прироста составлял 61 промилле.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86425" cy="2486025"/>
            <wp:effectExtent l="0" t="0" r="0" b="0"/>
            <wp:docPr id="2131"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5E128E">
        <w:rPr>
          <w:rFonts w:ascii="Times New Roman" w:eastAsia="Times New Roman" w:hAnsi="Times New Roman" w:cs="Times New Roman"/>
          <w:b/>
          <w:sz w:val="28"/>
          <w:szCs w:val="28"/>
        </w:rPr>
        <w:t>Рисунок</w:t>
      </w:r>
      <w:r w:rsidRPr="00153E07">
        <w:rPr>
          <w:rFonts w:ascii="Times New Roman" w:eastAsia="Times New Roman" w:hAnsi="Times New Roman" w:cs="Times New Roman"/>
          <w:sz w:val="28"/>
          <w:szCs w:val="28"/>
        </w:rPr>
        <w:t xml:space="preserve"> </w:t>
      </w:r>
      <w:r w:rsidRPr="005E128E">
        <w:rPr>
          <w:rFonts w:ascii="Times New Roman" w:eastAsia="Times New Roman" w:hAnsi="Times New Roman" w:cs="Times New Roman"/>
          <w:b/>
          <w:sz w:val="28"/>
          <w:szCs w:val="28"/>
        </w:rPr>
        <w:t>1.8. Коэффициент миграционного прироста населения, промилле</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19775" cy="2743200"/>
            <wp:effectExtent l="0" t="0" r="0" b="0"/>
            <wp:docPr id="2132"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53E07" w:rsidRPr="005E128E" w:rsidRDefault="00153E07" w:rsidP="00DD3EEB">
      <w:pPr>
        <w:spacing w:after="0" w:line="240" w:lineRule="auto"/>
        <w:ind w:firstLine="709"/>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1.9. Миграционные потоки в Бардымском муниципальном районе, человек</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ab/>
      </w:r>
      <w:r w:rsidRPr="00153E07">
        <w:tab/>
        <w:t>1.2.2 Социальная сфера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функционируют 25 образовательных организаций: 17 общеобразовательных школ, 3 учреждения дополнительного образования и 5 муниципальных дошкольных образовательных организаций. Все организации имеют бессрочные лицензии на право ведения образовательной деятельности и свидетельство о государственной аккредитации. Кроме того функционируют 5 негосударственных организаций дошкольного образования, 23 структурных подразделения дошкольного образования в школах.</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Основными направлениями в сфере образования Бардымского муниципального района выступают:</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а</w:t>
      </w:r>
      <w:r w:rsidR="00153E07" w:rsidRPr="00153E07">
        <w:rPr>
          <w:rFonts w:ascii="Times New Roman" w:hAnsi="Times New Roman" w:cs="Times New Roman"/>
          <w:sz w:val="28"/>
          <w:szCs w:val="28"/>
        </w:rPr>
        <w:t>ктивная реализация приоритетных проектов и целевых программ краевого и муниципального уровней;</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в</w:t>
      </w:r>
      <w:r w:rsidR="00153E07" w:rsidRPr="00153E07">
        <w:rPr>
          <w:rFonts w:ascii="Times New Roman" w:hAnsi="Times New Roman" w:cs="Times New Roman"/>
          <w:sz w:val="28"/>
          <w:szCs w:val="28"/>
        </w:rPr>
        <w:t>недрение федеральных государственных образовательных стандартов;</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овершенствование системы поддержки одаренных и талантливых детей;</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 xml:space="preserve">нижение очередности в дошкольные образовательные учреждения; </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 xml:space="preserve">нижение доли несовершеннолетних, совершивших правонарушения и преступления; </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w:t>
      </w:r>
      <w:r w:rsidR="00153E07" w:rsidRPr="00153E07">
        <w:rPr>
          <w:rFonts w:ascii="Times New Roman" w:hAnsi="Times New Roman" w:cs="Times New Roman"/>
          <w:sz w:val="28"/>
          <w:szCs w:val="28"/>
        </w:rPr>
        <w:t>азвитие учительского потенциала и привлечение молодых кадров;</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р</w:t>
      </w:r>
      <w:r w:rsidR="00153E07" w:rsidRPr="00153E07">
        <w:rPr>
          <w:rFonts w:ascii="Times New Roman" w:hAnsi="Times New Roman" w:cs="Times New Roman"/>
          <w:sz w:val="28"/>
          <w:szCs w:val="28"/>
        </w:rPr>
        <w:t>азвитие электронных услуг в системе образования района;</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с</w:t>
      </w:r>
      <w:r w:rsidR="00153E07" w:rsidRPr="00153E07">
        <w:rPr>
          <w:rFonts w:ascii="Times New Roman" w:hAnsi="Times New Roman" w:cs="Times New Roman"/>
          <w:sz w:val="28"/>
          <w:szCs w:val="28"/>
        </w:rPr>
        <w:t>охранение и развитие этнокультурного содержания образования;</w:t>
      </w:r>
    </w:p>
    <w:p w:rsidR="00153E07" w:rsidRPr="00153E07" w:rsidRDefault="00C75FBD" w:rsidP="00DD3EEB">
      <w:pPr>
        <w:pStyle w:val="af1"/>
        <w:numPr>
          <w:ilvl w:val="0"/>
          <w:numId w:val="3"/>
        </w:numPr>
        <w:spacing w:after="160" w:line="240" w:lineRule="auto"/>
        <w:jc w:val="both"/>
        <w:rPr>
          <w:rFonts w:ascii="Times New Roman" w:hAnsi="Times New Roman" w:cs="Times New Roman"/>
          <w:sz w:val="28"/>
          <w:szCs w:val="28"/>
        </w:rPr>
      </w:pPr>
      <w:r>
        <w:rPr>
          <w:rFonts w:ascii="Times New Roman" w:hAnsi="Times New Roman" w:cs="Times New Roman"/>
          <w:sz w:val="28"/>
          <w:szCs w:val="28"/>
        </w:rPr>
        <w:t>о</w:t>
      </w:r>
      <w:r w:rsidR="00153E07" w:rsidRPr="00153E07">
        <w:rPr>
          <w:rFonts w:ascii="Times New Roman" w:hAnsi="Times New Roman" w:cs="Times New Roman"/>
          <w:sz w:val="28"/>
          <w:szCs w:val="28"/>
        </w:rPr>
        <w:t>бновление материальной базы образовательных учреждений.</w:t>
      </w:r>
    </w:p>
    <w:p w:rsidR="00153E07" w:rsidRPr="00153E07" w:rsidRDefault="00153E07" w:rsidP="00DD3EEB">
      <w:pPr>
        <w:pStyle w:val="af1"/>
        <w:spacing w:after="160" w:line="240" w:lineRule="auto"/>
        <w:jc w:val="both"/>
        <w:rPr>
          <w:rFonts w:ascii="Times New Roman" w:hAnsi="Times New Roman" w:cs="Times New Roman"/>
          <w:sz w:val="28"/>
          <w:szCs w:val="28"/>
        </w:rPr>
      </w:pPr>
      <w:r w:rsidRPr="00153E07">
        <w:rPr>
          <w:rFonts w:ascii="Times New Roman" w:hAnsi="Times New Roman" w:cs="Times New Roman"/>
          <w:sz w:val="28"/>
          <w:szCs w:val="28"/>
        </w:rPr>
        <w:t>Данные направления нацелены на повышение качества образовательной деятельности в Бардымском муниципальном районе.</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Численность обучающихся в образовательных учреждениях представлена на рисунке 1.10.</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pStyle w:val="af1"/>
        <w:spacing w:after="160" w:line="256" w:lineRule="auto"/>
        <w:ind w:left="0"/>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343650" cy="2838450"/>
            <wp:effectExtent l="0" t="0" r="0" b="0"/>
            <wp:docPr id="2133"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53E07" w:rsidRPr="005E128E" w:rsidRDefault="00153E07" w:rsidP="00DD3EEB">
      <w:pPr>
        <w:pStyle w:val="af1"/>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1.10. Численность обучающихся в образовательных учреждениях, человек</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Численность обучающихся в общеобразовательных учреждениях относительно стабильна. Максимального пика число школьников достигло в 2010-2012 году. Увеличение и снижение числа школьников отражает демографическую ситуацию в Бардымском муниципальном районе: увеличение рождаемости и миграционный отток в соответствующие годы.</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Число обучающихся во 2-ю смену составляет больше 10% от числа всех школьников Бардымского района, что говорит о недостаточной обеспеченности школами в районе. Учитывая положительную динамику численности населения района до трудоспособного возраста, в дальнейшем данная проблема обострится.</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19775" cy="2581275"/>
            <wp:effectExtent l="0" t="0" r="0" b="0"/>
            <wp:docPr id="2134"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53E07" w:rsidRPr="005E128E" w:rsidRDefault="00153E07" w:rsidP="00DD3EEB">
      <w:pPr>
        <w:pStyle w:val="af1"/>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1.11. Количество обучающихся во 2 смену, человек</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В настоящее время в Бардымском муниципальном районе действует 17 общеобразовательных школ и, в течение анализируемого периода времени, их количество было неизменным. В 15 школах изучается родной (татарский) язык и родная (татарская) литература. Национальная и этнокультурная составляющие </w:t>
      </w:r>
      <w:r w:rsidRPr="00153E07">
        <w:rPr>
          <w:rFonts w:ascii="Times New Roman" w:hAnsi="Times New Roman" w:cs="Times New Roman"/>
          <w:sz w:val="28"/>
          <w:szCs w:val="28"/>
        </w:rPr>
        <w:lastRenderedPageBreak/>
        <w:t>интегрированы в основную образовательную программу образовательных учреждений и реализуются через учебную  деятельность и внеурочную работу.</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4D4D31">
        <w:rPr>
          <w:rFonts w:ascii="Times New Roman" w:hAnsi="Times New Roman" w:cs="Times New Roman"/>
          <w:sz w:val="28"/>
          <w:szCs w:val="28"/>
        </w:rPr>
        <w:t>Количество детских дошкольных организаций с каждым годом увеличивается. Так на 01.01.2017 год было зафиксировано 32 детских сада</w:t>
      </w:r>
      <w:r w:rsidR="00BC6F1F" w:rsidRPr="004D4D31">
        <w:rPr>
          <w:rFonts w:ascii="Times New Roman" w:hAnsi="Times New Roman" w:cs="Times New Roman"/>
          <w:sz w:val="28"/>
          <w:szCs w:val="28"/>
        </w:rPr>
        <w:t xml:space="preserve"> (включая муниципальные детские сады, частные детские сады и структурные подразделения школ)</w:t>
      </w:r>
      <w:r w:rsidRPr="004D4D31">
        <w:rPr>
          <w:rFonts w:ascii="Times New Roman" w:hAnsi="Times New Roman" w:cs="Times New Roman"/>
          <w:sz w:val="28"/>
          <w:szCs w:val="28"/>
        </w:rPr>
        <w:t>, что на 7 единиц больше, чем было зафиксировано на 01.01.2012 года.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1.12 представлена информация о численности детей и количестве мест в детских дошкольных учреждениях.</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05475" cy="2905125"/>
            <wp:effectExtent l="0" t="0" r="0" b="0"/>
            <wp:docPr id="2135"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1.12. Численность детей и количество мест в детских дошкольных учреждениях Бардымского муниципального района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детских мест в дошкольных организациях увеличивается, а значит, в них есть потребность. Как показано, на рисунке происходит увеличение численности детей в дошкольных организациях. При этом детские сады не заполнены на 100%, т.е. в Бардымском муниципальном районе существует резерв, который будет использован в ближайшее время, учитывая текущую динамику численности населения.</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детей, которая приходится на 100 мест в детских образовательных организациях с 2011 по 2016 год составляла менее 100 человек. Лишь 01.01.2011 года было зафиксировано 104 человека. Охват детей дошкольным образованием с 2010-2016 года не превышал 100%.</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D3EEB">
      <w:pPr>
        <w:pStyle w:val="1"/>
        <w:spacing w:line="240" w:lineRule="auto"/>
      </w:pPr>
      <w:r w:rsidRPr="00153E07">
        <w:tab/>
      </w:r>
      <w:r w:rsidRPr="00153E07">
        <w:tab/>
        <w:t>1.2.3 Здравоохранение</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здравоохранения Бардымского муниципального района представлена ГБУЗ ПК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Бардымская ЦРБ им А.П. Курочкиной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В состав центральной районной больницы входят: поликлиника, круглосуточный стационар, дневной стационар в стационаре, при поликлинике, отделение СМП, 18 фельдшерско-акушерских пунктов, 3 сельских врачебных амбулатории. Система здравоохранения Бардымского муниципального района представлена ГБУЗ ПК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Бардымская ЦРБ им А.П. Курочкиной</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В состав центральной </w:t>
      </w:r>
      <w:r w:rsidRPr="00153E07">
        <w:rPr>
          <w:rFonts w:ascii="Times New Roman" w:eastAsia="Times New Roman" w:hAnsi="Times New Roman" w:cs="Times New Roman"/>
          <w:sz w:val="28"/>
          <w:szCs w:val="28"/>
        </w:rPr>
        <w:lastRenderedPageBreak/>
        <w:t>районной больницы входят: поликлиника, круглосуточный стационар, дневной стационар в стационаре, при поликлинике, отделение СМП, 18 фельдшерско-акушерских пунктов, 3 сельских врачебных амбулатории.</w:t>
      </w:r>
    </w:p>
    <w:p w:rsidR="00C75FBD" w:rsidRDefault="00C75FBD" w:rsidP="009D0B85">
      <w:pPr>
        <w:spacing w:after="0"/>
        <w:ind w:firstLine="709"/>
        <w:jc w:val="right"/>
        <w:rPr>
          <w:rFonts w:ascii="Times New Roman" w:eastAsia="Times New Roman" w:hAnsi="Times New Roman" w:cs="Times New Roman"/>
          <w:sz w:val="28"/>
          <w:szCs w:val="28"/>
        </w:rPr>
      </w:pPr>
    </w:p>
    <w:p w:rsidR="00153E07" w:rsidRPr="00153E07" w:rsidRDefault="00153E07" w:rsidP="009D0B85">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1.3</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Данные о заболеваемости населения Бардымского муниципального района в 2011-2016 гг., чел.</w:t>
      </w:r>
    </w:p>
    <w:tbl>
      <w:tblPr>
        <w:tblW w:w="5000" w:type="pct"/>
        <w:tblLook w:val="04A0"/>
      </w:tblPr>
      <w:tblGrid>
        <w:gridCol w:w="3123"/>
        <w:gridCol w:w="1334"/>
        <w:gridCol w:w="1261"/>
        <w:gridCol w:w="1079"/>
        <w:gridCol w:w="1079"/>
        <w:gridCol w:w="1152"/>
        <w:gridCol w:w="1109"/>
      </w:tblGrid>
      <w:tr w:rsidR="00153E07" w:rsidRPr="00153E07" w:rsidTr="00153E07">
        <w:trPr>
          <w:trHeight w:val="3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Заболеваемость населения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2012</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2015</w:t>
            </w:r>
          </w:p>
        </w:tc>
        <w:tc>
          <w:tcPr>
            <w:tcW w:w="547"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2016</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Численность населения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25431</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25249</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25555</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25172</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25251</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25291</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Все болезни</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39082</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40308</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40748</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40117</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41009</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40893</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некоторые инфекционные и паразитарные</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913</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664</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678</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642</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800</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815</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C75FBD">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 xml:space="preserve">заболевания </w:t>
            </w:r>
            <w:r w:rsidR="00C75FBD">
              <w:rPr>
                <w:rFonts w:ascii="Times New Roman" w:eastAsia="Times New Roman" w:hAnsi="Times New Roman" w:cs="Times New Roman"/>
                <w:color w:val="000000"/>
                <w:sz w:val="28"/>
                <w:szCs w:val="28"/>
              </w:rPr>
              <w:t>системы органов кровообращения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870</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772</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971</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785</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505</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525</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новообразования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499</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522</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546</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597</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718</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671</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органов дыхания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10118</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10922</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10925</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11146</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10784</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10840</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мочеполовой системы</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1733</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2074</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1601</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690</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842</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854</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кожи и подкожной клетчатки</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1480</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1483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1189</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1494</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1673</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1598</w:t>
            </w:r>
          </w:p>
        </w:tc>
      </w:tr>
      <w:tr w:rsidR="00153E07" w:rsidRPr="00153E07" w:rsidTr="00153E07">
        <w:trPr>
          <w:trHeight w:val="9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травмы, отравления и некоторые другие последствия внешних причин</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1093</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1063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1165</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1135</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1365</w:t>
            </w:r>
          </w:p>
        </w:tc>
        <w:tc>
          <w:tcPr>
            <w:tcW w:w="547"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1621</w:t>
            </w:r>
          </w:p>
        </w:tc>
      </w:tr>
    </w:tbl>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Заболеваемость населения Бардымского муниципального района в течение 2011-2016</w:t>
      </w:r>
      <w:r w:rsidR="00C75FB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имеет динамику роста. В целом общая заболеваемость жителей района увеличилась на 4,6% при сокращении численности постоянного населения за тот же период на 0,6%.</w:t>
      </w:r>
    </w:p>
    <w:p w:rsidR="00153E07" w:rsidRPr="00153E07" w:rsidRDefault="00153E07" w:rsidP="009D0B85">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1.4</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Динамика заболеваемости населения Бардымского муниципального района в 2011-2016гг., %</w:t>
      </w:r>
    </w:p>
    <w:tbl>
      <w:tblPr>
        <w:tblW w:w="5000" w:type="pct"/>
        <w:tblLayout w:type="fixed"/>
        <w:tblLook w:val="04A0"/>
      </w:tblPr>
      <w:tblGrid>
        <w:gridCol w:w="3869"/>
        <w:gridCol w:w="1044"/>
        <w:gridCol w:w="1044"/>
        <w:gridCol w:w="1046"/>
        <w:gridCol w:w="1044"/>
        <w:gridCol w:w="1044"/>
        <w:gridCol w:w="1046"/>
      </w:tblGrid>
      <w:tr w:rsidR="00153E07" w:rsidRPr="00153E07" w:rsidTr="00153E07">
        <w:trPr>
          <w:trHeight w:val="600"/>
        </w:trPr>
        <w:tc>
          <w:tcPr>
            <w:tcW w:w="1908" w:type="pct"/>
            <w:tcBorders>
              <w:top w:val="single" w:sz="4" w:space="0" w:color="auto"/>
              <w:left w:val="single" w:sz="4" w:space="0" w:color="auto"/>
              <w:bottom w:val="nil"/>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Заболеваемость населения</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2012/ 2011</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2013/ 2012</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2014/ 2013</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2015/ 2014</w:t>
            </w:r>
          </w:p>
        </w:tc>
        <w:tc>
          <w:tcPr>
            <w:tcW w:w="515"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2016/ 2015</w:t>
            </w:r>
          </w:p>
        </w:tc>
        <w:tc>
          <w:tcPr>
            <w:tcW w:w="516"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2016/ 2011</w:t>
            </w:r>
          </w:p>
        </w:tc>
      </w:tr>
      <w:tr w:rsidR="00153E07" w:rsidRPr="00153E07" w:rsidTr="00153E07">
        <w:trPr>
          <w:trHeight w:val="315"/>
        </w:trPr>
        <w:tc>
          <w:tcPr>
            <w:tcW w:w="19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Численность населения, чел.</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-0,7</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1,2</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-1,5</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0,2</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-0,6</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Все болезни</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3,1</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-1,5</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2,2</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-0,3</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4,6</w:t>
            </w:r>
          </w:p>
        </w:tc>
      </w:tr>
      <w:tr w:rsidR="00153E07" w:rsidRPr="00153E07" w:rsidTr="00153E07">
        <w:trPr>
          <w:trHeight w:val="6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некоторые инфекционные и паразитарные</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-27,3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2,1</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24,6</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-10,7</w:t>
            </w:r>
          </w:p>
        </w:tc>
      </w:tr>
      <w:tr w:rsidR="00153E07" w:rsidRPr="00153E07" w:rsidTr="00153E07">
        <w:trPr>
          <w:trHeight w:val="6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C75FBD"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 xml:space="preserve">заболевания </w:t>
            </w:r>
            <w:r>
              <w:rPr>
                <w:rFonts w:ascii="Times New Roman" w:eastAsia="Times New Roman" w:hAnsi="Times New Roman" w:cs="Times New Roman"/>
                <w:color w:val="000000"/>
                <w:sz w:val="28"/>
                <w:szCs w:val="28"/>
              </w:rPr>
              <w:t>системы органов кровообращения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25,8</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-19,2</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-35,7</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4,0</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-39,7</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новообразования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4,6</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4,6</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-6,5</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34,5</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lastRenderedPageBreak/>
              <w:t>органов дыхания</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7,9</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-3,2</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0,5</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7,1</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мочеполовой системы</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19,7</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-22,8</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-56,9</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22,0</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1,4</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-50,7</w:t>
            </w:r>
          </w:p>
        </w:tc>
      </w:tr>
      <w:tr w:rsidR="00153E07" w:rsidRPr="00153E07" w:rsidTr="00153E07">
        <w:trPr>
          <w:trHeight w:val="3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кожи и подкожной клетчатки</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0,2</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-19,8</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25,7</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12,0</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-4,5</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8,0</w:t>
            </w:r>
          </w:p>
        </w:tc>
      </w:tr>
      <w:tr w:rsidR="00153E07" w:rsidRPr="00153E07" w:rsidTr="00153E07">
        <w:trPr>
          <w:trHeight w:val="900"/>
        </w:trPr>
        <w:tc>
          <w:tcPr>
            <w:tcW w:w="1908"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травмы, отравления и некоторые другие последствия внешних причин</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-2,7</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9,6</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-2,6</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20,3</w:t>
            </w:r>
          </w:p>
        </w:tc>
        <w:tc>
          <w:tcPr>
            <w:tcW w:w="515"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18,8</w:t>
            </w:r>
          </w:p>
        </w:tc>
        <w:tc>
          <w:tcPr>
            <w:tcW w:w="516"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48,3</w:t>
            </w:r>
          </w:p>
        </w:tc>
      </w:tr>
    </w:tbl>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течение анализируемого периода времени в Бардымском муниципальном районе на 10,7% сократились инфекционные и паразитарные заболевания, на 39,7% - </w:t>
      </w:r>
      <w:r w:rsidR="00C75FBD" w:rsidRPr="00153E07">
        <w:rPr>
          <w:rFonts w:ascii="Times New Roman" w:eastAsia="Times New Roman" w:hAnsi="Times New Roman" w:cs="Times New Roman"/>
          <w:color w:val="000000"/>
          <w:sz w:val="28"/>
          <w:szCs w:val="28"/>
        </w:rPr>
        <w:t xml:space="preserve">заболевания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 Набольшего сокращения достигли заболевания мочеполовой системы – 50,7%.</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Неутешительную динамику имеют травмы, отравления и последствия от внешних причин. Их темп роста с 2011г. по 2016г. составил 48,3%.</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на треть увеличились онкологические заболевания. Их темп роста составил 34,5% в течение анализируемого периода.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Прирост заболеваний кожи и подкожной клетчатки составил 8%, и заболеваний органов дыхания – 7,1%.</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понимания причин заболеваемости населения Бардымского муниципального района были рассчитаны коэффициенты корреляции Пирсона.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заболеваниями, оказывающими влияние на численность постоянного населения Бардымского района, являются заболевания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 новообразования, заболевания органов дыхания, кожи и подкожной клетчатки.</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Заболевания органов дыхания имеют наибольшую связь с инфекционными и паразитарными заболеваниями, в частности это туберкулез и пневмония, борьба с  которыми имеет высокую актуальность в Пермском крае. Высокий уровень корреляции данных показателей обеспечивается также влиянием заболеваний ВИЧ на некоторые разновидности туберкулеза.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Онкологические заболевания высоко коррелируют с заболеваниями </w:t>
      </w:r>
      <w:r w:rsidR="00C75FBD">
        <w:rPr>
          <w:rFonts w:ascii="Times New Roman" w:eastAsia="Times New Roman" w:hAnsi="Times New Roman" w:cs="Times New Roman"/>
          <w:color w:val="000000"/>
          <w:sz w:val="28"/>
          <w:szCs w:val="28"/>
        </w:rPr>
        <w:t>системы органов кровообращения</w:t>
      </w:r>
      <w:r w:rsidRPr="00153E07">
        <w:rPr>
          <w:rFonts w:ascii="Times New Roman" w:eastAsia="Times New Roman" w:hAnsi="Times New Roman" w:cs="Times New Roman"/>
          <w:sz w:val="28"/>
          <w:szCs w:val="28"/>
        </w:rPr>
        <w:t>.</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Высокую взаимосвязь общая заболеваемость имеет с численностью трудоспособного населения. Наибольшее влияние на сокращение числа трудоспособного населения оказывает рост онкологических заболеваний, а также травмы, отравления и другие последствия от внешних причин. </w:t>
      </w:r>
    </w:p>
    <w:p w:rsidR="00153E07" w:rsidRPr="00153E07" w:rsidRDefault="00153E07" w:rsidP="009D0B85">
      <w:pPr>
        <w:spacing w:after="0"/>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1.5</w:t>
      </w:r>
    </w:p>
    <w:p w:rsidR="00153E07" w:rsidRPr="009D0B85" w:rsidRDefault="00153E07" w:rsidP="009D0B85">
      <w:pPr>
        <w:spacing w:after="0"/>
        <w:jc w:val="center"/>
        <w:rPr>
          <w:rFonts w:ascii="Times New Roman" w:eastAsia="Times New Roman" w:hAnsi="Times New Roman" w:cs="Times New Roman"/>
          <w:b/>
          <w:sz w:val="28"/>
          <w:szCs w:val="28"/>
        </w:rPr>
      </w:pPr>
      <w:r w:rsidRPr="009D0B85">
        <w:rPr>
          <w:rFonts w:ascii="Times New Roman" w:eastAsia="Times New Roman" w:hAnsi="Times New Roman" w:cs="Times New Roman"/>
          <w:b/>
          <w:sz w:val="28"/>
          <w:szCs w:val="28"/>
        </w:rPr>
        <w:t>Число заболеваний в расчете на одного жителя Бардымского муниципального района в 2011-2016 гг., ед.</w:t>
      </w:r>
    </w:p>
    <w:tbl>
      <w:tblPr>
        <w:tblW w:w="5000" w:type="pct"/>
        <w:tblLook w:val="04A0"/>
      </w:tblPr>
      <w:tblGrid>
        <w:gridCol w:w="3123"/>
        <w:gridCol w:w="1334"/>
        <w:gridCol w:w="1261"/>
        <w:gridCol w:w="1079"/>
        <w:gridCol w:w="1079"/>
        <w:gridCol w:w="1152"/>
        <w:gridCol w:w="1109"/>
      </w:tblGrid>
      <w:tr w:rsidR="00153E07" w:rsidRPr="00153E07" w:rsidTr="00153E07">
        <w:trPr>
          <w:trHeight w:val="300"/>
        </w:trPr>
        <w:tc>
          <w:tcPr>
            <w:tcW w:w="15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Заболевания населения</w:t>
            </w:r>
          </w:p>
        </w:tc>
        <w:tc>
          <w:tcPr>
            <w:tcW w:w="658"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2011</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2012</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2013</w:t>
            </w:r>
          </w:p>
        </w:tc>
        <w:tc>
          <w:tcPr>
            <w:tcW w:w="532"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2014</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2015</w:t>
            </w:r>
          </w:p>
        </w:tc>
        <w:tc>
          <w:tcPr>
            <w:tcW w:w="550" w:type="pct"/>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8"/>
                <w:szCs w:val="28"/>
              </w:rPr>
            </w:pPr>
            <w:r w:rsidRPr="00F405EC">
              <w:rPr>
                <w:rFonts w:ascii="Times New Roman" w:eastAsia="Times New Roman" w:hAnsi="Times New Roman" w:cs="Times New Roman"/>
                <w:b/>
                <w:color w:val="000000"/>
                <w:sz w:val="28"/>
                <w:szCs w:val="28"/>
              </w:rPr>
              <w:t>2016</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Все болезни</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1,54</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1,6</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некоторые инфекционные и паразитарные</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0,04</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r>
      <w:tr w:rsidR="00153E07" w:rsidRPr="00153E07" w:rsidTr="00153E07">
        <w:trPr>
          <w:trHeight w:val="6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C75FBD"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 xml:space="preserve">заболевания </w:t>
            </w:r>
            <w:r>
              <w:rPr>
                <w:rFonts w:ascii="Times New Roman" w:eastAsia="Times New Roman" w:hAnsi="Times New Roman" w:cs="Times New Roman"/>
                <w:color w:val="000000"/>
                <w:sz w:val="28"/>
                <w:szCs w:val="28"/>
              </w:rPr>
              <w:t xml:space="preserve">системы органов </w:t>
            </w:r>
            <w:r>
              <w:rPr>
                <w:rFonts w:ascii="Times New Roman" w:eastAsia="Times New Roman" w:hAnsi="Times New Roman" w:cs="Times New Roman"/>
                <w:color w:val="000000"/>
                <w:sz w:val="28"/>
                <w:szCs w:val="28"/>
              </w:rPr>
              <w:lastRenderedPageBreak/>
              <w:t>кровообращения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lastRenderedPageBreak/>
              <w:t>0,03</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0,04</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0,02</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0,02</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lastRenderedPageBreak/>
              <w:t>новообразования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0,02</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0,02</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0,02</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0,02</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органов дыхания</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0,40</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0,43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0,43</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0,44</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0,43</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0,43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мочеполовой системы</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0,07</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0,08</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0,06</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0,03</w:t>
            </w:r>
          </w:p>
        </w:tc>
      </w:tr>
      <w:tr w:rsidR="00153E07" w:rsidRPr="00153E07" w:rsidTr="00153E07">
        <w:trPr>
          <w:trHeight w:val="3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кожи и подкожной клетчатки</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0,06</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0,06</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0,05</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0,06</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0,07</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0,06</w:t>
            </w:r>
          </w:p>
        </w:tc>
      </w:tr>
      <w:tr w:rsidR="00153E07" w:rsidRPr="00153E07" w:rsidTr="00153E07">
        <w:trPr>
          <w:trHeight w:val="900"/>
        </w:trPr>
        <w:tc>
          <w:tcPr>
            <w:tcW w:w="1541"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травмы, отравления и некоторые другие последствия внешних причин</w:t>
            </w:r>
          </w:p>
        </w:tc>
        <w:tc>
          <w:tcPr>
            <w:tcW w:w="65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0,04</w:t>
            </w:r>
          </w:p>
        </w:tc>
        <w:tc>
          <w:tcPr>
            <w:tcW w:w="62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0,04</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0,05</w:t>
            </w:r>
          </w:p>
        </w:tc>
        <w:tc>
          <w:tcPr>
            <w:tcW w:w="532"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0,05</w:t>
            </w:r>
          </w:p>
        </w:tc>
        <w:tc>
          <w:tcPr>
            <w:tcW w:w="568"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0,05</w:t>
            </w:r>
          </w:p>
        </w:tc>
        <w:tc>
          <w:tcPr>
            <w:tcW w:w="55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153E07">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0,06</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 данным таблицы 1.5 видно, что наибольшая заболеваемость относится к органам дыхания. На рисунке 13 представлена структура заболеваний населения Бардымского муниципального района в 2011-2016 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738012" cy="4111472"/>
            <wp:effectExtent l="19050" t="0" r="15088" b="3328"/>
            <wp:docPr id="21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53E07" w:rsidRPr="005E128E" w:rsidRDefault="00153E07" w:rsidP="00DD3EEB">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1.13. Структура заболеваний населения Бардымского муниципального района в 2011-2016 гг., чел.</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социально-значимых заболеваний показал, что в Бардымском муниципальном районе зафиксированы случаи регистрации ВИЧ-инфекций, туберкулеза и алкоголизма.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 период с 20</w:t>
      </w:r>
      <w:r w:rsidR="00C500AF">
        <w:rPr>
          <w:rFonts w:ascii="Times New Roman" w:eastAsia="Times New Roman" w:hAnsi="Times New Roman" w:cs="Times New Roman"/>
          <w:sz w:val="28"/>
          <w:szCs w:val="28"/>
        </w:rPr>
        <w:t>07</w:t>
      </w:r>
      <w:r w:rsidRPr="00153E07">
        <w:rPr>
          <w:rFonts w:ascii="Times New Roman" w:eastAsia="Times New Roman" w:hAnsi="Times New Roman" w:cs="Times New Roman"/>
          <w:sz w:val="28"/>
          <w:szCs w:val="28"/>
        </w:rPr>
        <w:t xml:space="preserve"> по 2015</w:t>
      </w:r>
      <w:r w:rsidR="00C500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гг. выявлено 78 случаев ВИЧ-инфекций, смертность по данным случаям составила 15 человек, или 19,2% от общего числа выявленных. Количественный анализ показал, что до 2007г. отмечались единичные случаи заболевания (до 5 случаев в год), с 2007 года наметился рост </w:t>
      </w:r>
      <w:r w:rsidRPr="00153E07">
        <w:rPr>
          <w:rFonts w:ascii="Times New Roman" w:eastAsia="Times New Roman" w:hAnsi="Times New Roman" w:cs="Times New Roman"/>
          <w:sz w:val="28"/>
          <w:szCs w:val="28"/>
        </w:rPr>
        <w:lastRenderedPageBreak/>
        <w:t>заболеваемости. Пик заболеваемости ВИЧ-инфекцией пришелся на 2016 г. – 16 случаев.</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Территориальный анализ дислокации болезни показал, что 35,9% случаев зафиксированы в с. Барда, 8,9%- в с. Куземьярово, 7,7% - в с. Краснояр 1.</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причин распространения ВИЧ-инфекции показал, что лидирующим является половой путь распространения заболевания (60%), второе место – употребление наркотиков - 30 %, и путь заражения не установлен – 10 % заразившихся лиц. </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Фактором риска среди населения являются безработные люди – 74%, второе место заняли не квалифицированные рабочие - 16 %, среди них 10 % это водители, 11 % - это осужденные лица.</w:t>
      </w:r>
    </w:p>
    <w:p w:rsidR="00153E07" w:rsidRPr="00153E07" w:rsidRDefault="00153E07" w:rsidP="00DD3EEB">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Чаще всего распространение ВИЧ-инфекции связано с сопутствующими болезнями у пациентов: вирусные гепатиты, преимущественно гепатит С, туберкулез, </w:t>
      </w:r>
      <w:r w:rsidR="00C500AF">
        <w:rPr>
          <w:rFonts w:ascii="Times New Roman" w:eastAsia="Times New Roman" w:hAnsi="Times New Roman" w:cs="Times New Roman"/>
          <w:sz w:val="28"/>
          <w:szCs w:val="28"/>
        </w:rPr>
        <w:t>З</w:t>
      </w:r>
      <w:r w:rsidRPr="00153E07">
        <w:rPr>
          <w:rFonts w:ascii="Times New Roman" w:eastAsia="Times New Roman" w:hAnsi="Times New Roman" w:cs="Times New Roman"/>
          <w:sz w:val="28"/>
          <w:szCs w:val="28"/>
        </w:rPr>
        <w:t>ППП, остальные кожные заболевания, анемии, эндокардит прооперированный, менингоэнцефалит, пневмонии.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Анализ выявления и распространения туберкулеза показал, что ежегодно в Бардымском муниципальном районе выявляется от 11 до 13 случаев заболеваемости данной инфекцией, при этом </w:t>
      </w:r>
      <w:r w:rsidRPr="00153E07">
        <w:rPr>
          <w:rFonts w:ascii="Times New Roman" w:hAnsi="Times New Roman" w:cs="Times New Roman"/>
          <w:sz w:val="28"/>
          <w:szCs w:val="28"/>
        </w:rPr>
        <w:t xml:space="preserve">показатель заболеваемости не превышает 60,0 на 100 тыс. населения. </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По территориальной дислокации случаев выявления инфекции можно выделить следующие деревни: Сюзянь, Танып, Елпачиха, </w:t>
      </w:r>
      <w:r w:rsidRPr="00153E07">
        <w:rPr>
          <w:rFonts w:ascii="Times New Roman" w:hAnsi="Times New Roman" w:cs="Times New Roman"/>
          <w:sz w:val="28"/>
          <w:szCs w:val="28"/>
          <w:lang w:val="en-US"/>
        </w:rPr>
        <w:t>I</w:t>
      </w:r>
      <w:r w:rsidRPr="00153E07">
        <w:rPr>
          <w:rFonts w:ascii="Times New Roman" w:hAnsi="Times New Roman" w:cs="Times New Roman"/>
          <w:sz w:val="28"/>
          <w:szCs w:val="28"/>
        </w:rPr>
        <w:t xml:space="preserve"> и </w:t>
      </w:r>
      <w:r w:rsidRPr="00153E07">
        <w:rPr>
          <w:rFonts w:ascii="Times New Roman" w:hAnsi="Times New Roman" w:cs="Times New Roman"/>
          <w:sz w:val="28"/>
          <w:szCs w:val="28"/>
          <w:lang w:val="en-US"/>
        </w:rPr>
        <w:t>II</w:t>
      </w:r>
      <w:r w:rsidRPr="00153E07">
        <w:rPr>
          <w:rFonts w:ascii="Times New Roman" w:hAnsi="Times New Roman" w:cs="Times New Roman"/>
          <w:sz w:val="28"/>
          <w:szCs w:val="28"/>
        </w:rPr>
        <w:t xml:space="preserve"> Краснояр, УстьТунтор, Тюндюк и районный центр с. Барда.</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Анализ структуры впервые выявленного туберкулеза показал, что чаще всего развивается инфильтративная форма (60%), диссеминированная (15,2 %), очаговая (13,8%).</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Социальный состав пациентов показал, что 61% являются неработающими гражданами.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Социально-значимое заболевание алкоголизм, является одной из основных причин смертности от внешних причин.  Из 35 случаев смерти по внешним причинам, 7 случаев смерти вызваны убийством, 16 – самоубийством, 1 –ДТП, каждое из которых связано с употреблением алкоголя. Также зафиксировано 34 случая смерти по причини цирроза печени.</w:t>
      </w:r>
    </w:p>
    <w:p w:rsidR="00153E07" w:rsidRPr="00153E07" w:rsidRDefault="00153E07" w:rsidP="00DD3EEB">
      <w:pPr>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В Бардымском муниципальном районе запланированы и проводятся мероприятия, направленные на сокращение заболеваемости среди населения района, к ним относятся:</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1. Формирование здорового образа жизни населения района путем пропаганды занятий физической культурой и спортом, повышения доступности спортивной инфраструктуры, формирования навыков здорового питания.</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2. Профилактика заболеваемости и первичной инвалидности населения путем пропаганды, приездов центров здоровья в район, проведение дополнительной диспансеризации работающего населения, охват диспансерным наблюдением больных и мониторинг эффективности профилактических мероприятий, в первую очередь среди больных сердечно-сосудистого и онкологического профиля. </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lastRenderedPageBreak/>
        <w:t>3. Снижение младенческой и детской смертности путем оказания медицинской помощи женщинам и детям, выполнения стандарта наблюдения детей первого года жизни, решением кадровых вопросов с педиатрами, акушер –гинекологами.</w:t>
      </w:r>
    </w:p>
    <w:p w:rsidR="00153E07" w:rsidRPr="00153E07" w:rsidRDefault="00153E07" w:rsidP="00DD3EEB">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153E07">
        <w:rPr>
          <w:rFonts w:ascii="Times New Roman" w:hAnsi="Times New Roman" w:cs="Times New Roman"/>
          <w:sz w:val="28"/>
          <w:szCs w:val="28"/>
        </w:rPr>
        <w:t xml:space="preserve">4. Снижение смертности в трудоспособном возрасте путем реализации краевой программы </w:t>
      </w:r>
      <w:r w:rsidR="00DE2D0E">
        <w:rPr>
          <w:rFonts w:ascii="Times New Roman" w:hAnsi="Times New Roman" w:cs="Times New Roman"/>
          <w:sz w:val="28"/>
          <w:szCs w:val="28"/>
        </w:rPr>
        <w:t>«</w:t>
      </w:r>
      <w:r w:rsidRPr="00153E07">
        <w:rPr>
          <w:rFonts w:ascii="Times New Roman" w:hAnsi="Times New Roman" w:cs="Times New Roman"/>
          <w:sz w:val="28"/>
          <w:szCs w:val="28"/>
        </w:rPr>
        <w:t>Совершенствование интенсивной терапии при неотложных состояниях на 2014-2016 годы</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153E07" w:rsidRPr="00153E07" w:rsidRDefault="00153E07" w:rsidP="00DD3EE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5. Повышение доступности и качества медицинской помощи путем мероприятий по рациональному размещению, строительству фельдшерско-акушерских пунктов на территории района, использование передвижного фельдшерско-акушерского пункта.</w:t>
      </w:r>
    </w:p>
    <w:p w:rsidR="00153E07" w:rsidRPr="00153E07" w:rsidRDefault="004878A9" w:rsidP="00DD3EE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Число больничных коек </w:t>
      </w:r>
      <w:r w:rsidR="00153E07" w:rsidRPr="00153E07">
        <w:rPr>
          <w:rFonts w:ascii="Times New Roman" w:eastAsia="Times New Roman" w:hAnsi="Times New Roman" w:cs="Times New Roman"/>
          <w:sz w:val="28"/>
          <w:szCs w:val="28"/>
        </w:rPr>
        <w:t>с 2010 по 2016 года постепенно сокращается. Так, на 01.01.2017 года было зафиксировано 69 мест, что на 54 меньше, чем 01.01.2011 (123 мест). Число коек, необходимых в районе, зависит от многих факторов, включая структуру заболеваемости и наличия альтернативных мест оказания медицинской помощи.</w:t>
      </w:r>
    </w:p>
    <w:p w:rsidR="00153E07" w:rsidRPr="00153E07" w:rsidRDefault="00153E07" w:rsidP="00153E07">
      <w:pPr>
        <w:spacing w:after="0"/>
        <w:jc w:val="both"/>
        <w:rPr>
          <w:rFonts w:ascii="Times New Roman" w:hAnsi="Times New Roman" w:cs="Times New Roman"/>
          <w:b/>
          <w:color w:val="000000"/>
          <w:sz w:val="28"/>
          <w:szCs w:val="28"/>
        </w:rPr>
      </w:pPr>
      <w:r w:rsidRPr="00153E07">
        <w:rPr>
          <w:rFonts w:ascii="Times New Roman" w:hAnsi="Times New Roman" w:cs="Times New Roman"/>
          <w:b/>
          <w:noProof/>
          <w:color w:val="000000"/>
          <w:sz w:val="28"/>
          <w:szCs w:val="28"/>
        </w:rPr>
        <w:drawing>
          <wp:inline distT="0" distB="0" distL="0" distR="0">
            <wp:extent cx="6248400" cy="2124075"/>
            <wp:effectExtent l="0" t="0" r="0" b="0"/>
            <wp:docPr id="213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1.14. Число больничных коек, единиц</w:t>
      </w:r>
    </w:p>
    <w:p w:rsidR="00153E07" w:rsidRPr="00153E07" w:rsidRDefault="00153E07" w:rsidP="00822D2E">
      <w:pPr>
        <w:spacing w:after="0" w:line="240" w:lineRule="auto"/>
        <w:ind w:firstLine="709"/>
        <w:jc w:val="both"/>
        <w:rPr>
          <w:rFonts w:ascii="Times New Roman" w:hAnsi="Times New Roman" w:cs="Times New Roman"/>
          <w:b/>
          <w:color w:val="000000"/>
          <w:sz w:val="28"/>
          <w:szCs w:val="28"/>
        </w:rPr>
      </w:pPr>
      <w:r w:rsidRPr="00153E07">
        <w:rPr>
          <w:rFonts w:ascii="Times New Roman" w:eastAsia="Times New Roman" w:hAnsi="Times New Roman" w:cs="Times New Roman"/>
          <w:sz w:val="28"/>
          <w:szCs w:val="28"/>
        </w:rPr>
        <w:t xml:space="preserve">Однако, как показано на рисунке 15 количество врачей постепенно увеличивается (01.01.2017 – 60 человек), а численность медперсонала в период с 01.01.2015-01.01.2017 сократилась на 18 человек (01.01.2017 г. – 158 человек). </w:t>
      </w:r>
    </w:p>
    <w:p w:rsidR="00153E07" w:rsidRPr="00153E07" w:rsidRDefault="00153E07" w:rsidP="00153E07">
      <w:pPr>
        <w:spacing w:after="0"/>
        <w:jc w:val="both"/>
        <w:rPr>
          <w:rFonts w:ascii="Times New Roman" w:hAnsi="Times New Roman" w:cs="Times New Roman"/>
          <w:b/>
          <w:color w:val="000000"/>
          <w:sz w:val="28"/>
          <w:szCs w:val="28"/>
        </w:rPr>
      </w:pPr>
      <w:r w:rsidRPr="00153E07">
        <w:rPr>
          <w:rFonts w:ascii="Times New Roman" w:hAnsi="Times New Roman" w:cs="Times New Roman"/>
          <w:b/>
          <w:noProof/>
          <w:color w:val="000000"/>
          <w:sz w:val="28"/>
          <w:szCs w:val="28"/>
        </w:rPr>
        <w:drawing>
          <wp:inline distT="0" distB="0" distL="0" distR="0">
            <wp:extent cx="6315075" cy="2657475"/>
            <wp:effectExtent l="0" t="0" r="0" b="0"/>
            <wp:docPr id="213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1.15. Численность врачей и среднего медперсонала, единиц</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Общая заболеваемость на 1000 человек на 01.01.2017 год составляет 1622 человека. Изменения произошли в 2013 году, общая заболеваемость за год сократилась с 1578 человек до 1528 человек.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1.16 представлена информация о первичной заболеваемости населения Бардымского муниципального района.</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57875" cy="2828925"/>
            <wp:effectExtent l="0" t="0" r="0" b="0"/>
            <wp:docPr id="2139"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53E07" w:rsidRPr="005E128E" w:rsidRDefault="00153E07" w:rsidP="00443EEA">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Рисунок 1.16. Первичная заболеваемость населения, случаев на 1000 человек населения</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Дети в возрасте до 14 лет и подростки (15-17 лет) болеют чаще, чем взрослые люди.</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Число заболеваний, впервые выявленных за год, больше всего зафиксировано у детей в возрасте от 0-4 лет, меньше всего зафиксировано у населения старше 17 лет. </w:t>
      </w:r>
    </w:p>
    <w:p w:rsidR="00153E07" w:rsidRPr="00153E07" w:rsidRDefault="00153E07" w:rsidP="00443EEA">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младенческой смертности показал, неоднозначную динамику. На протяжении 2012, 2014, 2016гг. наблюдались значительные скачки роста младенческой смертности. Так, за 2016 год младенческая смертность возросла в 4 раза, по сравнению с предыдущим годом и составила 22,7 промилле (рисунок 1.17).</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2276475"/>
            <wp:effectExtent l="0" t="0" r="0" b="0"/>
            <wp:docPr id="2140"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1.17. </w:t>
      </w:r>
      <w:r w:rsidRPr="005E128E">
        <w:rPr>
          <w:rFonts w:ascii="Times New Roman" w:hAnsi="Times New Roman" w:cs="Times New Roman"/>
          <w:b/>
          <w:bCs/>
          <w:sz w:val="28"/>
          <w:szCs w:val="28"/>
        </w:rPr>
        <w:t>Младенческая смертность, промилле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bCs/>
          <w:sz w:val="28"/>
          <w:szCs w:val="28"/>
        </w:rPr>
        <w:lastRenderedPageBreak/>
        <w:t>Обеспеченность медицинским персоналом и больничными койками в Бардымском муниципальном районе представлена на рисунке 1.18.</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3362325"/>
            <wp:effectExtent l="0" t="0" r="0" b="0"/>
            <wp:docPr id="2141"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1.18. </w:t>
      </w:r>
      <w:r w:rsidRPr="005E128E">
        <w:rPr>
          <w:rFonts w:ascii="Times New Roman" w:hAnsi="Times New Roman" w:cs="Times New Roman"/>
          <w:b/>
          <w:bCs/>
          <w:sz w:val="28"/>
          <w:szCs w:val="28"/>
        </w:rPr>
        <w:t>Обеспеченность медицинским персоналом и больничными койками в Бардымском муниципальном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больничных коек совпадает с обеспеченностью врачами на 10 000 человек. Немного сокращается обеспеченность, средним медицинским персоналом начиная с 2013 года. Так, за 2016 год обеспеченность средним медицинским персоналом на 10000 человек населения составляла 65,3 единицы.</w:t>
      </w:r>
    </w:p>
    <w:p w:rsidR="00153E07" w:rsidRPr="00153E07" w:rsidRDefault="00153E07" w:rsidP="00822D2E">
      <w:pPr>
        <w:spacing w:line="240" w:lineRule="auto"/>
        <w:jc w:val="both"/>
        <w:rPr>
          <w:rFonts w:ascii="Times New Roman" w:hAnsi="Times New Roman" w:cs="Times New Roman"/>
          <w:sz w:val="28"/>
          <w:szCs w:val="28"/>
        </w:rPr>
      </w:pPr>
    </w:p>
    <w:p w:rsidR="00153E07" w:rsidRPr="00153E07" w:rsidRDefault="00153E07" w:rsidP="00822D2E">
      <w:pPr>
        <w:pStyle w:val="1"/>
        <w:spacing w:line="240" w:lineRule="auto"/>
      </w:pPr>
      <w:r w:rsidRPr="00153E07">
        <w:t>1.2.4 Культура. Досуг. Физкультура и туризм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представлено 33 культурно - досуговых учреждения. Количество публичных библиотек: 2 единицы.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Количество экземпляров книг в библиотечном фонде за 2011 год сократилось почти в 1,5 раза. Так на 01.01.2011 года было зафиксировано 436160 экземпляров на 1000 человек, а 01.01.2012 года уже 261750 экземпляров. На 01.01.2017 года библиотечный фонд составил 239 188 экземпляров. Данные анализа свидетельствуют об отсутствии интереса со стороны жителей района к услугам библиотек, устаревании библиотечного фонда, низкой скорости его обновления (рисунок 1.19).</w:t>
      </w: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172200" cy="2971800"/>
            <wp:effectExtent l="0" t="0" r="0" b="0"/>
            <wp:docPr id="2142"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1.19. </w:t>
      </w:r>
      <w:r w:rsidRPr="005E128E">
        <w:rPr>
          <w:rFonts w:ascii="Times New Roman" w:hAnsi="Times New Roman" w:cs="Times New Roman"/>
          <w:b/>
          <w:bCs/>
          <w:sz w:val="28"/>
          <w:szCs w:val="28"/>
        </w:rPr>
        <w:t>Библиотечный фонд, количество экземпляров на 1000 человек</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районе действуют 30 плоскостных спортивных сооружений и 19 спортивных залов.</w:t>
      </w:r>
    </w:p>
    <w:p w:rsidR="00153E07" w:rsidRPr="00153E07" w:rsidRDefault="00153E07" w:rsidP="00822D2E">
      <w:pPr>
        <w:spacing w:line="240" w:lineRule="auto"/>
        <w:ind w:firstLine="709"/>
        <w:jc w:val="both"/>
        <w:rPr>
          <w:rFonts w:ascii="Times New Roman" w:hAnsi="Times New Roman" w:cs="Times New Roman"/>
          <w:bCs/>
          <w:sz w:val="28"/>
          <w:szCs w:val="28"/>
        </w:rPr>
      </w:pPr>
      <w:r w:rsidRPr="00153E07">
        <w:rPr>
          <w:rFonts w:ascii="Times New Roman" w:eastAsia="Times New Roman" w:hAnsi="Times New Roman" w:cs="Times New Roman"/>
          <w:sz w:val="28"/>
          <w:szCs w:val="28"/>
        </w:rPr>
        <w:t xml:space="preserve">На начало 2017г. в районе функционировало 26 детских оздоровительных учреждений и лагерей. </w:t>
      </w:r>
      <w:r w:rsidRPr="00153E07">
        <w:rPr>
          <w:rFonts w:ascii="Times New Roman" w:hAnsi="Times New Roman" w:cs="Times New Roman"/>
          <w:bCs/>
          <w:sz w:val="28"/>
          <w:szCs w:val="28"/>
        </w:rPr>
        <w:t xml:space="preserve">Численность детей, отдохнувших в лагерях, представлена на рисунке 1.20. </w:t>
      </w:r>
    </w:p>
    <w:p w:rsidR="00153E07" w:rsidRPr="00153E07" w:rsidRDefault="00153E07" w:rsidP="00153E07">
      <w:pPr>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29350" cy="2743200"/>
            <wp:effectExtent l="0" t="0" r="0" b="0"/>
            <wp:docPr id="214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53E07" w:rsidRPr="005E128E" w:rsidRDefault="00153E07" w:rsidP="00822D2E">
      <w:pPr>
        <w:spacing w:after="160" w:line="240" w:lineRule="auto"/>
        <w:jc w:val="both"/>
        <w:rPr>
          <w:rFonts w:ascii="Times New Roman" w:hAnsi="Times New Roman" w:cs="Times New Roman"/>
          <w:b/>
          <w:sz w:val="28"/>
          <w:szCs w:val="28"/>
        </w:rPr>
      </w:pPr>
      <w:r w:rsidRPr="005E128E">
        <w:rPr>
          <w:rFonts w:ascii="Times New Roman" w:hAnsi="Times New Roman" w:cs="Times New Roman"/>
          <w:b/>
          <w:sz w:val="28"/>
          <w:szCs w:val="28"/>
        </w:rPr>
        <w:t xml:space="preserve">Рисунок 1.20. </w:t>
      </w:r>
      <w:r w:rsidRPr="005E128E">
        <w:rPr>
          <w:rFonts w:ascii="Times New Roman" w:hAnsi="Times New Roman" w:cs="Times New Roman"/>
          <w:b/>
          <w:bCs/>
          <w:sz w:val="28"/>
          <w:szCs w:val="28"/>
        </w:rPr>
        <w:t>Численность детей, отдохнувших в лагерях, чел.</w:t>
      </w:r>
    </w:p>
    <w:p w:rsidR="00822D2E" w:rsidRDefault="00822D2E" w:rsidP="00822D2E">
      <w:pPr>
        <w:pStyle w:val="1"/>
        <w:spacing w:line="240" w:lineRule="auto"/>
      </w:pPr>
    </w:p>
    <w:p w:rsidR="00153E07" w:rsidRPr="00153E07" w:rsidRDefault="00153E07" w:rsidP="00822D2E">
      <w:pPr>
        <w:pStyle w:val="1"/>
        <w:spacing w:line="240" w:lineRule="auto"/>
      </w:pPr>
      <w:r w:rsidRPr="00153E07">
        <w:t>1.2.5 Социальная защита населения</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Структурный анализ показал, что доля граждан пожилого возраста в общей численности населения района составляет 25,6%.</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пенсионеров с каждым годом возрастает, динамика представлена на рисунке 22. За 6 лет прирост численности граждан старше пенсионного возраста составил 34,2%.</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733675"/>
            <wp:effectExtent l="0" t="0" r="0" b="0"/>
            <wp:docPr id="2144"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1.22. </w:t>
      </w:r>
      <w:r w:rsidRPr="005E128E">
        <w:rPr>
          <w:rFonts w:ascii="Times New Roman" w:hAnsi="Times New Roman" w:cs="Times New Roman"/>
          <w:b/>
          <w:bCs/>
          <w:sz w:val="28"/>
          <w:szCs w:val="28"/>
        </w:rPr>
        <w:t>Численность пенсионеров, человек</w:t>
      </w:r>
    </w:p>
    <w:p w:rsidR="00443EEA" w:rsidRDefault="00443EEA"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уровня финансового благосостояния граждан пенсионного возраста показал, что на 1 января 2017 года средний размер пенсий составил 10456 рублей 96 копеек, индексация за 6 лет составила 19,9%, что ниже среднегодового уровня инфляции за анализируемый период времени. </w:t>
      </w:r>
    </w:p>
    <w:p w:rsidR="00153E07" w:rsidRPr="00153E07" w:rsidRDefault="00153E07" w:rsidP="00153E07">
      <w:pPr>
        <w:spacing w:after="0"/>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2686050"/>
            <wp:effectExtent l="0" t="0" r="0" b="0"/>
            <wp:docPr id="2145"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1.23. </w:t>
      </w:r>
      <w:r w:rsidRPr="005E128E">
        <w:rPr>
          <w:rFonts w:ascii="Times New Roman" w:hAnsi="Times New Roman" w:cs="Times New Roman"/>
          <w:b/>
          <w:bCs/>
          <w:sz w:val="28"/>
          <w:szCs w:val="28"/>
        </w:rPr>
        <w:t>Средний размер месячных пенсий на конец года, руб.</w:t>
      </w:r>
    </w:p>
    <w:p w:rsidR="00153E07" w:rsidRPr="00153E07" w:rsidRDefault="00153E07" w:rsidP="00153E07">
      <w:pPr>
        <w:spacing w:after="160" w:line="256" w:lineRule="auto"/>
        <w:jc w:val="both"/>
        <w:rPr>
          <w:rFonts w:ascii="Times New Roman" w:hAnsi="Times New Roman" w:cs="Times New Roman"/>
          <w:bCs/>
          <w:sz w:val="28"/>
          <w:szCs w:val="28"/>
        </w:rPr>
      </w:pPr>
      <w:r w:rsidRPr="00153E07">
        <w:rPr>
          <w:rFonts w:ascii="Times New Roman" w:hAnsi="Times New Roman" w:cs="Times New Roman"/>
          <w:bCs/>
          <w:noProof/>
          <w:sz w:val="28"/>
          <w:szCs w:val="28"/>
        </w:rPr>
        <w:lastRenderedPageBreak/>
        <w:drawing>
          <wp:inline distT="0" distB="0" distL="0" distR="0">
            <wp:extent cx="6124575" cy="3040380"/>
            <wp:effectExtent l="0" t="0" r="0" b="0"/>
            <wp:docPr id="214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bCs/>
          <w:sz w:val="28"/>
          <w:szCs w:val="28"/>
        </w:rPr>
        <w:t>Рисунок 1.24. Демографическая нагрузка в Бардымском муниципальном районе</w:t>
      </w:r>
    </w:p>
    <w:p w:rsidR="004878A9" w:rsidRDefault="004878A9"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Отношение числа пенсионеров к числу трудоспособного населения с каждым годом становится больше, что говорит о росте демографической нагрузки. Таким образом, наблюдается неутешительная тенденция старения населения в Бардымском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Число семей, которые состоят на учете, как нуждающиеся в жилых помещениях уменьшается с каждым годом в среднем на 2-3 семьи. В начале 2017г. было зафиксировано 320 семей, что на 20 семей меньше, по сравнению с 01.01.2011 г.</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81675" cy="2752725"/>
            <wp:effectExtent l="0" t="0" r="0" b="0"/>
            <wp:docPr id="2147"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1.25. </w:t>
      </w:r>
      <w:r w:rsidRPr="005E128E">
        <w:rPr>
          <w:rFonts w:ascii="Times New Roman" w:hAnsi="Times New Roman" w:cs="Times New Roman"/>
          <w:b/>
          <w:bCs/>
          <w:sz w:val="28"/>
          <w:szCs w:val="28"/>
        </w:rPr>
        <w:t>Число семей, стоящих на учете, как нуждающихся в жилых помещениях, единиц</w:t>
      </w:r>
    </w:p>
    <w:p w:rsidR="00153E07" w:rsidRPr="00153E07" w:rsidRDefault="00153E07" w:rsidP="00822D2E">
      <w:pPr>
        <w:pStyle w:val="1"/>
        <w:spacing w:line="240" w:lineRule="auto"/>
      </w:pPr>
      <w:r w:rsidRPr="00153E07">
        <w:lastRenderedPageBreak/>
        <w:t>1.2.6 Общественная безопасность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Пик количества зарегистрированных преступлений на 10000 человек населения Бардымского района приходился на 2012 и 2015 годы, в эти годы было зарегистрировано 190 и 196 преступлений соответственно. </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81675" cy="2466975"/>
            <wp:effectExtent l="0" t="0" r="0" b="0"/>
            <wp:docPr id="2148"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sz w:val="28"/>
          <w:szCs w:val="28"/>
        </w:rPr>
        <w:t xml:space="preserve">Рисунок 1.26. </w:t>
      </w:r>
      <w:r w:rsidRPr="005E128E">
        <w:rPr>
          <w:rFonts w:ascii="Times New Roman" w:hAnsi="Times New Roman" w:cs="Times New Roman"/>
          <w:b/>
          <w:bCs/>
          <w:sz w:val="28"/>
          <w:szCs w:val="28"/>
        </w:rPr>
        <w:t>Количество зарегистрированных преступлений на 10000 чел. населения, ед.</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1.27 представлены показатели детской преступности в Бардымском муниципальном районе.</w:t>
      </w:r>
    </w:p>
    <w:p w:rsidR="00153E07" w:rsidRPr="00153E07" w:rsidRDefault="00153E07" w:rsidP="00153E07">
      <w:pPr>
        <w:pStyle w:val="af1"/>
        <w:spacing w:after="160" w:line="256"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81675" cy="3171825"/>
            <wp:effectExtent l="0" t="0" r="0" b="0"/>
            <wp:docPr id="2149"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53E07" w:rsidRPr="005E128E" w:rsidRDefault="00153E07" w:rsidP="00822D2E">
      <w:pPr>
        <w:spacing w:after="160" w:line="240" w:lineRule="auto"/>
        <w:jc w:val="both"/>
        <w:rPr>
          <w:rFonts w:ascii="Times New Roman" w:hAnsi="Times New Roman" w:cs="Times New Roman"/>
          <w:b/>
          <w:bCs/>
          <w:sz w:val="28"/>
          <w:szCs w:val="28"/>
        </w:rPr>
      </w:pPr>
      <w:r w:rsidRPr="005E128E">
        <w:rPr>
          <w:rFonts w:ascii="Times New Roman" w:hAnsi="Times New Roman" w:cs="Times New Roman"/>
          <w:b/>
          <w:bCs/>
          <w:sz w:val="28"/>
          <w:szCs w:val="28"/>
        </w:rPr>
        <w:t>Рисунок 1.27. Детская преступность, кол-во зарегистрированных преступлений совершенных несовершеннолетними на 10000 человек населения, ед.</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Самое большое количество зарегистрированных преступлений, совершенных несовершеннолетними на 10000 человек населения было зафиксировано по итогам 2015 года, и составляло 6,1 единиц.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Учитывая скачкообразную динамику данного показателя, был проведен корреляционный анализ для выявления наличия взаимосвязи между детской преступностью и количеством мест проведения культурного и спортивного досуга несовершеннолетних жителей района.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Корреляционный анализ показал зависимост</w:t>
      </w:r>
      <w:r w:rsidR="009D0B85">
        <w:rPr>
          <w:rFonts w:ascii="Times New Roman" w:eastAsia="Times New Roman" w:hAnsi="Times New Roman" w:cs="Times New Roman"/>
          <w:sz w:val="28"/>
          <w:szCs w:val="28"/>
        </w:rPr>
        <w:t>ь</w:t>
      </w:r>
      <w:r w:rsidRPr="00153E07">
        <w:rPr>
          <w:rFonts w:ascii="Times New Roman" w:eastAsia="Times New Roman" w:hAnsi="Times New Roman" w:cs="Times New Roman"/>
          <w:sz w:val="28"/>
          <w:szCs w:val="28"/>
        </w:rPr>
        <w:t xml:space="preserve"> между такими показателями как детская преступность и количество спортивных объектов. </w:t>
      </w:r>
      <w:r w:rsidR="00BE7256">
        <w:rPr>
          <w:rFonts w:ascii="Times New Roman" w:eastAsia="Times New Roman" w:hAnsi="Times New Roman" w:cs="Times New Roman"/>
          <w:sz w:val="28"/>
          <w:szCs w:val="28"/>
        </w:rPr>
        <w:t xml:space="preserve">Имеется </w:t>
      </w:r>
      <w:r w:rsidRPr="00153E07">
        <w:rPr>
          <w:rFonts w:ascii="Times New Roman" w:eastAsia="Times New Roman" w:hAnsi="Times New Roman" w:cs="Times New Roman"/>
          <w:sz w:val="28"/>
          <w:szCs w:val="28"/>
        </w:rPr>
        <w:t xml:space="preserve"> синергетический эффект от количества введенных спортивных объектов, популяризации спорта, появление разнообразных видов спорта, </w:t>
      </w:r>
      <w:r w:rsidR="00BE7256">
        <w:rPr>
          <w:rFonts w:ascii="Times New Roman" w:eastAsia="Times New Roman" w:hAnsi="Times New Roman" w:cs="Times New Roman"/>
          <w:sz w:val="28"/>
          <w:szCs w:val="28"/>
        </w:rPr>
        <w:t xml:space="preserve">который оказывает </w:t>
      </w:r>
      <w:r w:rsidRPr="00153E07">
        <w:rPr>
          <w:rFonts w:ascii="Times New Roman" w:eastAsia="Times New Roman" w:hAnsi="Times New Roman" w:cs="Times New Roman"/>
          <w:sz w:val="28"/>
          <w:szCs w:val="28"/>
        </w:rPr>
        <w:t>существенное влияние на</w:t>
      </w:r>
      <w:r w:rsidR="00BE7256">
        <w:rPr>
          <w:rFonts w:ascii="Times New Roman" w:eastAsia="Times New Roman" w:hAnsi="Times New Roman" w:cs="Times New Roman"/>
          <w:sz w:val="28"/>
          <w:szCs w:val="28"/>
        </w:rPr>
        <w:t xml:space="preserve"> снижение</w:t>
      </w:r>
      <w:r w:rsidRPr="00153E07">
        <w:rPr>
          <w:rFonts w:ascii="Times New Roman" w:eastAsia="Times New Roman" w:hAnsi="Times New Roman" w:cs="Times New Roman"/>
          <w:sz w:val="28"/>
          <w:szCs w:val="28"/>
        </w:rPr>
        <w:t xml:space="preserve"> уров</w:t>
      </w:r>
      <w:r w:rsidR="00BE7256">
        <w:rPr>
          <w:rFonts w:ascii="Times New Roman" w:eastAsia="Times New Roman" w:hAnsi="Times New Roman" w:cs="Times New Roman"/>
          <w:sz w:val="28"/>
          <w:szCs w:val="28"/>
        </w:rPr>
        <w:t xml:space="preserve">ня </w:t>
      </w:r>
      <w:r w:rsidRPr="00153E07">
        <w:rPr>
          <w:rFonts w:ascii="Times New Roman" w:eastAsia="Times New Roman" w:hAnsi="Times New Roman" w:cs="Times New Roman"/>
          <w:sz w:val="28"/>
          <w:szCs w:val="28"/>
        </w:rPr>
        <w:t>преступности.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наблюдается обратно пропорциональное влияние количества посадочных мест (вместимости) в клубах, домах культуры, а также библиотечного фонда на уровень детской и общей преступности. Таким образом, сокращение вместимости объектов культуры оказывает заметное влияние на рост преступности в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района функционирует филиал Краевого политехнического колледжа. Одной из проблем является отсутствие у колледжа общежития для студентов. Иногородние студенты вынуждены арендовать частное жилье, и проводить свободное время без надзора со стороны взрослых. Отсутствие контроля и надзора со стороны родителей и педагогического персонала, наличие свободного времени при несформированном здоровом образе жизни приводит к приобщению молодёжи к асоциальному образу жизни и косвенному росту преступности.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целом по детской преступности динамика неутешительна, так как наблюдается тенденция ее роста, что говорит о необходимости строительства и вводу дополнительных спортивных и культурных объектов, общежития для Краевого политехнического колледжа, увеличении библиотечного фонда, популяризации культуры, искусства и здорового образа жизни среди молодёжи.</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4878A9" w:rsidRPr="00153E07" w:rsidRDefault="004878A9" w:rsidP="00822D2E">
      <w:pPr>
        <w:pStyle w:val="1"/>
        <w:spacing w:line="240" w:lineRule="auto"/>
      </w:pPr>
      <w:r w:rsidRPr="00153E07">
        <w:t>1.2.7 Инфраструктурная сфера. Транспортная инфраструктура.</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протяжении последних 6 лет протяженность дорог общего пользования местного значения неуклонно растет.</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автодорог общего пользования местного значения, которая не отвечает нормативным требованиям, постепенно сокращается. На начало 2017 года доля автодорог общего пользования местного значения, которая не отвечает нормативным требованиям, составила 27,4%, что на 41,48% меньше, по сравнению с 2010 годом. </w:t>
      </w:r>
    </w:p>
    <w:p w:rsidR="004878A9" w:rsidRPr="00153E07" w:rsidRDefault="004878A9" w:rsidP="004878A9">
      <w:pPr>
        <w:spacing w:after="0"/>
        <w:ind w:firstLine="709"/>
        <w:jc w:val="both"/>
        <w:rPr>
          <w:rFonts w:ascii="Times New Roman" w:eastAsia="Times New Roman" w:hAnsi="Times New Roman" w:cs="Times New Roman"/>
          <w:sz w:val="28"/>
          <w:szCs w:val="28"/>
        </w:rPr>
      </w:pP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91200" cy="2743200"/>
            <wp:effectExtent l="0" t="0" r="0" b="0"/>
            <wp:docPr id="27"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878A9" w:rsidRPr="00BA103D" w:rsidRDefault="004878A9" w:rsidP="00822D2E">
      <w:pPr>
        <w:spacing w:after="0" w:line="240" w:lineRule="auto"/>
        <w:jc w:val="both"/>
        <w:rPr>
          <w:rFonts w:ascii="Times New Roman" w:eastAsia="Times New Roman" w:hAnsi="Times New Roman" w:cs="Times New Roman"/>
          <w:b/>
          <w:sz w:val="28"/>
          <w:szCs w:val="28"/>
        </w:rPr>
      </w:pPr>
      <w:r w:rsidRPr="00BA103D">
        <w:rPr>
          <w:rFonts w:ascii="Times New Roman" w:eastAsia="Times New Roman" w:hAnsi="Times New Roman" w:cs="Times New Roman"/>
          <w:b/>
          <w:sz w:val="28"/>
          <w:szCs w:val="28"/>
        </w:rPr>
        <w:t>Рисунок 1.28. Доля автодорог общего пользования местного значения, не отвечающих нормативным требованиям,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освещенных сельских улиц</w:t>
      </w:r>
      <w:r>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в Бардымском районе в 2016 году составила 73%. Значительное изменение было отмечено в 2015 г., рост на 7,8%, в последующие годы темпы работ по освещению улиц были невысоки.</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72150" cy="2743200"/>
            <wp:effectExtent l="19050" t="0" r="19050" b="0"/>
            <wp:docPr id="28"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878A9" w:rsidRDefault="004878A9" w:rsidP="00822D2E">
      <w:pPr>
        <w:spacing w:line="240" w:lineRule="auto"/>
        <w:jc w:val="both"/>
        <w:rPr>
          <w:rFonts w:ascii="Times New Roman" w:hAnsi="Times New Roman" w:cs="Times New Roman"/>
          <w:b/>
          <w:sz w:val="28"/>
          <w:szCs w:val="28"/>
        </w:rPr>
      </w:pPr>
      <w:r>
        <w:rPr>
          <w:rFonts w:ascii="Times New Roman" w:hAnsi="Times New Roman" w:cs="Times New Roman"/>
          <w:b/>
          <w:sz w:val="28"/>
          <w:szCs w:val="28"/>
        </w:rPr>
        <w:t>Рисунок 1.29</w:t>
      </w:r>
      <w:r w:rsidRPr="00BA103D">
        <w:rPr>
          <w:rFonts w:ascii="Times New Roman" w:hAnsi="Times New Roman" w:cs="Times New Roman"/>
          <w:b/>
          <w:sz w:val="28"/>
          <w:szCs w:val="28"/>
        </w:rPr>
        <w:t>. Доля освещенных улиц %</w:t>
      </w:r>
    </w:p>
    <w:p w:rsidR="004878A9" w:rsidRDefault="004878A9" w:rsidP="00822D2E">
      <w:pPr>
        <w:pStyle w:val="1"/>
        <w:spacing w:line="240" w:lineRule="auto"/>
      </w:pPr>
    </w:p>
    <w:p w:rsidR="004878A9" w:rsidRPr="00153E07" w:rsidRDefault="004878A9" w:rsidP="00822D2E">
      <w:pPr>
        <w:pStyle w:val="1"/>
        <w:spacing w:line="240" w:lineRule="auto"/>
      </w:pPr>
      <w:r w:rsidRPr="00153E07">
        <w:t>1.2.8 Градостроительство. Инженерная инфраструктура</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Совокупность всех жилых помещений, находящихся на территории Бардымского муниципального района с каждым годом растет. Так на 01.01.2011 год жилищный фонд составлял 624,8 тысяч квадратных метров, а уже на 01.01.2017 год он составлял 681,3 тысячи квадратных метров.</w:t>
      </w:r>
    </w:p>
    <w:p w:rsidR="004878A9" w:rsidRPr="00153E07" w:rsidRDefault="004878A9" w:rsidP="004878A9">
      <w:pPr>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48400" cy="2371725"/>
            <wp:effectExtent l="0" t="0" r="0" b="0"/>
            <wp:docPr id="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878A9" w:rsidRPr="00BA103D" w:rsidRDefault="004878A9" w:rsidP="00822D2E">
      <w:pPr>
        <w:spacing w:line="240" w:lineRule="auto"/>
        <w:jc w:val="both"/>
        <w:rPr>
          <w:rFonts w:ascii="Times New Roman" w:eastAsiaTheme="minorHAnsi" w:hAnsi="Times New Roman" w:cs="Times New Roman"/>
          <w:b/>
          <w:sz w:val="28"/>
          <w:szCs w:val="28"/>
          <w:lang w:eastAsia="en-US"/>
        </w:rPr>
      </w:pPr>
      <w:r w:rsidRPr="00BA103D">
        <w:rPr>
          <w:rFonts w:ascii="Times New Roman" w:hAnsi="Times New Roman" w:cs="Times New Roman"/>
          <w:b/>
          <w:sz w:val="28"/>
          <w:szCs w:val="28"/>
        </w:rPr>
        <w:t xml:space="preserve">Рисунок 1.30. </w:t>
      </w:r>
      <w:r w:rsidRPr="00BA103D">
        <w:rPr>
          <w:rFonts w:ascii="Times New Roman" w:eastAsiaTheme="minorHAnsi" w:hAnsi="Times New Roman" w:cs="Times New Roman"/>
          <w:b/>
          <w:sz w:val="28"/>
          <w:szCs w:val="28"/>
          <w:lang w:eastAsia="en-US"/>
        </w:rPr>
        <w:t>Жилищный фонд, тыс. кв. метров</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Площадь жилых помещений в аварийных домах, находящихся в общей площади жилищного фонда района, в период с 01.01.2011-01.01.2017 года не превышала 1,23%. В 2016 году была зафиксирована самая маленькая доля аварийного жилья -  0,3%.</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91200" cy="2657475"/>
            <wp:effectExtent l="0" t="0" r="0" b="0"/>
            <wp:docPr id="3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878A9" w:rsidRPr="00BA103D" w:rsidRDefault="004878A9" w:rsidP="00822D2E">
      <w:pPr>
        <w:spacing w:line="240" w:lineRule="auto"/>
        <w:jc w:val="both"/>
        <w:rPr>
          <w:rFonts w:ascii="Times New Roman" w:eastAsiaTheme="minorHAnsi" w:hAnsi="Times New Roman" w:cs="Times New Roman"/>
          <w:b/>
          <w:sz w:val="28"/>
          <w:szCs w:val="28"/>
          <w:lang w:eastAsia="en-US"/>
        </w:rPr>
      </w:pPr>
      <w:r w:rsidRPr="00BA103D">
        <w:rPr>
          <w:rFonts w:ascii="Times New Roman" w:hAnsi="Times New Roman" w:cs="Times New Roman"/>
          <w:b/>
          <w:sz w:val="28"/>
          <w:szCs w:val="28"/>
        </w:rPr>
        <w:t xml:space="preserve">Рисунок 1.31. </w:t>
      </w:r>
      <w:r w:rsidRPr="00BA103D">
        <w:rPr>
          <w:rFonts w:ascii="Times New Roman" w:eastAsiaTheme="minorHAnsi" w:hAnsi="Times New Roman" w:cs="Times New Roman"/>
          <w:b/>
          <w:sz w:val="28"/>
          <w:szCs w:val="28"/>
          <w:lang w:eastAsia="en-US"/>
        </w:rPr>
        <w:t>Площадь жилых помещений в аварийных домах в общей площади жилищного фонда, %</w:t>
      </w:r>
    </w:p>
    <w:p w:rsidR="004878A9" w:rsidRPr="00153E07" w:rsidRDefault="004878A9" w:rsidP="004878A9">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191250" cy="2743200"/>
            <wp:effectExtent l="0" t="0" r="0" b="0"/>
            <wp:docPr id="3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878A9" w:rsidRPr="00BA103D" w:rsidRDefault="004878A9" w:rsidP="00822D2E">
      <w:pPr>
        <w:spacing w:line="240" w:lineRule="auto"/>
        <w:jc w:val="both"/>
        <w:rPr>
          <w:rFonts w:ascii="Times New Roman" w:hAnsi="Times New Roman" w:cs="Times New Roman"/>
          <w:b/>
          <w:sz w:val="28"/>
          <w:szCs w:val="28"/>
          <w:lang w:eastAsia="en-US"/>
        </w:rPr>
      </w:pPr>
      <w:r>
        <w:rPr>
          <w:rFonts w:ascii="Times New Roman" w:hAnsi="Times New Roman" w:cs="Times New Roman"/>
          <w:b/>
          <w:sz w:val="28"/>
          <w:szCs w:val="28"/>
          <w:lang w:eastAsia="en-US"/>
        </w:rPr>
        <w:t>Рисунок 1.32</w:t>
      </w:r>
      <w:r w:rsidRPr="00BA103D">
        <w:rPr>
          <w:rFonts w:ascii="Times New Roman" w:hAnsi="Times New Roman" w:cs="Times New Roman"/>
          <w:b/>
          <w:sz w:val="28"/>
          <w:szCs w:val="28"/>
          <w:lang w:eastAsia="en-US"/>
        </w:rPr>
        <w:t>. Общая площадь жилых помещений в расчете на одного жителя, кв. м.</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Необходимо отдельно отметить муниципальный фонд. Так, 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составляют 18%. При этом наиболее остро стоит вопрос по ремонту Мостовинского, 1 Красноярского сельских клубов, Новоашапского, Бичуринского, Тюндюковского, Ишимовского сельских Домов культуры.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Существует проблема обеспеченности учреждений культуры и спорта специальным оборудованием для маломобильных групп населения, инвалидов по слуху, зрению, опорно-двигательному аппарату. Доля доступных для маломобильных групп населения объектов культуры от общего объектов культуры на территории Бардымского муниципального района составляет 52,08%.</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Общая площадь жилых помещений в расчете на одного жителя с каждым годом показывает положительную динамику. Так, на 01.01.2011 года она составляла 24,4 квадратных метров, на 01.01.2017 год - 26,9</w:t>
      </w:r>
      <w:r>
        <w:rPr>
          <w:rFonts w:ascii="Times New Roman" w:eastAsia="Times New Roman" w:hAnsi="Times New Roman" w:cs="Times New Roman"/>
          <w:sz w:val="28"/>
          <w:szCs w:val="28"/>
        </w:rPr>
        <w:t xml:space="preserve"> квадратных метра</w:t>
      </w:r>
      <w:r w:rsidRPr="00153E07">
        <w:rPr>
          <w:rFonts w:ascii="Times New Roman" w:eastAsia="Times New Roman" w:hAnsi="Times New Roman" w:cs="Times New Roman"/>
          <w:sz w:val="28"/>
          <w:szCs w:val="28"/>
        </w:rPr>
        <w:t>.</w:t>
      </w:r>
    </w:p>
    <w:p w:rsidR="004878A9" w:rsidRPr="00153E07" w:rsidRDefault="004878A9" w:rsidP="004878A9">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114550"/>
            <wp:effectExtent l="0" t="0" r="0" b="0"/>
            <wp:docPr id="6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 xml:space="preserve">Рисунок 1.33. </w:t>
      </w:r>
      <w:r w:rsidRPr="009E6C4D">
        <w:rPr>
          <w:rFonts w:ascii="Times New Roman" w:eastAsiaTheme="minorHAnsi" w:hAnsi="Times New Roman" w:cs="Times New Roman"/>
          <w:b/>
          <w:sz w:val="28"/>
          <w:szCs w:val="28"/>
        </w:rPr>
        <w:t>Количество негазифицированных населенных пунктов, единиц</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газификации района показал, что на протяжении последних лет наблюдается постепенное сокращение количества негазифицированных населенных пунктов, если на начало 2011 г. их число насчитывало 50, то к концу 2016 снизилось до 45 населенных пунктов.</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Обеспечение жилого фонда сетевым газом в анализируемом периоде времени составляет 42%.</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00725" cy="2743200"/>
            <wp:effectExtent l="0" t="0" r="0" b="0"/>
            <wp:docPr id="6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Рисунок 1.3</w:t>
      </w:r>
      <w:r>
        <w:rPr>
          <w:rFonts w:ascii="Times New Roman" w:hAnsi="Times New Roman" w:cs="Times New Roman"/>
          <w:b/>
          <w:sz w:val="28"/>
          <w:szCs w:val="28"/>
          <w:lang w:eastAsia="en-US"/>
        </w:rPr>
        <w:t>4</w:t>
      </w:r>
      <w:r w:rsidRPr="009E6C4D">
        <w:rPr>
          <w:rFonts w:ascii="Times New Roman" w:hAnsi="Times New Roman" w:cs="Times New Roman"/>
          <w:b/>
          <w:sz w:val="28"/>
          <w:szCs w:val="28"/>
          <w:lang w:eastAsia="en-US"/>
        </w:rPr>
        <w:t xml:space="preserve">. </w:t>
      </w:r>
      <w:r w:rsidRPr="009E6C4D">
        <w:rPr>
          <w:rFonts w:ascii="Times New Roman" w:eastAsiaTheme="minorHAnsi" w:hAnsi="Times New Roman" w:cs="Times New Roman"/>
          <w:b/>
          <w:sz w:val="28"/>
          <w:szCs w:val="28"/>
        </w:rPr>
        <w:t>Обеспечение жилого фонда сетевым газом, %</w:t>
      </w:r>
    </w:p>
    <w:p w:rsidR="004878A9" w:rsidRPr="00153E07" w:rsidRDefault="004878A9"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обеспечения центральным водопроводом сельских поселений Бардымского района показал, что с 2014 по 2017гг. доля жилого фонда, обеспеченного центральным водопроводом составляла 42%. Обеспечение жилого фонда центральной канализацией в анализируемый период времени не превышала 23%, центральным отоплением – 15%.</w:t>
      </w:r>
    </w:p>
    <w:p w:rsidR="004878A9" w:rsidRPr="00153E07" w:rsidRDefault="004878A9" w:rsidP="004878A9">
      <w:pPr>
        <w:pStyle w:val="af1"/>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734050" cy="2514600"/>
            <wp:effectExtent l="0" t="0" r="0" b="0"/>
            <wp:docPr id="6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878A9" w:rsidRPr="009E6C4D" w:rsidRDefault="004878A9" w:rsidP="00822D2E">
      <w:pPr>
        <w:spacing w:line="240" w:lineRule="auto"/>
        <w:jc w:val="both"/>
        <w:rPr>
          <w:rFonts w:ascii="Times New Roman" w:eastAsiaTheme="minorHAnsi" w:hAnsi="Times New Roman" w:cs="Times New Roman"/>
          <w:b/>
          <w:sz w:val="28"/>
          <w:szCs w:val="28"/>
        </w:rPr>
      </w:pPr>
      <w:r w:rsidRPr="009E6C4D">
        <w:rPr>
          <w:rFonts w:ascii="Times New Roman" w:hAnsi="Times New Roman" w:cs="Times New Roman"/>
          <w:b/>
          <w:sz w:val="28"/>
          <w:szCs w:val="28"/>
          <w:lang w:eastAsia="en-US"/>
        </w:rPr>
        <w:t xml:space="preserve">Рисунок 1.35. </w:t>
      </w:r>
      <w:r w:rsidRPr="009E6C4D">
        <w:rPr>
          <w:rFonts w:ascii="Times New Roman" w:eastAsiaTheme="minorHAnsi" w:hAnsi="Times New Roman" w:cs="Times New Roman"/>
          <w:b/>
          <w:sz w:val="28"/>
          <w:szCs w:val="28"/>
        </w:rPr>
        <w:t>Обеспеченность жилого фонда центральной канализацией,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lastRenderedPageBreak/>
        <w:t>1.2.9 Экология. Охрана окружающей среды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Атмосферный воздух является жизненно важным компонентом окружающей природной среды. Большое количество выбросов в атмосферу загрязняющих веществ отрицательно влияет на состояние здоровья населения, состояние природных ресурсов. Самое большое количество выбросов в Бардымском районе было зафиксировано в 2013</w:t>
      </w:r>
      <w:r w:rsidR="004878A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и составило 18480 тонн. Единой динамики по выбросам в атмосферу не сложилось, изменение носит скачкообразный характер и определяется преимущественно деятельностью предприятий.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Улавливание выбросов в атмосферу загрязняющих веществ от стационарных источников зафиксировано было в 2010</w:t>
      </w:r>
      <w:r w:rsidR="004878A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и составляло 1 тонну.</w:t>
      </w:r>
    </w:p>
    <w:p w:rsidR="00153E07" w:rsidRPr="00153E07" w:rsidRDefault="00153E07" w:rsidP="00153E07">
      <w:pPr>
        <w:pStyle w:val="af1"/>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829300" cy="2743200"/>
            <wp:effectExtent l="0" t="0" r="0" b="0"/>
            <wp:docPr id="216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53E07" w:rsidRPr="005E128E" w:rsidRDefault="00153E07" w:rsidP="00822D2E">
      <w:pPr>
        <w:spacing w:line="240" w:lineRule="auto"/>
        <w:jc w:val="both"/>
        <w:rPr>
          <w:rFonts w:ascii="Times New Roman" w:eastAsiaTheme="minorHAnsi" w:hAnsi="Times New Roman" w:cs="Times New Roman"/>
          <w:b/>
          <w:sz w:val="28"/>
          <w:szCs w:val="28"/>
        </w:rPr>
      </w:pPr>
      <w:r w:rsidRPr="005E128E">
        <w:rPr>
          <w:rFonts w:ascii="Times New Roman" w:hAnsi="Times New Roman" w:cs="Times New Roman"/>
          <w:b/>
          <w:sz w:val="28"/>
          <w:szCs w:val="28"/>
          <w:lang w:eastAsia="en-US"/>
        </w:rPr>
        <w:t>Рисунок 1.3</w:t>
      </w:r>
      <w:r w:rsidR="004878A9" w:rsidRPr="005E128E">
        <w:rPr>
          <w:rFonts w:ascii="Times New Roman" w:hAnsi="Times New Roman" w:cs="Times New Roman"/>
          <w:b/>
          <w:sz w:val="28"/>
          <w:szCs w:val="28"/>
          <w:lang w:eastAsia="en-US"/>
        </w:rPr>
        <w:t>6</w:t>
      </w:r>
      <w:r w:rsidRPr="005E128E">
        <w:rPr>
          <w:rFonts w:ascii="Times New Roman" w:hAnsi="Times New Roman" w:cs="Times New Roman"/>
          <w:b/>
          <w:sz w:val="28"/>
          <w:szCs w:val="28"/>
          <w:lang w:eastAsia="en-US"/>
        </w:rPr>
        <w:t>.</w:t>
      </w:r>
      <w:r w:rsidR="004878A9" w:rsidRPr="005E128E">
        <w:rPr>
          <w:rFonts w:ascii="Times New Roman" w:hAnsi="Times New Roman" w:cs="Times New Roman"/>
          <w:b/>
          <w:sz w:val="28"/>
          <w:szCs w:val="28"/>
          <w:lang w:eastAsia="en-US"/>
        </w:rPr>
        <w:t xml:space="preserve"> </w:t>
      </w:r>
      <w:r w:rsidRPr="005E128E">
        <w:rPr>
          <w:rFonts w:ascii="Times New Roman" w:eastAsiaTheme="minorHAnsi" w:hAnsi="Times New Roman" w:cs="Times New Roman"/>
          <w:b/>
          <w:sz w:val="28"/>
          <w:szCs w:val="28"/>
        </w:rPr>
        <w:t>Выбросы в атмосферу загрязняющих веществ, тонн</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Максимальный объем выбросов в атмосферу загрязняющих веществ от стационарных источников в расчете на 1 жителя был зафиксирован в 2013 году, и составил 733 тонн/человека.</w:t>
      </w:r>
    </w:p>
    <w:p w:rsidR="00153E07" w:rsidRPr="00153E07" w:rsidRDefault="00153E07" w:rsidP="00153E07">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191250" cy="2990850"/>
            <wp:effectExtent l="0" t="0" r="0" b="0"/>
            <wp:docPr id="216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53E07" w:rsidRPr="005E128E" w:rsidRDefault="007E28AF" w:rsidP="00822D2E">
      <w:pPr>
        <w:spacing w:line="240" w:lineRule="auto"/>
        <w:jc w:val="both"/>
        <w:rPr>
          <w:rFonts w:ascii="Times New Roman" w:hAnsi="Times New Roman" w:cs="Times New Roman"/>
          <w:b/>
          <w:sz w:val="28"/>
          <w:szCs w:val="28"/>
          <w:lang w:eastAsia="en-US"/>
        </w:rPr>
      </w:pPr>
      <w:r w:rsidRPr="005E128E">
        <w:rPr>
          <w:rFonts w:ascii="Times New Roman" w:hAnsi="Times New Roman" w:cs="Times New Roman"/>
          <w:b/>
          <w:sz w:val="28"/>
          <w:szCs w:val="28"/>
          <w:lang w:eastAsia="en-US"/>
        </w:rPr>
        <w:lastRenderedPageBreak/>
        <w:t>Рисунок 1.37</w:t>
      </w:r>
      <w:r w:rsidR="00153E07" w:rsidRPr="005E128E">
        <w:rPr>
          <w:rFonts w:ascii="Times New Roman" w:hAnsi="Times New Roman" w:cs="Times New Roman"/>
          <w:b/>
          <w:sz w:val="28"/>
          <w:szCs w:val="28"/>
          <w:lang w:eastAsia="en-US"/>
        </w:rPr>
        <w:t>. Выбросы в атмосферу загрязняющих веществ от стационарных  источников в расчете на одного жителя, кг</w:t>
      </w:r>
    </w:p>
    <w:p w:rsidR="007E28AF" w:rsidRDefault="007E28AF"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Предприятия по переработке и утилизации бытовых отходов в Бардымском районе отсутствуют.</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Стратегической целью в Бардымском муниципальном районе в сфере охраны окружающей среды является оздоровление экологической обстановки, нивелирование проблем загрязнения окружающей среды, обеспечение экологической безопасности территории и населения района, восстановление природных экосистем, обеспечение рационального и устойчивого природопользования.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текущий период времени в районе остаются нерешенными следующие проблемы в сфере охраны окружающей среды:</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1.Значительные объемы выбросов загрязняющих веществ в атмосферу как от стационарных, так и передвижных источников, отсутствие технологичных решений по сокращению выбросов в атмосферу,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Отсутствие качественных очистных сооружений для очистки сточных вод в с. Барда.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3. Отсутствие полигона для складирования и захоронения твердых бытовых отходов, а также обустроенных мест складирования ТБО для населения района. Данная проблема характерна для всех населенных пунктов, навозохранилищ на животноводческих фермах.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Наличие технологических и финансовых сложностей в решении вопросов использования вторичных ресурсов, внедрения малоотходных и безотходных технологий.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5. Недостаточность финансирования природоохранных мероприятий со стороны бюджета и природопользователей.</w:t>
      </w:r>
    </w:p>
    <w:p w:rsidR="00153E07" w:rsidRPr="00153E07" w:rsidRDefault="00153E07" w:rsidP="00822D2E">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6. Отсутствие работы по пропаганде экологического воспитания граждан, как следствие низкий уровень экологического образования, и просвещения взрослого населения района.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1.2.10 Имущественные и земельные отношения</w:t>
      </w:r>
    </w:p>
    <w:p w:rsidR="00153E07" w:rsidRPr="00153E07" w:rsidRDefault="00153E07" w:rsidP="00822D2E">
      <w:pPr>
        <w:spacing w:after="160" w:line="240" w:lineRule="auto"/>
        <w:jc w:val="both"/>
        <w:rPr>
          <w:rFonts w:ascii="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Динамика площади земельных участков, предоставленных для строительства представлена на рисунке </w:t>
      </w:r>
      <w:r w:rsidR="007E28AF">
        <w:rPr>
          <w:rFonts w:ascii="Times New Roman" w:eastAsia="Times New Roman" w:hAnsi="Times New Roman" w:cs="Times New Roman"/>
          <w:sz w:val="28"/>
          <w:szCs w:val="28"/>
        </w:rPr>
        <w:t>1.38</w:t>
      </w:r>
      <w:r w:rsidRPr="00153E07">
        <w:rPr>
          <w:rFonts w:ascii="Times New Roman" w:eastAsia="Times New Roman" w:hAnsi="Times New Roman" w:cs="Times New Roman"/>
          <w:sz w:val="28"/>
          <w:szCs w:val="28"/>
        </w:rPr>
        <w:t>, положительная тенденция предоставления земли, а также выдачи разрешений на строительство находит отражение в развитии жилищного сектора экономики района. За исследуемый период времени прирост площадей земельных участков для строительства составил 293</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по итогам 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было предоставлено 76,337 гектара земли.</w:t>
      </w:r>
    </w:p>
    <w:p w:rsidR="00153E07" w:rsidRPr="00153E07" w:rsidRDefault="00153E07" w:rsidP="00153E07">
      <w:pPr>
        <w:spacing w:after="160" w:line="259" w:lineRule="auto"/>
        <w:jc w:val="both"/>
        <w:rPr>
          <w:rFonts w:ascii="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57925" cy="2657475"/>
            <wp:effectExtent l="0" t="0" r="0" b="0"/>
            <wp:docPr id="216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53E07" w:rsidRPr="005E128E" w:rsidRDefault="007E28AF" w:rsidP="00822D2E">
      <w:pPr>
        <w:spacing w:line="240" w:lineRule="auto"/>
        <w:jc w:val="both"/>
        <w:rPr>
          <w:rFonts w:ascii="Times New Roman" w:eastAsiaTheme="minorHAnsi" w:hAnsi="Times New Roman" w:cs="Times New Roman"/>
          <w:b/>
          <w:sz w:val="28"/>
          <w:szCs w:val="28"/>
        </w:rPr>
      </w:pPr>
      <w:r w:rsidRPr="005E128E">
        <w:rPr>
          <w:rFonts w:ascii="Times New Roman" w:hAnsi="Times New Roman" w:cs="Times New Roman"/>
          <w:b/>
          <w:sz w:val="28"/>
          <w:szCs w:val="28"/>
          <w:lang w:eastAsia="en-US"/>
        </w:rPr>
        <w:t>Рисунок 1.38</w:t>
      </w:r>
      <w:r w:rsidR="00153E07" w:rsidRPr="005E128E">
        <w:rPr>
          <w:rFonts w:ascii="Times New Roman" w:hAnsi="Times New Roman" w:cs="Times New Roman"/>
          <w:b/>
          <w:sz w:val="28"/>
          <w:szCs w:val="28"/>
          <w:lang w:eastAsia="en-US"/>
        </w:rPr>
        <w:t xml:space="preserve">. </w:t>
      </w:r>
      <w:r w:rsidR="00153E07" w:rsidRPr="005E128E">
        <w:rPr>
          <w:rFonts w:ascii="Times New Roman" w:eastAsiaTheme="minorHAnsi" w:hAnsi="Times New Roman" w:cs="Times New Roman"/>
          <w:b/>
          <w:sz w:val="28"/>
          <w:szCs w:val="28"/>
        </w:rPr>
        <w:t>Площадь земельных участков, предоставленных для строительства, га</w:t>
      </w:r>
    </w:p>
    <w:p w:rsidR="00777ED4" w:rsidRPr="00153E07" w:rsidRDefault="003C2685" w:rsidP="00822D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выданных разрешений </w:t>
      </w:r>
      <w:r w:rsidR="007C405B">
        <w:rPr>
          <w:rFonts w:ascii="Times New Roman" w:eastAsia="Times New Roman" w:hAnsi="Times New Roman" w:cs="Times New Roman"/>
          <w:sz w:val="28"/>
          <w:szCs w:val="28"/>
        </w:rPr>
        <w:t xml:space="preserve">на строительство </w:t>
      </w:r>
      <w:r>
        <w:rPr>
          <w:rFonts w:ascii="Times New Roman" w:eastAsia="Times New Roman" w:hAnsi="Times New Roman" w:cs="Times New Roman"/>
          <w:sz w:val="28"/>
          <w:szCs w:val="28"/>
        </w:rPr>
        <w:t>до 2014 г.</w:t>
      </w:r>
      <w:r w:rsidR="007C405B">
        <w:rPr>
          <w:rFonts w:ascii="Times New Roman" w:eastAsia="Times New Roman" w:hAnsi="Times New Roman" w:cs="Times New Roman"/>
          <w:sz w:val="28"/>
          <w:szCs w:val="28"/>
        </w:rPr>
        <w:t xml:space="preserve"> имело динамику роста, однако с каждым годом темпы прироста сокращались. В 2014 и 2015 годах наблюдается сокращение числа выданных разрешений на 20% за каждый год. В 2016 году динамика выдачи разрешений вновь стала положительной и прирост составил 24,3%</w:t>
      </w:r>
      <w:r w:rsidR="00777ED4" w:rsidRPr="00153E07">
        <w:rPr>
          <w:rFonts w:ascii="Times New Roman" w:eastAsia="Times New Roman" w:hAnsi="Times New Roman" w:cs="Times New Roman"/>
          <w:sz w:val="28"/>
          <w:szCs w:val="28"/>
        </w:rPr>
        <w:t xml:space="preserve">.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3C2685" w:rsidP="00153E07">
      <w:pPr>
        <w:spacing w:after="160" w:line="259" w:lineRule="auto"/>
        <w:jc w:val="both"/>
        <w:rPr>
          <w:rFonts w:ascii="Times New Roman" w:hAnsi="Times New Roman" w:cs="Times New Roman"/>
          <w:sz w:val="28"/>
          <w:szCs w:val="28"/>
        </w:rPr>
      </w:pPr>
      <w:r w:rsidRPr="003C2685">
        <w:rPr>
          <w:rFonts w:ascii="Times New Roman" w:hAnsi="Times New Roman" w:cs="Times New Roman"/>
          <w:noProof/>
          <w:sz w:val="28"/>
          <w:szCs w:val="28"/>
        </w:rPr>
        <w:drawing>
          <wp:inline distT="0" distB="0" distL="0" distR="0">
            <wp:extent cx="6238875" cy="3324225"/>
            <wp:effectExtent l="19050" t="0" r="952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53E07" w:rsidRPr="005E128E" w:rsidRDefault="007E28AF" w:rsidP="00822D2E">
      <w:pPr>
        <w:spacing w:line="240" w:lineRule="auto"/>
        <w:jc w:val="both"/>
        <w:rPr>
          <w:rFonts w:ascii="Times New Roman" w:eastAsiaTheme="minorHAnsi" w:hAnsi="Times New Roman" w:cs="Times New Roman"/>
          <w:b/>
          <w:sz w:val="28"/>
          <w:szCs w:val="28"/>
          <w:lang w:eastAsia="en-US"/>
        </w:rPr>
      </w:pPr>
      <w:r w:rsidRPr="005E128E">
        <w:rPr>
          <w:rFonts w:ascii="Times New Roman" w:hAnsi="Times New Roman" w:cs="Times New Roman"/>
          <w:b/>
          <w:sz w:val="28"/>
          <w:szCs w:val="28"/>
        </w:rPr>
        <w:t>Рисунок 1.39</w:t>
      </w:r>
      <w:r w:rsidR="00153E07" w:rsidRPr="005E128E">
        <w:rPr>
          <w:rFonts w:ascii="Times New Roman" w:hAnsi="Times New Roman" w:cs="Times New Roman"/>
          <w:b/>
          <w:sz w:val="28"/>
          <w:szCs w:val="28"/>
        </w:rPr>
        <w:t>.</w:t>
      </w:r>
      <w:r w:rsidR="00153E07" w:rsidRPr="005E128E">
        <w:rPr>
          <w:rFonts w:ascii="Times New Roman" w:eastAsiaTheme="minorHAnsi" w:hAnsi="Times New Roman" w:cs="Times New Roman"/>
          <w:b/>
          <w:sz w:val="28"/>
          <w:szCs w:val="28"/>
          <w:lang w:eastAsia="en-US"/>
        </w:rPr>
        <w:t>Количество выданных разрешений на строительство, ед.</w:t>
      </w:r>
    </w:p>
    <w:p w:rsidR="00153E07" w:rsidRDefault="00153E07" w:rsidP="00822D2E">
      <w:pPr>
        <w:pStyle w:val="1"/>
        <w:spacing w:line="240" w:lineRule="auto"/>
      </w:pPr>
      <w:r w:rsidRPr="00153E07">
        <w:t>1.2.11 Финансовая деятельность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Финансовая деятельность организаций Бардымского муниципального района оценивается показателями объема отгрузки товаров (работ, услуг) собственного производства, уровня и качества дебиторской и кредиторской </w:t>
      </w:r>
      <w:r w:rsidRPr="00153E07">
        <w:rPr>
          <w:rFonts w:ascii="Times New Roman" w:eastAsia="Times New Roman" w:hAnsi="Times New Roman" w:cs="Times New Roman"/>
          <w:sz w:val="28"/>
          <w:szCs w:val="28"/>
        </w:rPr>
        <w:lastRenderedPageBreak/>
        <w:t xml:space="preserve">задолженностей в целом и по элементам, наличием прибыли или убытка от деятельности предприятий и организаций, а также количеством прибыльных и убыточных предприятий.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Объем отгруженных товаров собственного производства по видам деятельности предприятий и организаций Бардымского муниципального района в 2011-2016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 на рисунке 1.4</w:t>
      </w:r>
      <w:r w:rsidR="007E28AF">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40425" cy="3232317"/>
            <wp:effectExtent l="0" t="0" r="3175" b="6350"/>
            <wp:docPr id="216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1.4</w:t>
      </w:r>
      <w:r w:rsidR="007E28AF" w:rsidRPr="005E128E">
        <w:rPr>
          <w:rFonts w:ascii="Times New Roman" w:eastAsia="Times New Roman" w:hAnsi="Times New Roman" w:cs="Times New Roman"/>
          <w:b/>
          <w:sz w:val="28"/>
          <w:szCs w:val="28"/>
        </w:rPr>
        <w:t>0</w:t>
      </w:r>
      <w:r w:rsidRPr="005E128E">
        <w:rPr>
          <w:rFonts w:ascii="Times New Roman" w:eastAsia="Times New Roman" w:hAnsi="Times New Roman" w:cs="Times New Roman"/>
          <w:b/>
          <w:sz w:val="28"/>
          <w:szCs w:val="28"/>
        </w:rPr>
        <w:t>. Объем отгруженных товаров собственного производства по видам деятельности предприятиями и организациями Бардымского м</w:t>
      </w:r>
      <w:r w:rsidR="007E28AF" w:rsidRPr="005E128E">
        <w:rPr>
          <w:rFonts w:ascii="Times New Roman" w:eastAsia="Times New Roman" w:hAnsi="Times New Roman" w:cs="Times New Roman"/>
          <w:b/>
          <w:sz w:val="28"/>
          <w:szCs w:val="28"/>
        </w:rPr>
        <w:t xml:space="preserve">униципального района (01.01.2011 </w:t>
      </w:r>
      <w:r w:rsidRPr="005E128E">
        <w:rPr>
          <w:rFonts w:ascii="Times New Roman" w:eastAsia="Times New Roman" w:hAnsi="Times New Roman" w:cs="Times New Roman"/>
          <w:b/>
          <w:sz w:val="28"/>
          <w:szCs w:val="28"/>
        </w:rPr>
        <w:t>-</w:t>
      </w:r>
      <w:r w:rsidR="007E28A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01.01.2017</w:t>
      </w:r>
      <w:r w:rsidR="007E28A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отгрузки товаров собственного производства показал, что экономика Бардымского муниципального района имеет сельскохозяйственную направленность. При этом наблюдается рост объемов производства сельскохозяйственной продукции в 2015-2016 году. На 01.01.2017</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прирост отгруженной сельскохозяйственной продукции составил 60,2% по сравнению с 2011 годом.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Отгруженная продукция по разделам экономической деятельности </w:t>
      </w:r>
      <w:r w:rsidRPr="00153E07">
        <w:rPr>
          <w:rFonts w:ascii="Times New Roman" w:eastAsia="Times New Roman" w:hAnsi="Times New Roman" w:cs="Times New Roman"/>
          <w:sz w:val="28"/>
          <w:szCs w:val="28"/>
          <w:lang w:val="en-US"/>
        </w:rPr>
        <w:t>CDE</w:t>
      </w:r>
      <w:r w:rsidRPr="00153E07">
        <w:rPr>
          <w:rFonts w:ascii="Times New Roman" w:eastAsia="Times New Roman" w:hAnsi="Times New Roman" w:cs="Times New Roman"/>
          <w:sz w:val="28"/>
          <w:szCs w:val="28"/>
        </w:rPr>
        <w:t xml:space="preserve"> объединена в одну группу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Добыча полезных ископаемых, обрабатывающие производства, производство электроэнергии, газа, воды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Объемы отгрузок по данной группе также имеют тенденцию роста. На 01.01.2017</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объем отгруженных товаров собственного производства вырос более, чем в 2 раза по сравнению с 2011 годом. Доля строительства в общем объеме отгруженной продукции невелика.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Сельскохозяйственная направленность экономики Бардымского муниципального района имеет ряд негативных факторов, во-первых, сезонность деятельности предприятий агропромышленного комплекса, а, следовательно, высокая зависимость от кредитных денежных средств для сокращения финансовых разрывов на зимний период времени; во-вторых, повышенные кредитные и экономические риски, связанные с погодными условиями; в-третьих, </w:t>
      </w:r>
      <w:r w:rsidRPr="00153E07">
        <w:rPr>
          <w:rFonts w:ascii="Times New Roman" w:eastAsia="Times New Roman" w:hAnsi="Times New Roman" w:cs="Times New Roman"/>
          <w:sz w:val="28"/>
          <w:szCs w:val="28"/>
        </w:rPr>
        <w:lastRenderedPageBreak/>
        <w:t>низкая диверсификация экономики района. Среди позитивных факторов выступает возможность развития малого и среднего бизнеса с низким порогом входа в отрасль.</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1.4</w:t>
      </w:r>
      <w:r w:rsidR="007E28AF">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представлено соотношение дебиторской и кредиторской задолженности в общих финансовых потоках предприятий и организаций Бардымского муниципального района в 2011-2016</w:t>
      </w:r>
      <w:r w:rsidR="007E28A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990850"/>
            <wp:effectExtent l="19050" t="0" r="0" b="0"/>
            <wp:docPr id="216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7E28AF" w:rsidRPr="00561116">
        <w:rPr>
          <w:rFonts w:ascii="Times New Roman" w:eastAsia="Times New Roman" w:hAnsi="Times New Roman" w:cs="Times New Roman"/>
          <w:b/>
          <w:sz w:val="28"/>
          <w:szCs w:val="28"/>
        </w:rPr>
        <w:t>1</w:t>
      </w:r>
      <w:r w:rsidRPr="00561116">
        <w:rPr>
          <w:rFonts w:ascii="Times New Roman" w:eastAsia="Times New Roman" w:hAnsi="Times New Roman" w:cs="Times New Roman"/>
          <w:b/>
          <w:sz w:val="28"/>
          <w:szCs w:val="28"/>
        </w:rPr>
        <w:t>. Соотношение дебиторской и кредиторской задолженности предприятий и организаций Бардымского муниципального района в 2011-2016</w:t>
      </w:r>
      <w:r w:rsidR="007E28AF" w:rsidRP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Доля дебиторской задолженности предприятий и организаций Бардымского муниципального района в течение анализируемого периода колеблется в районе 40% от общей массы финансовых потоков.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кредиторской задолженности в общей массе финансовых потоков составляет более 60%. Негативным фактором является снижение финансовой устойчивости предприятий и организаций Бардымского муниципального района, что подтверждает коэффициент соотношения дебиторской и кредиторской задолженностей, представленный на рисунке 1.4</w:t>
      </w:r>
      <w:r w:rsidR="007E28AF">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76925" cy="2028825"/>
            <wp:effectExtent l="0" t="0" r="0" b="0"/>
            <wp:docPr id="216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7E28AF" w:rsidRPr="00561116">
        <w:rPr>
          <w:rFonts w:ascii="Times New Roman" w:eastAsia="Times New Roman" w:hAnsi="Times New Roman" w:cs="Times New Roman"/>
          <w:b/>
          <w:sz w:val="28"/>
          <w:szCs w:val="28"/>
        </w:rPr>
        <w:t>2</w:t>
      </w:r>
      <w:r w:rsidRPr="00561116">
        <w:rPr>
          <w:rFonts w:ascii="Times New Roman" w:eastAsia="Times New Roman" w:hAnsi="Times New Roman" w:cs="Times New Roman"/>
          <w:b/>
          <w:sz w:val="28"/>
          <w:szCs w:val="28"/>
        </w:rPr>
        <w:t>. Коэффициент соотношения дебиторской и кредиторской задолженностей предприятий и организаций в 2011-2016</w:t>
      </w:r>
      <w:r w:rsidR="007E28AF" w:rsidRP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7E28AF" w:rsidP="00822D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Нормативным значением коэффициента соотношения дебиторской и кредиторской задолженностей предприятий и организаций является значение от 0,9 до 1,0.</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районе значение данного коэффициента в течение анализируемого периода времени намного ниже нормативного. Это означает, что ликвидные активы предприятий и организаций Бардымского муниципального района недостаточно быстро обращаются в денежные средства, у предприятий и организаций существует большой объем заемных ресурсов, которые недостаточно эффективно используются в их текущей деятельности.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1.4</w:t>
      </w:r>
      <w:r w:rsidR="00F07E68">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 xml:space="preserve"> представлен состав кредиторской задолженности предприятий и организаций Бардымского муниципального района в 2011-2016 годах.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524125"/>
            <wp:effectExtent l="19050" t="0" r="0" b="0"/>
            <wp:docPr id="2167"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53E07" w:rsidRPr="00561116" w:rsidRDefault="00153E07" w:rsidP="00822D2E">
      <w:pPr>
        <w:spacing w:after="0" w:line="240" w:lineRule="auto"/>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F07E68" w:rsidRPr="00561116">
        <w:rPr>
          <w:rFonts w:ascii="Times New Roman" w:eastAsia="Times New Roman" w:hAnsi="Times New Roman" w:cs="Times New Roman"/>
          <w:b/>
          <w:sz w:val="28"/>
          <w:szCs w:val="28"/>
        </w:rPr>
        <w:t>3</w:t>
      </w:r>
      <w:r w:rsidRPr="00561116">
        <w:rPr>
          <w:rFonts w:ascii="Times New Roman" w:eastAsia="Times New Roman" w:hAnsi="Times New Roman" w:cs="Times New Roman"/>
          <w:b/>
          <w:sz w:val="28"/>
          <w:szCs w:val="28"/>
        </w:rPr>
        <w:t>. Состав и структура кредиторской задолженности в Бардымском муниципальном районе в 2011-2016</w:t>
      </w:r>
      <w:r w:rsid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Наибольшую долю в структуре кредиторской задолженности предприятий и организаций Бардымского муниципального района занимает задолженность перед поставщиками и подрядчиками – более 90%.</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задолженности по платежам в бюджет, а также по платежам в государственные внебюджетные фонды низка и составляет менее 7% от общего объема кредиторской задолженности. Необходимо отметить отсутствие в структуре кредиторской задолженности – задолженности перед сотрудниками предприятий.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этом доля задолженности перед поставщиками и заказчиками к 2016 году возросла на 6,6%, доля задолженности перед бюджетом сократилась на 4,3%, доля задолженности в государственные внебюджетные фонды сократилась на 2,3%.</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1.6 представлено соотношение дебиторской задолженности и объема отгруженных товаров собственного производства предприятиями и организациями Бардымского муниципального района.</w:t>
      </w:r>
    </w:p>
    <w:p w:rsidR="00443EEA" w:rsidRDefault="00443EEA" w:rsidP="00822D2E">
      <w:pPr>
        <w:spacing w:after="0" w:line="240" w:lineRule="auto"/>
        <w:ind w:firstLine="709"/>
        <w:jc w:val="right"/>
        <w:rPr>
          <w:rFonts w:ascii="Times New Roman" w:eastAsia="Times New Roman" w:hAnsi="Times New Roman" w:cs="Times New Roman"/>
          <w:sz w:val="28"/>
          <w:szCs w:val="28"/>
        </w:rPr>
      </w:pPr>
    </w:p>
    <w:p w:rsidR="00443EEA" w:rsidRDefault="00443EEA" w:rsidP="00822D2E">
      <w:pPr>
        <w:spacing w:after="0" w:line="240" w:lineRule="auto"/>
        <w:ind w:firstLine="709"/>
        <w:jc w:val="right"/>
        <w:rPr>
          <w:rFonts w:ascii="Times New Roman" w:eastAsia="Times New Roman" w:hAnsi="Times New Roman" w:cs="Times New Roman"/>
          <w:sz w:val="28"/>
          <w:szCs w:val="28"/>
        </w:rPr>
      </w:pPr>
    </w:p>
    <w:p w:rsidR="00443EEA" w:rsidRDefault="00443EEA" w:rsidP="00822D2E">
      <w:pPr>
        <w:spacing w:after="0" w:line="240" w:lineRule="auto"/>
        <w:ind w:firstLine="709"/>
        <w:jc w:val="right"/>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1.6</w:t>
      </w:r>
    </w:p>
    <w:p w:rsidR="00153E07" w:rsidRPr="00561116" w:rsidRDefault="00153E07" w:rsidP="00822D2E">
      <w:pPr>
        <w:spacing w:after="0" w:line="240" w:lineRule="auto"/>
        <w:jc w:val="center"/>
        <w:rPr>
          <w:rFonts w:ascii="Times New Roman" w:eastAsia="Times New Roman" w:hAnsi="Times New Roman" w:cs="Times New Roman"/>
          <w:b/>
          <w:sz w:val="28"/>
          <w:szCs w:val="28"/>
        </w:rPr>
      </w:pPr>
      <w:r w:rsidRPr="00561116">
        <w:rPr>
          <w:rFonts w:ascii="Times New Roman" w:eastAsia="Times New Roman" w:hAnsi="Times New Roman" w:cs="Times New Roman"/>
          <w:b/>
          <w:color w:val="000000"/>
          <w:sz w:val="28"/>
          <w:szCs w:val="28"/>
        </w:rPr>
        <w:t xml:space="preserve">Соотношение дебиторской задолженности и объема отгруженных товаров собственного производства </w:t>
      </w:r>
      <w:r w:rsidRPr="00561116">
        <w:rPr>
          <w:rFonts w:ascii="Times New Roman" w:eastAsia="Times New Roman" w:hAnsi="Times New Roman" w:cs="Times New Roman"/>
          <w:b/>
          <w:sz w:val="28"/>
          <w:szCs w:val="28"/>
        </w:rPr>
        <w:t>предприятиями и организациями Бардымского муниципального района в 2011-2016</w:t>
      </w:r>
      <w:r w:rsidR="00561116">
        <w:rPr>
          <w:rFonts w:ascii="Times New Roman" w:eastAsia="Times New Roman" w:hAnsi="Times New Roman" w:cs="Times New Roman"/>
          <w:b/>
          <w:sz w:val="28"/>
          <w:szCs w:val="28"/>
        </w:rPr>
        <w:t xml:space="preserve"> </w:t>
      </w:r>
      <w:r w:rsidRPr="00561116">
        <w:rPr>
          <w:rFonts w:ascii="Times New Roman" w:eastAsia="Times New Roman" w:hAnsi="Times New Roman" w:cs="Times New Roman"/>
          <w:b/>
          <w:sz w:val="28"/>
          <w:szCs w:val="28"/>
        </w:rPr>
        <w:t>гг.</w:t>
      </w:r>
    </w:p>
    <w:tbl>
      <w:tblPr>
        <w:tblW w:w="5000" w:type="pct"/>
        <w:tblLook w:val="04A0"/>
      </w:tblPr>
      <w:tblGrid>
        <w:gridCol w:w="4419"/>
        <w:gridCol w:w="953"/>
        <w:gridCol w:w="953"/>
        <w:gridCol w:w="953"/>
        <w:gridCol w:w="953"/>
        <w:gridCol w:w="953"/>
        <w:gridCol w:w="953"/>
      </w:tblGrid>
      <w:tr w:rsidR="00153E07" w:rsidRPr="00153E07" w:rsidTr="00153E07">
        <w:trPr>
          <w:trHeight w:val="315"/>
        </w:trPr>
        <w:tc>
          <w:tcPr>
            <w:tcW w:w="21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Показатель</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2011</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2012</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2013</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2014</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2015</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2016</w:t>
            </w:r>
          </w:p>
        </w:tc>
      </w:tr>
      <w:tr w:rsidR="00153E07" w:rsidRPr="00153E07" w:rsidTr="00153E07">
        <w:trPr>
          <w:trHeight w:val="807"/>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Объем отгруженных товаров собственного производства, выполненных работ и услуг, тыс. руб.</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71516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45934</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47606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53748</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74886</w:t>
            </w:r>
          </w:p>
        </w:tc>
        <w:tc>
          <w:tcPr>
            <w:tcW w:w="470" w:type="pct"/>
            <w:tcBorders>
              <w:top w:val="nil"/>
              <w:left w:val="nil"/>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75429</w:t>
            </w:r>
          </w:p>
        </w:tc>
      </w:tr>
      <w:tr w:rsidR="00153E07" w:rsidRPr="00153E07" w:rsidTr="00153E07">
        <w:trPr>
          <w:trHeight w:val="630"/>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Дебиторская задолженность, тысяча рублей</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8921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11861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11715</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9117</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8681</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12695</w:t>
            </w:r>
          </w:p>
        </w:tc>
      </w:tr>
      <w:tr w:rsidR="00153E07" w:rsidRPr="00153E07" w:rsidTr="00153E07">
        <w:trPr>
          <w:trHeight w:val="898"/>
        </w:trPr>
        <w:tc>
          <w:tcPr>
            <w:tcW w:w="2179"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Соотношение дебиторской задолженности и объема отгруженных товаров собственного производства, %</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12,5</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25,8</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24,6</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17,0</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11,6</w:t>
            </w:r>
          </w:p>
        </w:tc>
        <w:tc>
          <w:tcPr>
            <w:tcW w:w="470"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16,8</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Доля дебиторской задолженности в общем объеме отгруженных товаров собственного производства предприятий и организаций за исследуемый период времени была неравномерна. Это означает, что предприятия и организации уделяют недостаточное внимание контролю и взысканию дебиторской задолженности с покупателей и заказчиков, тем самым накапливая в новых периодах текущие долги и долги предыдущих периодов, что влечет за собой риск невозврата дебиторской задолженности вообще.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1.7 представлены темпы роста дебиторской и кредиторской задолженностей, а также структурных элементов кредиторской задолженности.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Полученная динамика показателей дебиторской и кредиторской задолженностей подтверждает неэффективность использования привлеченных заемных средств предприятиями и организациями. Даже в те периоды, когда дебиторская задолженность предприятий сокращается, т.е. превращается в денежные средства, кредиторская задолженность растет и накапливает долги за предыдущие периоды.</w:t>
      </w:r>
    </w:p>
    <w:p w:rsidR="00BE7256" w:rsidRDefault="00BE7256"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1.7</w:t>
      </w:r>
    </w:p>
    <w:p w:rsidR="00153E07" w:rsidRPr="00BE7256" w:rsidRDefault="00153E07" w:rsidP="00822D2E">
      <w:pPr>
        <w:spacing w:after="0" w:line="240" w:lineRule="auto"/>
        <w:jc w:val="center"/>
        <w:rPr>
          <w:rFonts w:ascii="Times New Roman" w:eastAsia="Times New Roman" w:hAnsi="Times New Roman" w:cs="Times New Roman"/>
          <w:b/>
          <w:sz w:val="28"/>
          <w:szCs w:val="28"/>
        </w:rPr>
      </w:pPr>
      <w:r w:rsidRPr="00BE7256">
        <w:rPr>
          <w:rFonts w:ascii="Times New Roman" w:eastAsia="Times New Roman" w:hAnsi="Times New Roman" w:cs="Times New Roman"/>
          <w:b/>
          <w:sz w:val="28"/>
          <w:szCs w:val="28"/>
        </w:rPr>
        <w:t>Темпы роста дебиторской и кредиторской задолженности, а также структурных элементов кредиторской задолженности предприятий и организаций в Бардымском муниципальном районе в 2011-2016гг.</w:t>
      </w:r>
    </w:p>
    <w:tbl>
      <w:tblPr>
        <w:tblW w:w="5000" w:type="pct"/>
        <w:tblLook w:val="04A0"/>
      </w:tblPr>
      <w:tblGrid>
        <w:gridCol w:w="4029"/>
        <w:gridCol w:w="1018"/>
        <w:gridCol w:w="1018"/>
        <w:gridCol w:w="1018"/>
        <w:gridCol w:w="1018"/>
        <w:gridCol w:w="1018"/>
        <w:gridCol w:w="1018"/>
      </w:tblGrid>
      <w:tr w:rsidR="00153E07" w:rsidRPr="00153E07" w:rsidTr="00153E07">
        <w:trPr>
          <w:trHeight w:val="510"/>
        </w:trPr>
        <w:tc>
          <w:tcPr>
            <w:tcW w:w="19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Показатель</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2012/ 2011</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2013/ 2012</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2014/ 2013</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2015/ 2014</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2016/ 2015</w:t>
            </w:r>
          </w:p>
        </w:tc>
        <w:tc>
          <w:tcPr>
            <w:tcW w:w="50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sz w:val="28"/>
                <w:szCs w:val="28"/>
              </w:rPr>
            </w:pPr>
            <w:r w:rsidRPr="00D922B3">
              <w:rPr>
                <w:rFonts w:ascii="Times New Roman" w:eastAsia="Times New Roman" w:hAnsi="Times New Roman" w:cs="Times New Roman"/>
                <w:b/>
                <w:sz w:val="28"/>
                <w:szCs w:val="28"/>
              </w:rPr>
              <w:t>2016/ 2011</w:t>
            </w:r>
          </w:p>
        </w:tc>
      </w:tr>
      <w:tr w:rsidR="00153E07" w:rsidRPr="00153E07" w:rsidTr="00153E07">
        <w:trPr>
          <w:trHeight w:val="231"/>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Дебиторская задолженность,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133,0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98,8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77,8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95,2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146,2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142,3</w:t>
            </w:r>
          </w:p>
        </w:tc>
      </w:tr>
      <w:tr w:rsidR="00153E07" w:rsidRPr="00153E07" w:rsidTr="00153E07">
        <w:trPr>
          <w:trHeight w:val="265"/>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Кредиторская задолженность,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112,8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128,4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52,1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154,0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133,7</w:t>
            </w:r>
          </w:p>
        </w:tc>
      </w:tr>
      <w:tr w:rsidR="00153E07" w:rsidRPr="00153E07" w:rsidTr="00153E07">
        <w:trPr>
          <w:trHeight w:val="565"/>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Задолженность перед поставщиками и подрядчиками,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111,1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130,8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52,3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152,9</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123,3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143,4</w:t>
            </w:r>
          </w:p>
        </w:tc>
      </w:tr>
      <w:tr w:rsidR="00153E07" w:rsidRPr="00153E07" w:rsidTr="00153E07">
        <w:trPr>
          <w:trHeight w:val="700"/>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Задолженность по платежам в бюджет из общей суммы кредиторской задолженности,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110,8</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110,3</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60,0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137,0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49,4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49,6</w:t>
            </w:r>
          </w:p>
        </w:tc>
      </w:tr>
      <w:tr w:rsidR="00153E07" w:rsidRPr="00153E07" w:rsidTr="00153E07">
        <w:trPr>
          <w:trHeight w:val="1012"/>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Задолженность по платежам в государственные внебюджетные фонды из общей суммы кредиторской задолженности,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166,1</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108,7</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235,0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24,5</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36,4</w:t>
            </w:r>
          </w:p>
        </w:tc>
      </w:tr>
      <w:tr w:rsidR="00153E07" w:rsidRPr="00153E07" w:rsidTr="00153E07">
        <w:trPr>
          <w:trHeight w:val="471"/>
        </w:trPr>
        <w:tc>
          <w:tcPr>
            <w:tcW w:w="1987" w:type="pct"/>
            <w:tcBorders>
              <w:top w:val="nil"/>
              <w:left w:val="single" w:sz="4" w:space="0" w:color="auto"/>
              <w:bottom w:val="single" w:sz="4" w:space="0" w:color="auto"/>
              <w:right w:val="single" w:sz="4" w:space="0" w:color="auto"/>
            </w:tcBorders>
            <w:shd w:val="clear" w:color="auto" w:fill="auto"/>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Задолженность по полученным займам и кредитам, %</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264</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15,2</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100</w:t>
            </w:r>
          </w:p>
        </w:tc>
        <w:tc>
          <w:tcPr>
            <w:tcW w:w="502" w:type="pct"/>
            <w:tcBorders>
              <w:top w:val="nil"/>
              <w:left w:val="nil"/>
              <w:bottom w:val="single" w:sz="4" w:space="0" w:color="auto"/>
              <w:right w:val="single" w:sz="4" w:space="0" w:color="auto"/>
            </w:tcBorders>
            <w:shd w:val="clear" w:color="auto" w:fill="auto"/>
            <w:noWrap/>
            <w:vAlign w:val="center"/>
            <w:hideMark/>
          </w:tcPr>
          <w:p w:rsidR="00153E07" w:rsidRPr="00153E07" w:rsidRDefault="00153E07" w:rsidP="00822D2E">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40</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Причиной роста кредиторской задолженности предприятий является задолженность перед поставщиками и подрядчиками. При этом наблюдается динамика снижения задолженностей по обязательным платежам, а также сокращаются объемы задолженности по кредитам и займам.</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Данную ситуацию можно охарактеризовать как использование предприятиями и организациями Бардымского муниципального района товарного, коммерческого кредита путем несвоевременной оплаты задолженности перед поставщиками и подрядчиками, благодаря чему они финансируют свои обязательные платежи и дебиторскую задолженность. Наглядно данная ситуация представлена на рисунке 1.4</w:t>
      </w:r>
      <w:r w:rsidR="00561116">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6201" cy="2313829"/>
            <wp:effectExtent l="0" t="0" r="0" b="0"/>
            <wp:docPr id="216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53E07" w:rsidRPr="00561116" w:rsidRDefault="00153E07" w:rsidP="00822D2E">
      <w:pPr>
        <w:spacing w:after="0" w:line="240" w:lineRule="auto"/>
        <w:ind w:firstLine="709"/>
        <w:jc w:val="both"/>
        <w:rPr>
          <w:rFonts w:ascii="Times New Roman" w:eastAsia="Times New Roman" w:hAnsi="Times New Roman" w:cs="Times New Roman"/>
          <w:b/>
          <w:sz w:val="28"/>
          <w:szCs w:val="28"/>
        </w:rPr>
      </w:pPr>
      <w:r w:rsidRPr="00561116">
        <w:rPr>
          <w:rFonts w:ascii="Times New Roman" w:eastAsia="Times New Roman" w:hAnsi="Times New Roman" w:cs="Times New Roman"/>
          <w:b/>
          <w:sz w:val="28"/>
          <w:szCs w:val="28"/>
        </w:rPr>
        <w:t>Рисунок 1.4</w:t>
      </w:r>
      <w:r w:rsidR="00561116" w:rsidRPr="00561116">
        <w:rPr>
          <w:rFonts w:ascii="Times New Roman" w:eastAsia="Times New Roman" w:hAnsi="Times New Roman" w:cs="Times New Roman"/>
          <w:b/>
          <w:sz w:val="28"/>
          <w:szCs w:val="28"/>
        </w:rPr>
        <w:t>4</w:t>
      </w:r>
      <w:r w:rsidRPr="00561116">
        <w:rPr>
          <w:rFonts w:ascii="Times New Roman" w:eastAsia="Times New Roman" w:hAnsi="Times New Roman" w:cs="Times New Roman"/>
          <w:b/>
          <w:sz w:val="28"/>
          <w:szCs w:val="28"/>
        </w:rPr>
        <w:t>. Динамика краткосрочной и долгосрочной кредиторской задолженности предприятий Бардымского муниципального района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8"/>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финансовой деятельности предприятий и организаций Бардымского муниципального района показал, что экономика района имеет признаки моно- развития, в настоящее время наиболее весомыми являются кредитный, экономический риски, риски ликвидности, предприятия района развиваются экстенсивно, с низкими показателями ликвидности и рентабельности.</w:t>
      </w:r>
    </w:p>
    <w:p w:rsidR="00153E07" w:rsidRPr="00153E07" w:rsidRDefault="00153E07" w:rsidP="00822D2E">
      <w:pPr>
        <w:spacing w:after="0" w:line="240" w:lineRule="auto"/>
        <w:ind w:firstLine="708"/>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Предприятиям Бардымского муниципального района необходимо пересмотреть источники финансирования деятельности в пользу оптимизации расходов, повышения рентабельности бизнеса, аккумулирования собственных </w:t>
      </w:r>
      <w:r w:rsidRPr="00153E07">
        <w:rPr>
          <w:rFonts w:ascii="Times New Roman" w:eastAsia="Times New Roman" w:hAnsi="Times New Roman" w:cs="Times New Roman"/>
          <w:sz w:val="28"/>
          <w:szCs w:val="28"/>
        </w:rPr>
        <w:lastRenderedPageBreak/>
        <w:t>денежных средств, формирования политики развития за счет собственных финансов.</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ab/>
      </w:r>
      <w:r w:rsidRPr="00153E07">
        <w:tab/>
        <w:t>1.2.12 Инвестиции в основной капитал</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Инвестиции в основной капитал имеют в своем составе бюджетные средства и средства частных инвесторов (собственные и привлеченные).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187481" cy="2289975"/>
            <wp:effectExtent l="19050" t="0" r="0" b="0"/>
            <wp:docPr id="2171"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1.4</w:t>
      </w:r>
      <w:r w:rsidR="007A2AEF" w:rsidRPr="005E128E">
        <w:rPr>
          <w:rFonts w:ascii="Times New Roman" w:eastAsia="Times New Roman" w:hAnsi="Times New Roman" w:cs="Times New Roman"/>
          <w:b/>
          <w:sz w:val="28"/>
          <w:szCs w:val="28"/>
        </w:rPr>
        <w:t>5</w:t>
      </w:r>
      <w:r w:rsidRPr="005E128E">
        <w:rPr>
          <w:rFonts w:ascii="Times New Roman" w:eastAsia="Times New Roman" w:hAnsi="Times New Roman" w:cs="Times New Roman"/>
          <w:b/>
          <w:sz w:val="28"/>
          <w:szCs w:val="28"/>
        </w:rPr>
        <w:t>. Структура инвестиций в основной капитал в Бардымском муниципальном районе (01.01.2011-01.01.2017</w:t>
      </w:r>
      <w:r w:rsidR="007A2AEF" w:rsidRP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гг.), млн.руб.</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Как видно на рисунке, в структуре инвестиций в основной капитал преобладают собственные и привлеченные средства, т.е. инвесторами являются частные юридические и физические лица. Наибольшая доля основного капитала была проинвестирована частными инвесторами в 2013 году (90,9%). В последующие годы доля частных инвестиций в основной капитал сократилась за счет увеличения притока вложений из бюджетных средств. На конец 2016 года доля инвестиций за счет бюджетных средств увеличилась до 36,2% с 9,1% в 2013 году.</w:t>
      </w:r>
    </w:p>
    <w:p w:rsidR="00153E07" w:rsidRPr="00153E07" w:rsidRDefault="00153E07" w:rsidP="00822D2E">
      <w:pPr>
        <w:pStyle w:val="1"/>
        <w:spacing w:line="240" w:lineRule="auto"/>
      </w:pPr>
      <w:r w:rsidRPr="00153E07">
        <w:tab/>
      </w:r>
      <w:r w:rsidRPr="00153E07">
        <w:tab/>
        <w:t>1.2.13 Малый бизнес</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настоящее время в Российской Федерации разработаны механизмы развития и поддержки малого предпринимательства, которые регулируются Федеральным законом №209-ФЗ от 24.07.207г.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 развитии малого и среднего предпринимательства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и другими законодательными актами РФ и субъектами РФ.</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w:t>
      </w:r>
      <w:r w:rsidR="007A2AEF">
        <w:rPr>
          <w:rFonts w:ascii="Times New Roman" w:eastAsia="Times New Roman" w:hAnsi="Times New Roman" w:cs="Times New Roman"/>
          <w:sz w:val="28"/>
          <w:szCs w:val="28"/>
        </w:rPr>
        <w:t>8</w:t>
      </w:r>
      <w:r w:rsidRPr="00153E07">
        <w:rPr>
          <w:rFonts w:ascii="Times New Roman" w:eastAsia="Times New Roman" w:hAnsi="Times New Roman" w:cs="Times New Roman"/>
          <w:sz w:val="28"/>
          <w:szCs w:val="28"/>
        </w:rPr>
        <w:t xml:space="preserve"> представлена динамика развития малого предпринимательства в Бардымском муниципальном районе в период с 2011 по 2016 гг.</w:t>
      </w:r>
    </w:p>
    <w:p w:rsidR="00153E07" w:rsidRPr="00153E07" w:rsidRDefault="007A2AEF" w:rsidP="00BE7256">
      <w:pPr>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1.8</w:t>
      </w:r>
    </w:p>
    <w:p w:rsidR="00153E07" w:rsidRPr="00BE7256" w:rsidRDefault="00153E07" w:rsidP="00822D2E">
      <w:pPr>
        <w:spacing w:after="0" w:line="240" w:lineRule="auto"/>
        <w:jc w:val="center"/>
        <w:rPr>
          <w:rFonts w:ascii="Times New Roman" w:eastAsia="Times New Roman" w:hAnsi="Times New Roman" w:cs="Times New Roman"/>
          <w:b/>
          <w:sz w:val="28"/>
          <w:szCs w:val="28"/>
        </w:rPr>
      </w:pPr>
      <w:r w:rsidRPr="00BE7256">
        <w:rPr>
          <w:rFonts w:ascii="Times New Roman" w:eastAsia="Times New Roman" w:hAnsi="Times New Roman" w:cs="Times New Roman"/>
          <w:b/>
          <w:sz w:val="28"/>
          <w:szCs w:val="28"/>
        </w:rPr>
        <w:t>Динамика показателей малого и среднего предпринимательства в Бардымском муниципальном районе в 2011-2016 гг.</w:t>
      </w:r>
    </w:p>
    <w:tbl>
      <w:tblPr>
        <w:tblW w:w="5000" w:type="pct"/>
        <w:tblLayout w:type="fixed"/>
        <w:tblLook w:val="04A0"/>
      </w:tblPr>
      <w:tblGrid>
        <w:gridCol w:w="3782"/>
        <w:gridCol w:w="1271"/>
        <w:gridCol w:w="1271"/>
        <w:gridCol w:w="1271"/>
        <w:gridCol w:w="1271"/>
        <w:gridCol w:w="1271"/>
      </w:tblGrid>
      <w:tr w:rsidR="007A2AEF" w:rsidRPr="00153E07" w:rsidTr="00443EEA">
        <w:trPr>
          <w:trHeight w:val="300"/>
        </w:trPr>
        <w:tc>
          <w:tcPr>
            <w:tcW w:w="18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Показатель</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2012/2011</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2013/2012</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2014/2013</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2015/2014</w:t>
            </w:r>
          </w:p>
        </w:tc>
        <w:tc>
          <w:tcPr>
            <w:tcW w:w="627" w:type="pct"/>
            <w:tcBorders>
              <w:top w:val="single" w:sz="4" w:space="0" w:color="auto"/>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b/>
                <w:color w:val="000000"/>
                <w:szCs w:val="28"/>
              </w:rPr>
            </w:pPr>
            <w:r w:rsidRPr="00443EEA">
              <w:rPr>
                <w:rFonts w:ascii="Times New Roman" w:eastAsia="Times New Roman" w:hAnsi="Times New Roman" w:cs="Times New Roman"/>
                <w:b/>
                <w:color w:val="000000"/>
                <w:szCs w:val="28"/>
              </w:rPr>
              <w:t>2016/2015</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субъектов малого предпринимательства,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-13,76</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20,48</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-1,88</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-0,24</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3,59</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Число малых предприятий (включая микропредприятия),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-0,79</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1,20</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-2,37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0,00</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14,98</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 xml:space="preserve">Число ИП и КФХ </w:t>
            </w:r>
            <w:r w:rsidRPr="00443EEA">
              <w:rPr>
                <w:rFonts w:ascii="Times New Roman" w:eastAsia="Times New Roman" w:hAnsi="Times New Roman" w:cs="Times New Roman"/>
                <w:color w:val="000000"/>
                <w:szCs w:val="28"/>
              </w:rPr>
              <w:lastRenderedPageBreak/>
              <w:t>зарегистрированных в статистическом регистре, единиц</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lastRenderedPageBreak/>
              <w:t>0,17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2,56</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-1,67</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0,51</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6,41</w:t>
            </w:r>
          </w:p>
        </w:tc>
      </w:tr>
      <w:tr w:rsidR="007A2AEF" w:rsidRPr="00153E07" w:rsidTr="00443EEA">
        <w:trPr>
          <w:trHeight w:val="300"/>
        </w:trPr>
        <w:tc>
          <w:tcPr>
            <w:tcW w:w="1865" w:type="pct"/>
            <w:tcBorders>
              <w:top w:val="nil"/>
              <w:left w:val="single" w:sz="4" w:space="0" w:color="auto"/>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lastRenderedPageBreak/>
              <w:t>Число работающих в сфере малого предпринимательства, чел.</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-28,63</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42,73</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-1,25</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-39,79</w:t>
            </w:r>
          </w:p>
        </w:tc>
        <w:tc>
          <w:tcPr>
            <w:tcW w:w="627" w:type="pct"/>
            <w:tcBorders>
              <w:top w:val="nil"/>
              <w:left w:val="nil"/>
              <w:bottom w:val="single" w:sz="4" w:space="0" w:color="auto"/>
              <w:right w:val="single" w:sz="4" w:space="0" w:color="auto"/>
            </w:tcBorders>
            <w:shd w:val="clear" w:color="auto" w:fill="auto"/>
            <w:noWrap/>
            <w:vAlign w:val="center"/>
            <w:hideMark/>
          </w:tcPr>
          <w:p w:rsidR="00153E07" w:rsidRPr="00443EEA" w:rsidRDefault="00153E07" w:rsidP="00822D2E">
            <w:pPr>
              <w:spacing w:after="0" w:line="240" w:lineRule="auto"/>
              <w:jc w:val="both"/>
              <w:rPr>
                <w:rFonts w:ascii="Times New Roman" w:eastAsia="Times New Roman" w:hAnsi="Times New Roman" w:cs="Times New Roman"/>
                <w:color w:val="000000"/>
                <w:szCs w:val="28"/>
              </w:rPr>
            </w:pPr>
            <w:r w:rsidRPr="00443EEA">
              <w:rPr>
                <w:rFonts w:ascii="Times New Roman" w:eastAsia="Times New Roman" w:hAnsi="Times New Roman" w:cs="Times New Roman"/>
                <w:color w:val="000000"/>
                <w:szCs w:val="28"/>
              </w:rPr>
              <w:t>14,20</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2011 по 2016 гг. представленные показатели не продемонстрировали единой динамики, наибольший пик был зафиксирован в 2013 году. Причинами которого стало утверждение Приказом Министерства сельского хозяйства Российской Федерации</w:t>
      </w:r>
      <w:r w:rsidR="007A2AE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173 от 06.03.2012</w:t>
      </w:r>
      <w:r w:rsidR="007A2AE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Программы по развитию семейных животноводческих ферм</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которая стимулировала интерес личных подсобных хозяйств (ЛПХ) к увеличению доходов, расширению сельскохозяйственных территорий и, как следствие, росту производства.</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октябре 2014 года Министерством сельского хозяйства и продовольствия Пермского края была утверждена комплексная программа</w:t>
      </w:r>
      <w:r w:rsidR="00DE2D0E">
        <w:rPr>
          <w:rFonts w:ascii="Times New Roman" w:eastAsia="Times New Roman" w:hAnsi="Times New Roman" w:cs="Times New Roman"/>
          <w:sz w:val="28"/>
          <w:szCs w:val="28"/>
        </w:rPr>
        <w:t>»</w:t>
      </w:r>
      <w:r w:rsidR="005E128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Развитие семейных животноводческих ферм на базе крестьянских (фермерских) хозяйств в Пермском крае на 2015-2017 годы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благодаря которой интерес к развитию сельского хозяйства у жителей края был пролонгирован.</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в Бардымском муниципальном районе активно проводится политика отказа от неэффективных расходов бюджета. В данном случае неэффективными расходами бюджета выступают затраты на оплату труда непрофильного персонала. Таким образом, в учреждениях здравоохранения, образования сокращают непрофильные для учреждений ставки и передают соответствующие задачи на аутсорсинг.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Благодаря такому решению администрации Бардымского муниципального района происходит профессиональное разделение труда, которое влечет за собой рост инициативы среди населения по организации профильного малого бизнеса. Данные бизнес-идеи поддерживаются руководством Бардымского муниципального района и имеют в дальнейшем развитие и поддержку в виде субсидий.</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субъектов малого предпринимательства в Бардымском муниципальном районе представлена на рисунке 1.</w:t>
      </w:r>
      <w:r w:rsidR="005E128E">
        <w:rPr>
          <w:rFonts w:ascii="Times New Roman" w:eastAsia="Times New Roman" w:hAnsi="Times New Roman" w:cs="Times New Roman"/>
          <w:sz w:val="28"/>
          <w:szCs w:val="28"/>
        </w:rPr>
        <w:t>46</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762625" cy="2571750"/>
            <wp:effectExtent l="19050" t="0" r="0" b="0"/>
            <wp:docPr id="217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53E07" w:rsidRPr="005E128E" w:rsidRDefault="00153E07" w:rsidP="00822D2E">
      <w:pPr>
        <w:spacing w:after="0" w:line="240" w:lineRule="auto"/>
        <w:jc w:val="both"/>
        <w:rPr>
          <w:rFonts w:ascii="Times New Roman" w:eastAsia="Times New Roman" w:hAnsi="Times New Roman" w:cs="Times New Roman"/>
          <w:b/>
          <w:sz w:val="28"/>
          <w:szCs w:val="28"/>
        </w:rPr>
      </w:pPr>
      <w:r w:rsidRPr="005E128E">
        <w:rPr>
          <w:rFonts w:ascii="Times New Roman" w:eastAsia="Times New Roman" w:hAnsi="Times New Roman" w:cs="Times New Roman"/>
          <w:b/>
          <w:sz w:val="28"/>
          <w:szCs w:val="28"/>
        </w:rPr>
        <w:t>Рисунок 1.</w:t>
      </w:r>
      <w:r w:rsidR="005E128E">
        <w:rPr>
          <w:rFonts w:ascii="Times New Roman" w:eastAsia="Times New Roman" w:hAnsi="Times New Roman" w:cs="Times New Roman"/>
          <w:b/>
          <w:sz w:val="28"/>
          <w:szCs w:val="28"/>
        </w:rPr>
        <w:t>46</w:t>
      </w:r>
      <w:r w:rsidRPr="005E128E">
        <w:rPr>
          <w:rFonts w:ascii="Times New Roman" w:eastAsia="Times New Roman" w:hAnsi="Times New Roman" w:cs="Times New Roman"/>
          <w:b/>
          <w:sz w:val="28"/>
          <w:szCs w:val="28"/>
        </w:rPr>
        <w:t>. Динамика субъектов малого предпринимательства в Бардымском муниципальном районе, (01.01.2011 – 01.01.2017</w:t>
      </w:r>
      <w:r w:rsidR="005E128E">
        <w:rPr>
          <w:rFonts w:ascii="Times New Roman" w:eastAsia="Times New Roman" w:hAnsi="Times New Roman" w:cs="Times New Roman"/>
          <w:b/>
          <w:sz w:val="28"/>
          <w:szCs w:val="28"/>
        </w:rPr>
        <w:t xml:space="preserve"> </w:t>
      </w:r>
      <w:r w:rsidRPr="005E128E">
        <w:rPr>
          <w:rFonts w:ascii="Times New Roman" w:eastAsia="Times New Roman" w:hAnsi="Times New Roman" w:cs="Times New Roman"/>
          <w:b/>
          <w:sz w:val="28"/>
          <w:szCs w:val="28"/>
        </w:rPr>
        <w:t>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Администрация Бардымского муниципального района проводит мероприятия по развитию и поддержке малого бизнеса на территории района в следующих формах:</w:t>
      </w:r>
    </w:p>
    <w:p w:rsidR="005E128E" w:rsidRDefault="00153E07" w:rsidP="00822D2E">
      <w:pPr>
        <w:pStyle w:val="af1"/>
        <w:numPr>
          <w:ilvl w:val="0"/>
          <w:numId w:val="8"/>
        </w:numPr>
        <w:spacing w:after="0" w:line="240" w:lineRule="auto"/>
        <w:jc w:val="both"/>
        <w:rPr>
          <w:rFonts w:ascii="Times New Roman" w:eastAsia="Times New Roman" w:hAnsi="Times New Roman" w:cs="Times New Roman"/>
          <w:sz w:val="28"/>
          <w:szCs w:val="28"/>
        </w:rPr>
      </w:pPr>
      <w:r w:rsidRPr="005E128E">
        <w:rPr>
          <w:rFonts w:ascii="Times New Roman" w:eastAsia="Times New Roman" w:hAnsi="Times New Roman" w:cs="Times New Roman"/>
          <w:sz w:val="28"/>
          <w:szCs w:val="28"/>
        </w:rPr>
        <w:t xml:space="preserve">Ежегодное финансирование по подпрограмме </w:t>
      </w:r>
      <w:r w:rsidR="00DE2D0E" w:rsidRPr="005E128E">
        <w:rPr>
          <w:rFonts w:ascii="Times New Roman" w:eastAsia="Times New Roman" w:hAnsi="Times New Roman" w:cs="Times New Roman"/>
          <w:sz w:val="28"/>
          <w:szCs w:val="28"/>
        </w:rPr>
        <w:t>«</w:t>
      </w:r>
      <w:r w:rsidRPr="005E128E">
        <w:rPr>
          <w:rFonts w:ascii="Times New Roman" w:eastAsia="Times New Roman" w:hAnsi="Times New Roman" w:cs="Times New Roman"/>
          <w:sz w:val="28"/>
          <w:szCs w:val="28"/>
        </w:rPr>
        <w:t>Развитие малого и среднего предпринимательства</w:t>
      </w:r>
      <w:r w:rsidR="00DE2D0E" w:rsidRPr="005E128E">
        <w:rPr>
          <w:rFonts w:ascii="Times New Roman" w:eastAsia="Times New Roman" w:hAnsi="Times New Roman" w:cs="Times New Roman"/>
          <w:sz w:val="28"/>
          <w:szCs w:val="28"/>
        </w:rPr>
        <w:t>»</w:t>
      </w:r>
      <w:r w:rsidRPr="005E128E">
        <w:rPr>
          <w:rFonts w:ascii="Times New Roman" w:eastAsia="Times New Roman" w:hAnsi="Times New Roman" w:cs="Times New Roman"/>
          <w:sz w:val="28"/>
          <w:szCs w:val="28"/>
        </w:rPr>
        <w:t xml:space="preserve">. </w:t>
      </w:r>
    </w:p>
    <w:p w:rsidR="00153E07" w:rsidRPr="005E128E" w:rsidRDefault="00153E07" w:rsidP="00822D2E">
      <w:pPr>
        <w:pStyle w:val="af1"/>
        <w:numPr>
          <w:ilvl w:val="0"/>
          <w:numId w:val="8"/>
        </w:numPr>
        <w:spacing w:after="0" w:line="240" w:lineRule="auto"/>
        <w:jc w:val="both"/>
        <w:rPr>
          <w:rFonts w:ascii="Times New Roman" w:eastAsia="Times New Roman" w:hAnsi="Times New Roman" w:cs="Times New Roman"/>
          <w:sz w:val="28"/>
          <w:szCs w:val="28"/>
        </w:rPr>
      </w:pPr>
      <w:r w:rsidRPr="005E128E">
        <w:rPr>
          <w:rFonts w:ascii="Times New Roman" w:eastAsia="Times New Roman" w:hAnsi="Times New Roman" w:cs="Times New Roman"/>
          <w:sz w:val="28"/>
          <w:szCs w:val="28"/>
        </w:rPr>
        <w:t>Проведение мероприятия для улучшения инвестиционного климата в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pStyle w:val="1"/>
        <w:spacing w:line="240" w:lineRule="auto"/>
      </w:pPr>
      <w:r w:rsidRPr="00153E07">
        <w:tab/>
      </w:r>
      <w:r w:rsidRPr="00153E07">
        <w:tab/>
        <w:t>1.2.14 Сельское хозяйство</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Агропромышленный комплекс Бардымского муниципального района представлен как продукцией растениеводства, так и продукцией животноводства.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первую очередь проведен анализ растениеводства Бардымского муниципального района. На рисунке 1.51 представлены размеры и динамика посевных площадей сельскохозяйственных культур в хозяйствах всех категорий (01.01.2011-01.01.2017 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9775" cy="2657475"/>
            <wp:effectExtent l="0" t="0" r="0" b="0"/>
            <wp:docPr id="217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3E07" w:rsidRPr="00112206" w:rsidRDefault="00153E07" w:rsidP="00822D2E">
      <w:pPr>
        <w:spacing w:after="0" w:line="240" w:lineRule="auto"/>
        <w:jc w:val="both"/>
        <w:rPr>
          <w:rFonts w:ascii="Times New Roman" w:eastAsia="Times New Roman" w:hAnsi="Times New Roman" w:cs="Times New Roman"/>
          <w:b/>
          <w:sz w:val="28"/>
          <w:szCs w:val="28"/>
        </w:rPr>
      </w:pPr>
      <w:r w:rsidRPr="00112206">
        <w:rPr>
          <w:rFonts w:ascii="Times New Roman" w:eastAsia="Times New Roman" w:hAnsi="Times New Roman" w:cs="Times New Roman"/>
          <w:b/>
          <w:sz w:val="28"/>
          <w:szCs w:val="28"/>
        </w:rPr>
        <w:t>Рисунок 1.</w:t>
      </w:r>
      <w:r w:rsidR="00112206" w:rsidRPr="00112206">
        <w:rPr>
          <w:rFonts w:ascii="Times New Roman" w:eastAsia="Times New Roman" w:hAnsi="Times New Roman" w:cs="Times New Roman"/>
          <w:b/>
          <w:sz w:val="28"/>
          <w:szCs w:val="28"/>
        </w:rPr>
        <w:t>47</w:t>
      </w:r>
      <w:r w:rsidRPr="00112206">
        <w:rPr>
          <w:rFonts w:ascii="Times New Roman" w:eastAsia="Times New Roman" w:hAnsi="Times New Roman" w:cs="Times New Roman"/>
          <w:b/>
          <w:sz w:val="28"/>
          <w:szCs w:val="28"/>
        </w:rPr>
        <w:t>. Посевные площади сельскохозяйственных культур в хозяйствах всех категорий, гектар</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Анализ показал, что посевные площади в Бардымском районе </w:t>
      </w:r>
      <w:r w:rsidR="00306DDD">
        <w:rPr>
          <w:rFonts w:ascii="Times New Roman" w:eastAsia="Times New Roman" w:hAnsi="Times New Roman" w:cs="Times New Roman"/>
          <w:sz w:val="28"/>
          <w:szCs w:val="28"/>
        </w:rPr>
        <w:t>до 2014 года шли к сокращению, с 2015 года начали увеличиваться</w:t>
      </w:r>
      <w:r w:rsidRPr="00153E07">
        <w:rPr>
          <w:rFonts w:ascii="Times New Roman" w:eastAsia="Times New Roman" w:hAnsi="Times New Roman" w:cs="Times New Roman"/>
          <w:sz w:val="28"/>
          <w:szCs w:val="28"/>
        </w:rPr>
        <w:t>. Так в 2011 году посевные площади в районе занимали 18867 гектар, а в 201</w:t>
      </w:r>
      <w:r w:rsidR="00306DDD">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году – уже 13</w:t>
      </w:r>
      <w:r w:rsidR="00306DDD">
        <w:rPr>
          <w:rFonts w:ascii="Times New Roman" w:eastAsia="Times New Roman" w:hAnsi="Times New Roman" w:cs="Times New Roman"/>
          <w:sz w:val="28"/>
          <w:szCs w:val="28"/>
        </w:rPr>
        <w:t>534</w:t>
      </w:r>
      <w:r w:rsidRPr="00153E07">
        <w:rPr>
          <w:rFonts w:ascii="Times New Roman" w:eastAsia="Times New Roman" w:hAnsi="Times New Roman" w:cs="Times New Roman"/>
          <w:sz w:val="28"/>
          <w:szCs w:val="28"/>
        </w:rPr>
        <w:t xml:space="preserve"> гектар, </w:t>
      </w:r>
      <w:r w:rsidR="00306DDD">
        <w:rPr>
          <w:rFonts w:ascii="Times New Roman" w:eastAsia="Times New Roman" w:hAnsi="Times New Roman" w:cs="Times New Roman"/>
          <w:sz w:val="28"/>
          <w:szCs w:val="28"/>
        </w:rPr>
        <w:t>а к 2016 году – 13937 гектар</w:t>
      </w:r>
      <w:r w:rsidRPr="00153E07">
        <w:rPr>
          <w:rFonts w:ascii="Times New Roman" w:eastAsia="Times New Roman" w:hAnsi="Times New Roman" w:cs="Times New Roman"/>
          <w:sz w:val="28"/>
          <w:szCs w:val="28"/>
        </w:rPr>
        <w:t>.</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1.10 рассчитан показатель урожайности посевных площадей на даты 01.01.2011 – 01.01.2017г.</w:t>
      </w: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w:t>
      </w:r>
      <w:r w:rsidR="00112206">
        <w:rPr>
          <w:rFonts w:ascii="Times New Roman" w:eastAsia="Times New Roman" w:hAnsi="Times New Roman" w:cs="Times New Roman"/>
          <w:sz w:val="28"/>
          <w:szCs w:val="28"/>
        </w:rPr>
        <w:t>9</w:t>
      </w:r>
    </w:p>
    <w:p w:rsidR="00153E07" w:rsidRPr="00633809" w:rsidRDefault="00153E07" w:rsidP="00822D2E">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Урожайность посевных площадей Бардымского муниципального района</w:t>
      </w:r>
    </w:p>
    <w:tbl>
      <w:tblPr>
        <w:tblW w:w="5000" w:type="pct"/>
        <w:tblLook w:val="04A0"/>
      </w:tblPr>
      <w:tblGrid>
        <w:gridCol w:w="2517"/>
        <w:gridCol w:w="1206"/>
        <w:gridCol w:w="1052"/>
        <w:gridCol w:w="1052"/>
        <w:gridCol w:w="1200"/>
        <w:gridCol w:w="1052"/>
        <w:gridCol w:w="1050"/>
        <w:gridCol w:w="1008"/>
      </w:tblGrid>
      <w:tr w:rsidR="00153E07" w:rsidRPr="00153E07" w:rsidTr="00153E07">
        <w:trPr>
          <w:trHeight w:val="315"/>
        </w:trPr>
        <w:tc>
          <w:tcPr>
            <w:tcW w:w="12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92"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956"/>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картофель,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112,4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230,0</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125,0</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223,0</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247,0</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243,0</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98,0</w:t>
            </w:r>
          </w:p>
        </w:tc>
      </w:tr>
      <w:tr w:rsidR="00153E07" w:rsidRPr="00153E07" w:rsidTr="00153E07">
        <w:trPr>
          <w:trHeight w:val="1114"/>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lastRenderedPageBreak/>
              <w:t>Урожайность посевных площадей под зерновые и бобовые,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5,2</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16,1</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14,6</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r>
      <w:tr w:rsidR="00153E07" w:rsidRPr="00153E07" w:rsidTr="00153E07">
        <w:trPr>
          <w:trHeight w:val="987"/>
        </w:trPr>
        <w:tc>
          <w:tcPr>
            <w:tcW w:w="1241"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Урожайность посевных площадей под овощи, ц/га</w:t>
            </w:r>
          </w:p>
        </w:tc>
        <w:tc>
          <w:tcPr>
            <w:tcW w:w="595"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150,2</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306DDD"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124</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43,0</w:t>
            </w:r>
          </w:p>
        </w:tc>
        <w:tc>
          <w:tcPr>
            <w:tcW w:w="592"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125,6</w:t>
            </w:r>
          </w:p>
        </w:tc>
        <w:tc>
          <w:tcPr>
            <w:tcW w:w="519"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139,0</w:t>
            </w:r>
          </w:p>
        </w:tc>
        <w:tc>
          <w:tcPr>
            <w:tcW w:w="518" w:type="pct"/>
            <w:tcBorders>
              <w:top w:val="nil"/>
              <w:left w:val="nil"/>
              <w:bottom w:val="single" w:sz="4" w:space="0" w:color="auto"/>
              <w:right w:val="single" w:sz="4" w:space="0" w:color="auto"/>
            </w:tcBorders>
            <w:shd w:val="clear" w:color="auto" w:fill="auto"/>
            <w:noWrap/>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138,5</w:t>
            </w:r>
          </w:p>
        </w:tc>
        <w:tc>
          <w:tcPr>
            <w:tcW w:w="498" w:type="pct"/>
            <w:tcBorders>
              <w:top w:val="nil"/>
              <w:left w:val="nil"/>
              <w:bottom w:val="single" w:sz="4" w:space="0" w:color="auto"/>
              <w:right w:val="single" w:sz="4" w:space="0" w:color="auto"/>
            </w:tcBorders>
            <w:shd w:val="clear" w:color="auto" w:fill="auto"/>
            <w:noWrap/>
            <w:vAlign w:val="center"/>
            <w:hideMark/>
          </w:tcPr>
          <w:p w:rsidR="00153E07" w:rsidRPr="00112206" w:rsidRDefault="00306DDD"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84,0</w:t>
            </w:r>
          </w:p>
        </w:tc>
      </w:tr>
    </w:tbl>
    <w:p w:rsidR="00153E07" w:rsidRPr="00153E07" w:rsidRDefault="00153E07" w:rsidP="00822D2E">
      <w:pPr>
        <w:spacing w:after="0" w:line="240" w:lineRule="auto"/>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целом наблюдается динамика сокращения урожайности сельскохозяйственных площадей. Резкие изменения показателей урожайности связаны с периодами засухи и, поэтому, годовой неурожайности. В частности, сокращение урожайности посевных площадей в 2013 и 2014 годах в Бардымском районе связано с сильной засухой, в результате которой погибло больше половины урожая. Динамика соответствующих показателей представлена на рисунке 1.</w:t>
      </w:r>
      <w:r w:rsidR="00112206">
        <w:rPr>
          <w:rFonts w:ascii="Times New Roman" w:eastAsia="Times New Roman" w:hAnsi="Times New Roman" w:cs="Times New Roman"/>
          <w:sz w:val="28"/>
          <w:szCs w:val="28"/>
        </w:rPr>
        <w:t>48</w:t>
      </w:r>
      <w:r w:rsidRPr="00153E07">
        <w:rPr>
          <w:rFonts w:ascii="Times New Roman" w:eastAsia="Times New Roman" w:hAnsi="Times New Roman" w:cs="Times New Roman"/>
          <w:sz w:val="28"/>
          <w:szCs w:val="28"/>
        </w:rPr>
        <w:t>.</w:t>
      </w:r>
    </w:p>
    <w:p w:rsidR="00153E07" w:rsidRPr="00153E07" w:rsidRDefault="00A625FC" w:rsidP="00153E07">
      <w:pPr>
        <w:spacing w:after="0"/>
        <w:ind w:firstLine="709"/>
        <w:jc w:val="both"/>
        <w:rPr>
          <w:rFonts w:ascii="Times New Roman" w:eastAsia="Times New Roman" w:hAnsi="Times New Roman" w:cs="Times New Roman"/>
          <w:sz w:val="28"/>
          <w:szCs w:val="28"/>
        </w:rPr>
      </w:pPr>
      <w:r w:rsidRPr="00A625FC">
        <w:rPr>
          <w:rFonts w:ascii="Times New Roman" w:eastAsia="Times New Roman" w:hAnsi="Times New Roman" w:cs="Times New Roman"/>
          <w:noProof/>
          <w:sz w:val="28"/>
          <w:szCs w:val="28"/>
        </w:rPr>
        <w:drawing>
          <wp:inline distT="0" distB="0" distL="0" distR="0">
            <wp:extent cx="5857240" cy="1885950"/>
            <wp:effectExtent l="19050" t="0" r="1016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53E07" w:rsidRPr="00112206" w:rsidRDefault="00112206" w:rsidP="00822D2E">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Рисунок 1.48</w:t>
      </w:r>
      <w:r w:rsidR="00153E07" w:rsidRPr="00112206">
        <w:rPr>
          <w:rFonts w:ascii="Times New Roman" w:eastAsia="Times New Roman" w:hAnsi="Times New Roman" w:cs="Times New Roman"/>
          <w:b/>
          <w:sz w:val="28"/>
          <w:szCs w:val="28"/>
        </w:rPr>
        <w:t>. Динамика урожайности посевных площадей Бардымского муниципального района,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Результаты животноводческой деятельности Бардымского муниципального района представлены в таблице 1.1</w:t>
      </w:r>
      <w:r w:rsidR="00112206">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12206" w:rsidRDefault="00112206" w:rsidP="00633809">
      <w:pPr>
        <w:spacing w:after="0"/>
        <w:ind w:firstLine="709"/>
        <w:jc w:val="right"/>
        <w:rPr>
          <w:rFonts w:ascii="Times New Roman" w:eastAsia="Times New Roman" w:hAnsi="Times New Roman" w:cs="Times New Roman"/>
          <w:sz w:val="28"/>
          <w:szCs w:val="28"/>
        </w:r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112206">
        <w:rPr>
          <w:rFonts w:ascii="Times New Roman" w:eastAsia="Times New Roman" w:hAnsi="Times New Roman" w:cs="Times New Roman"/>
          <w:sz w:val="28"/>
          <w:szCs w:val="28"/>
        </w:rPr>
        <w:t>0</w:t>
      </w:r>
    </w:p>
    <w:p w:rsidR="00153E07" w:rsidRPr="00112206" w:rsidRDefault="00153E07" w:rsidP="00822D2E">
      <w:pPr>
        <w:spacing w:after="0" w:line="240" w:lineRule="auto"/>
        <w:jc w:val="center"/>
        <w:rPr>
          <w:rFonts w:ascii="Times New Roman" w:eastAsia="Times New Roman" w:hAnsi="Times New Roman" w:cs="Times New Roman"/>
          <w:b/>
          <w:sz w:val="24"/>
          <w:szCs w:val="28"/>
        </w:rPr>
      </w:pPr>
      <w:r w:rsidRPr="00112206">
        <w:rPr>
          <w:rFonts w:ascii="Times New Roman" w:eastAsia="Times New Roman" w:hAnsi="Times New Roman" w:cs="Times New Roman"/>
          <w:b/>
          <w:sz w:val="24"/>
          <w:szCs w:val="28"/>
        </w:rPr>
        <w:t>Результаты животноводческой деятельности в Бардымском муниципальном районе</w:t>
      </w:r>
    </w:p>
    <w:tbl>
      <w:tblPr>
        <w:tblW w:w="5000" w:type="pct"/>
        <w:tblLook w:val="04A0"/>
      </w:tblPr>
      <w:tblGrid>
        <w:gridCol w:w="2704"/>
        <w:gridCol w:w="1063"/>
        <w:gridCol w:w="1062"/>
        <w:gridCol w:w="1062"/>
        <w:gridCol w:w="1062"/>
        <w:gridCol w:w="1062"/>
        <w:gridCol w:w="1062"/>
        <w:gridCol w:w="1060"/>
      </w:tblGrid>
      <w:tr w:rsidR="00153E07" w:rsidRPr="00112206" w:rsidTr="00153E07">
        <w:trPr>
          <w:trHeight w:val="315"/>
        </w:trPr>
        <w:tc>
          <w:tcPr>
            <w:tcW w:w="13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52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822D2E">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12206" w:rsidTr="00153E07">
        <w:trPr>
          <w:trHeight w:val="133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Производство скота и птицы на убой (в живом весе) в хозяйствах всех категорий, тн</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1757</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1677</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1580</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1617</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1821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1591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w:t>
            </w:r>
            <w:r w:rsidR="004D4D31">
              <w:rPr>
                <w:rFonts w:ascii="Times New Roman" w:eastAsia="Times New Roman" w:hAnsi="Times New Roman" w:cs="Times New Roman"/>
                <w:color w:val="000000"/>
                <w:sz w:val="24"/>
                <w:szCs w:val="28"/>
              </w:rPr>
              <w:t>638</w:t>
            </w:r>
          </w:p>
        </w:tc>
      </w:tr>
      <w:tr w:rsidR="00153E07" w:rsidRPr="00112206" w:rsidTr="00153E07">
        <w:trPr>
          <w:trHeight w:val="854"/>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Производство молока в хозяйствах всех категорий,  тн</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6125</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5583</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5058</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5169</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4489</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4755</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4764</w:t>
            </w:r>
          </w:p>
        </w:tc>
      </w:tr>
      <w:tr w:rsidR="00153E07" w:rsidRPr="00112206" w:rsidTr="00153E07">
        <w:trPr>
          <w:trHeight w:val="788"/>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Производство яиц в хозяйствах всех категорий, тыс. шт.</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743</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791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758</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719</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1627</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2251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2348</w:t>
            </w:r>
          </w:p>
        </w:tc>
      </w:tr>
      <w:tr w:rsidR="00153E07" w:rsidRPr="00112206" w:rsidTr="00153E07">
        <w:trPr>
          <w:trHeight w:val="94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lastRenderedPageBreak/>
              <w:t>Поголовье КРС в  хозяйствах всех категорий,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6229</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6085</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6361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6121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6173</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6468</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6483</w:t>
            </w:r>
          </w:p>
        </w:tc>
      </w:tr>
      <w:tr w:rsidR="00153E07" w:rsidRPr="00112206" w:rsidTr="00153E07">
        <w:trPr>
          <w:trHeight w:val="31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в том числе:</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p>
        </w:tc>
      </w:tr>
      <w:tr w:rsidR="00153E07" w:rsidRPr="00112206" w:rsidTr="00153E07">
        <w:trPr>
          <w:trHeight w:val="315"/>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 коров,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2168</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2174</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2295</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1972</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1983</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2131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2136</w:t>
            </w:r>
          </w:p>
        </w:tc>
      </w:tr>
      <w:tr w:rsidR="00153E07" w:rsidRPr="00112206" w:rsidTr="00153E07">
        <w:trPr>
          <w:trHeight w:val="2453"/>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 коров специализированных мясных пород и поместного скота, полученного от скрещивания со специализированными мясными породами, голов</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50</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47</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52</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173</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209</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224</w:t>
            </w:r>
          </w:p>
        </w:tc>
      </w:tr>
      <w:tr w:rsidR="00153E07" w:rsidRPr="00112206" w:rsidTr="00153E07">
        <w:trPr>
          <w:trHeight w:val="959"/>
        </w:trPr>
        <w:tc>
          <w:tcPr>
            <w:tcW w:w="1333" w:type="pct"/>
            <w:tcBorders>
              <w:top w:val="nil"/>
              <w:left w:val="single" w:sz="4" w:space="0" w:color="auto"/>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Надои молока от одной коровы в с/х предприятиях, кг</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3718</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3824</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3648</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4211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3653</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3131</w:t>
            </w:r>
          </w:p>
        </w:tc>
        <w:tc>
          <w:tcPr>
            <w:tcW w:w="52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3210</w:t>
            </w:r>
          </w:p>
        </w:tc>
      </w:tr>
    </w:tbl>
    <w:p w:rsidR="00153E07" w:rsidRPr="00153E07" w:rsidRDefault="00153E07" w:rsidP="00822D2E">
      <w:pPr>
        <w:spacing w:after="0" w:line="240" w:lineRule="auto"/>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Наглядным примером данных из таблицы 1.1</w:t>
      </w:r>
      <w:r w:rsidR="00112206">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 служит рисунок 1.</w:t>
      </w:r>
      <w:r w:rsidR="00112206">
        <w:rPr>
          <w:rFonts w:ascii="Times New Roman" w:eastAsia="Times New Roman" w:hAnsi="Times New Roman" w:cs="Times New Roman"/>
          <w:sz w:val="28"/>
          <w:szCs w:val="28"/>
        </w:rPr>
        <w:t>49</w:t>
      </w:r>
      <w:r w:rsidRPr="00153E07">
        <w:rPr>
          <w:rFonts w:ascii="Times New Roman" w:eastAsia="Times New Roman" w:hAnsi="Times New Roman" w:cs="Times New Roman"/>
          <w:sz w:val="28"/>
          <w:szCs w:val="28"/>
        </w:rPr>
        <w:t xml:space="preserve">. Данный рисунок ярко отражает общую ситуацию в России: объемы производства молока производства молочного КРС выше объемов производства мясного КРС. </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показал, что за рассматриваемый период времени наблюдается сокращение производства скота и птицы на 15,8%, производство молока на 22,2%, надои молока от одной коровы – на 13,7%. Положительная динамика зафиксирована только по двум показателям - производство яиц – рост на 216%, поголовья КРС на 4,1%</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705475" cy="3276600"/>
            <wp:effectExtent l="19050" t="0" r="9525" b="0"/>
            <wp:docPr id="217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153E07" w:rsidRPr="0070146D" w:rsidRDefault="00153E07" w:rsidP="00822D2E">
      <w:pPr>
        <w:spacing w:after="0" w:line="240" w:lineRule="auto"/>
        <w:jc w:val="both"/>
        <w:rPr>
          <w:rFonts w:ascii="Times New Roman" w:eastAsia="Times New Roman" w:hAnsi="Times New Roman" w:cs="Times New Roman"/>
          <w:b/>
          <w:sz w:val="28"/>
          <w:szCs w:val="28"/>
        </w:rPr>
      </w:pPr>
      <w:r w:rsidRPr="0070146D">
        <w:rPr>
          <w:rFonts w:ascii="Times New Roman" w:eastAsia="Times New Roman" w:hAnsi="Times New Roman" w:cs="Times New Roman"/>
          <w:b/>
          <w:sz w:val="28"/>
          <w:szCs w:val="28"/>
        </w:rPr>
        <w:t>Рисунок 1.</w:t>
      </w:r>
      <w:r w:rsidR="00112206" w:rsidRPr="0070146D">
        <w:rPr>
          <w:rFonts w:ascii="Times New Roman" w:eastAsia="Times New Roman" w:hAnsi="Times New Roman" w:cs="Times New Roman"/>
          <w:b/>
          <w:sz w:val="28"/>
          <w:szCs w:val="28"/>
        </w:rPr>
        <w:t>49</w:t>
      </w:r>
      <w:r w:rsidRPr="0070146D">
        <w:rPr>
          <w:rFonts w:ascii="Times New Roman" w:eastAsia="Times New Roman" w:hAnsi="Times New Roman" w:cs="Times New Roman"/>
          <w:b/>
          <w:sz w:val="28"/>
          <w:szCs w:val="28"/>
        </w:rPr>
        <w:t>. Динамика результатов животноводческой деятельности в Бардымском муниципальном районе</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Эффективность деятельности предприятий сельского хозяйства в последние годы невысока, значительно сокращается урожайность посевных площадей, производство скота и птицы на убой. Несмотря на то, что часть предприятий вводит новые технологии, тем самым увеличивая КПД и объемы производства с 1 единицы, общая ситуация свидетельствует, что отрасли требуется инвестиционный подъем, ввод новых технологий, обновление фондов, наращивание кадрового потенциала и открытие новых предприятий, способных производить продукцию, удовлетворяющую спрос как внутри района, так и за его пределами.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heme="majorEastAsia" w:hAnsi="Times New Roman" w:cs="Times New Roman"/>
          <w:b/>
          <w:bCs/>
          <w:sz w:val="28"/>
          <w:szCs w:val="28"/>
        </w:rPr>
      </w:pPr>
      <w:r w:rsidRPr="00153E07">
        <w:rPr>
          <w:rFonts w:ascii="Times New Roman" w:eastAsiaTheme="majorEastAsia" w:hAnsi="Times New Roman" w:cs="Times New Roman"/>
          <w:b/>
          <w:bCs/>
          <w:sz w:val="28"/>
          <w:szCs w:val="28"/>
        </w:rPr>
        <w:t>1.2.15 Трудовые показатели</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112206">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представлены основные показатели трудовых отношений и занятости Бардымского муниципального района с 01.01.2011</w:t>
      </w:r>
      <w:r w:rsidR="00112206">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по 01.01.2017</w:t>
      </w:r>
      <w:r w:rsidR="00112206">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w:t>
      </w: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112206">
        <w:rPr>
          <w:rFonts w:ascii="Times New Roman" w:eastAsia="Times New Roman" w:hAnsi="Times New Roman" w:cs="Times New Roman"/>
          <w:sz w:val="28"/>
          <w:szCs w:val="28"/>
        </w:rPr>
        <w:t>1</w:t>
      </w:r>
    </w:p>
    <w:p w:rsidR="00153E07" w:rsidRPr="00112206" w:rsidRDefault="00153E07" w:rsidP="00822D2E">
      <w:pPr>
        <w:spacing w:after="0" w:line="240" w:lineRule="auto"/>
        <w:jc w:val="center"/>
        <w:rPr>
          <w:rFonts w:ascii="Times New Roman" w:eastAsia="Times New Roman" w:hAnsi="Times New Roman" w:cs="Times New Roman"/>
          <w:b/>
          <w:sz w:val="28"/>
          <w:szCs w:val="28"/>
        </w:rPr>
      </w:pPr>
      <w:r w:rsidRPr="00112206">
        <w:rPr>
          <w:rFonts w:ascii="Times New Roman" w:eastAsia="Times New Roman" w:hAnsi="Times New Roman" w:cs="Times New Roman"/>
          <w:b/>
          <w:sz w:val="28"/>
          <w:szCs w:val="28"/>
        </w:rPr>
        <w:t>Основные показатели трудовых отношений и занятости Бардымского муниципального района с 01.</w:t>
      </w:r>
      <w:r w:rsidR="00633809" w:rsidRPr="00112206">
        <w:rPr>
          <w:rFonts w:ascii="Times New Roman" w:eastAsia="Times New Roman" w:hAnsi="Times New Roman" w:cs="Times New Roman"/>
          <w:b/>
          <w:sz w:val="28"/>
          <w:szCs w:val="28"/>
        </w:rPr>
        <w:t xml:space="preserve">01.201 г. по 01.01.2017 </w:t>
      </w:r>
      <w:r w:rsidRPr="00112206">
        <w:rPr>
          <w:rFonts w:ascii="Times New Roman" w:eastAsia="Times New Roman" w:hAnsi="Times New Roman" w:cs="Times New Roman"/>
          <w:b/>
          <w:sz w:val="28"/>
          <w:szCs w:val="28"/>
        </w:rPr>
        <w:t>г.</w:t>
      </w:r>
    </w:p>
    <w:tbl>
      <w:tblPr>
        <w:tblW w:w="5000" w:type="pct"/>
        <w:tblLook w:val="04A0"/>
      </w:tblPr>
      <w:tblGrid>
        <w:gridCol w:w="3115"/>
        <w:gridCol w:w="1001"/>
        <w:gridCol w:w="1003"/>
        <w:gridCol w:w="1004"/>
        <w:gridCol w:w="1004"/>
        <w:gridCol w:w="1004"/>
        <w:gridCol w:w="1004"/>
        <w:gridCol w:w="1002"/>
      </w:tblGrid>
      <w:tr w:rsidR="00153E07" w:rsidRPr="00112206" w:rsidTr="00153E07">
        <w:trPr>
          <w:trHeight w:val="630"/>
        </w:trPr>
        <w:tc>
          <w:tcPr>
            <w:tcW w:w="15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color w:val="000000"/>
                <w:szCs w:val="28"/>
              </w:rPr>
            </w:pPr>
            <w:r w:rsidRPr="00D922B3">
              <w:rPr>
                <w:rFonts w:ascii="Times New Roman" w:eastAsia="Times New Roman" w:hAnsi="Times New Roman" w:cs="Times New Roman"/>
                <w:b/>
                <w:color w:val="000000"/>
                <w:szCs w:val="28"/>
              </w:rPr>
              <w:t>Показатель</w:t>
            </w:r>
          </w:p>
        </w:tc>
        <w:tc>
          <w:tcPr>
            <w:tcW w:w="494"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2011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2012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2013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2014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2015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2016 г.</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822D2E">
            <w:pPr>
              <w:spacing w:after="0" w:line="240" w:lineRule="auto"/>
              <w:jc w:val="both"/>
              <w:rPr>
                <w:rFonts w:ascii="Times New Roman" w:eastAsia="Times New Roman" w:hAnsi="Times New Roman" w:cs="Times New Roman"/>
                <w:b/>
                <w:bCs/>
                <w:color w:val="000000"/>
                <w:szCs w:val="28"/>
              </w:rPr>
            </w:pPr>
            <w:r w:rsidRPr="00D922B3">
              <w:rPr>
                <w:rFonts w:ascii="Times New Roman" w:eastAsia="Times New Roman" w:hAnsi="Times New Roman" w:cs="Times New Roman"/>
                <w:b/>
                <w:bCs/>
                <w:color w:val="000000"/>
                <w:szCs w:val="28"/>
              </w:rPr>
              <w:t>01.01. 2017 г.</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Среднесписочная численность работников организаций в среднегодовом исчислении,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4271</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4028</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3874</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3767</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3546</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3338</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3167</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Заявленная предприятиями и организациями потребность в работниках,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130</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855</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644</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726</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76</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450</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643</w:t>
            </w:r>
          </w:p>
        </w:tc>
      </w:tr>
      <w:tr w:rsidR="00153E07" w:rsidRPr="00112206" w:rsidTr="00153E07">
        <w:trPr>
          <w:trHeight w:val="630"/>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Численность безработных зарегистрированных в государственных службах занятости,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5054</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1650</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1250</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1080</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1105</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1185</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984</w:t>
            </w:r>
          </w:p>
        </w:tc>
      </w:tr>
      <w:tr w:rsidR="00153E07" w:rsidRPr="00112206" w:rsidTr="00153E07">
        <w:trPr>
          <w:trHeight w:val="315"/>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Уровень зарегистрированной  безработицы, %</w:t>
            </w:r>
          </w:p>
        </w:tc>
        <w:tc>
          <w:tcPr>
            <w:tcW w:w="49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4,7</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4,3</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5,9</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3,3</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4,3</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3,8</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3,4</w:t>
            </w:r>
          </w:p>
        </w:tc>
      </w:tr>
      <w:tr w:rsidR="00153E07" w:rsidRPr="00112206" w:rsidTr="00153E07">
        <w:trPr>
          <w:trHeight w:val="315"/>
        </w:trPr>
        <w:tc>
          <w:tcPr>
            <w:tcW w:w="1537" w:type="pct"/>
            <w:tcBorders>
              <w:top w:val="nil"/>
              <w:left w:val="single" w:sz="4" w:space="0" w:color="auto"/>
              <w:bottom w:val="single" w:sz="4" w:space="0" w:color="auto"/>
              <w:right w:val="single" w:sz="4" w:space="0" w:color="auto"/>
            </w:tcBorders>
            <w:shd w:val="clear" w:color="auto" w:fill="auto"/>
            <w:vAlign w:val="bottom"/>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Число безработных на 1 вакантное место, человек</w:t>
            </w:r>
          </w:p>
        </w:tc>
        <w:tc>
          <w:tcPr>
            <w:tcW w:w="494"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38,9</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1,9</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1,9</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14,5</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2,6</w:t>
            </w:r>
          </w:p>
        </w:tc>
        <w:tc>
          <w:tcPr>
            <w:tcW w:w="495" w:type="pct"/>
            <w:tcBorders>
              <w:top w:val="nil"/>
              <w:left w:val="nil"/>
              <w:bottom w:val="single" w:sz="4" w:space="0" w:color="auto"/>
              <w:right w:val="single" w:sz="4" w:space="0" w:color="auto"/>
            </w:tcBorders>
            <w:shd w:val="clear" w:color="auto" w:fill="auto"/>
            <w:vAlign w:val="center"/>
            <w:hideMark/>
          </w:tcPr>
          <w:p w:rsidR="00153E07" w:rsidRPr="00112206" w:rsidRDefault="00153E07" w:rsidP="00822D2E">
            <w:pPr>
              <w:spacing w:after="0" w:line="240" w:lineRule="auto"/>
              <w:jc w:val="both"/>
              <w:rPr>
                <w:rFonts w:ascii="Times New Roman" w:eastAsia="Times New Roman" w:hAnsi="Times New Roman" w:cs="Times New Roman"/>
                <w:color w:val="000000"/>
                <w:sz w:val="24"/>
                <w:szCs w:val="28"/>
              </w:rPr>
            </w:pPr>
            <w:r w:rsidRPr="00112206">
              <w:rPr>
                <w:rFonts w:ascii="Times New Roman" w:eastAsia="Times New Roman" w:hAnsi="Times New Roman" w:cs="Times New Roman"/>
                <w:color w:val="000000"/>
                <w:sz w:val="24"/>
                <w:szCs w:val="28"/>
              </w:rPr>
              <w:t>1,5</w:t>
            </w:r>
          </w:p>
        </w:tc>
      </w:tr>
    </w:tbl>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822D2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соотношение среднесписочной численности работников организаций и численности безработных, зарегистрированных в ГЦСН (01.01.20111 – 01.01.2017</w:t>
      </w:r>
      <w:r w:rsidR="003506F9">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представлено на рисунке 1.5</w:t>
      </w:r>
      <w:r w:rsidR="00A32DD4">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29300" cy="2581275"/>
            <wp:effectExtent l="19050" t="0" r="0" b="0"/>
            <wp:docPr id="217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0</w:t>
      </w:r>
      <w:r w:rsidRPr="00A32DD4">
        <w:rPr>
          <w:rFonts w:ascii="Times New Roman" w:eastAsia="Times New Roman" w:hAnsi="Times New Roman" w:cs="Times New Roman"/>
          <w:b/>
          <w:sz w:val="28"/>
          <w:szCs w:val="28"/>
        </w:rPr>
        <w:t>. Соотношение среднесписочной численности работников организаций и численности безработных, зарегистрированных в ГЦСН (01.01.2011 – 01.01.2017</w:t>
      </w:r>
      <w:r w:rsidR="00A32DD4">
        <w:rPr>
          <w:rFonts w:ascii="Times New Roman" w:eastAsia="Times New Roman" w:hAnsi="Times New Roman" w:cs="Times New Roman"/>
          <w:b/>
          <w:sz w:val="28"/>
          <w:szCs w:val="28"/>
        </w:rPr>
        <w:t xml:space="preserve"> </w:t>
      </w:r>
      <w:r w:rsidRPr="00A32DD4">
        <w:rPr>
          <w:rFonts w:ascii="Times New Roman" w:eastAsia="Times New Roman" w:hAnsi="Times New Roman" w:cs="Times New Roman"/>
          <w:b/>
          <w:sz w:val="28"/>
          <w:szCs w:val="28"/>
        </w:rPr>
        <w:t>г.), чел.</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1.5</w:t>
      </w:r>
      <w:r w:rsidR="00A32DD4">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xml:space="preserve"> представлена динамика уровня безработицы в Бардымском муниципальном районе на 01.01.2011-01.01.2017</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753100" cy="2419350"/>
            <wp:effectExtent l="0" t="0" r="0" b="0"/>
            <wp:docPr id="217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1</w:t>
      </w:r>
      <w:r w:rsidRPr="00A32DD4">
        <w:rPr>
          <w:rFonts w:ascii="Times New Roman" w:eastAsia="Times New Roman" w:hAnsi="Times New Roman" w:cs="Times New Roman"/>
          <w:b/>
          <w:sz w:val="28"/>
          <w:szCs w:val="28"/>
        </w:rPr>
        <w:t>. Уровень зарегистрированной безработицы в Бардымском муниципальном районе (01.01.2011 – 01.01.2017</w:t>
      </w:r>
      <w:r w:rsidR="00A32DD4">
        <w:rPr>
          <w:rFonts w:ascii="Times New Roman" w:eastAsia="Times New Roman" w:hAnsi="Times New Roman" w:cs="Times New Roman"/>
          <w:b/>
          <w:sz w:val="28"/>
          <w:szCs w:val="28"/>
        </w:rPr>
        <w:t xml:space="preserve"> </w:t>
      </w:r>
      <w:r w:rsidRPr="00A32DD4">
        <w:rPr>
          <w:rFonts w:ascii="Times New Roman" w:eastAsia="Times New Roman" w:hAnsi="Times New Roman" w:cs="Times New Roman"/>
          <w:b/>
          <w:sz w:val="28"/>
          <w:szCs w:val="28"/>
        </w:rPr>
        <w:t>г.),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Уровень зарегистрированной безработицы постепенно снижается с 4,7% на 01.01.2011</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до 3,4% на 01.01.2017</w:t>
      </w:r>
      <w:r w:rsidR="00A32DD4">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 (рисунок 1.5</w:t>
      </w:r>
      <w:r w:rsidR="00A32DD4">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 Данное сокращение происходит благодаря таким факторам как создание новых рабочих мест, а также благодаря эффективной политике Администрации Бардымского муниципального района по развитию и поддержке малого предпринимательства.</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1.5</w:t>
      </w:r>
      <w:r w:rsidR="00A32DD4">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представлена динамика численности безработных на одно вакантное место и заявленная предприятиями и организациями потребность в работниках.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76925" cy="2619375"/>
            <wp:effectExtent l="0" t="0" r="0" b="0"/>
            <wp:docPr id="217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153E07" w:rsidRPr="00A32DD4" w:rsidRDefault="00153E07" w:rsidP="00153E07">
      <w:pPr>
        <w:spacing w:after="0"/>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w:t>
      </w:r>
      <w:r w:rsidR="00A32DD4" w:rsidRPr="00A32DD4">
        <w:rPr>
          <w:rFonts w:ascii="Times New Roman" w:eastAsia="Times New Roman" w:hAnsi="Times New Roman" w:cs="Times New Roman"/>
          <w:b/>
          <w:sz w:val="28"/>
          <w:szCs w:val="28"/>
        </w:rPr>
        <w:t>2</w:t>
      </w:r>
      <w:r w:rsidRPr="00A32DD4">
        <w:rPr>
          <w:rFonts w:ascii="Times New Roman" w:eastAsia="Times New Roman" w:hAnsi="Times New Roman" w:cs="Times New Roman"/>
          <w:b/>
          <w:sz w:val="28"/>
          <w:szCs w:val="28"/>
        </w:rPr>
        <w:t>. Динамика численности безработных на одно вакантное место и заявленная предприятиями и организациями потребность в работниках</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Численность безработных на одно вакантное место также сократилась за анализируемый период с 38,9 чел. до 1,5 чел. на одно вакантное место. Данная тенденция является положительной и ее причинами выступает как сокращение численности безработных, так и увеличение числа вакантных мест в Бардымском муниципальном районе.</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 рисунке </w:t>
      </w:r>
      <w:r w:rsidR="00A32DD4">
        <w:rPr>
          <w:rFonts w:ascii="Times New Roman" w:eastAsia="Times New Roman" w:hAnsi="Times New Roman" w:cs="Times New Roman"/>
          <w:sz w:val="28"/>
          <w:szCs w:val="28"/>
        </w:rPr>
        <w:t>1.53.</w:t>
      </w:r>
      <w:r w:rsidRPr="00153E07">
        <w:rPr>
          <w:rFonts w:ascii="Times New Roman" w:eastAsia="Times New Roman" w:hAnsi="Times New Roman" w:cs="Times New Roman"/>
          <w:sz w:val="28"/>
          <w:szCs w:val="28"/>
        </w:rPr>
        <w:t xml:space="preserve"> представлено соотношение среднемесячной номинальной начисленной заработной платы работников организаций по видам деятельности к среднемесячной номинальной начисленной заработной платы работников всех организаций и предприятий.</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48350" cy="3028950"/>
            <wp:effectExtent l="0" t="0" r="0" b="0"/>
            <wp:docPr id="21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53E07" w:rsidRPr="00A32DD4" w:rsidRDefault="00A32DD4" w:rsidP="006D2568">
      <w:pPr>
        <w:spacing w:after="0" w:line="240" w:lineRule="auto"/>
        <w:jc w:val="both"/>
        <w:rPr>
          <w:rFonts w:ascii="Times New Roman" w:eastAsia="Times New Roman" w:hAnsi="Times New Roman" w:cs="Times New Roman"/>
          <w:b/>
          <w:sz w:val="28"/>
          <w:szCs w:val="28"/>
        </w:rPr>
      </w:pPr>
      <w:r w:rsidRPr="00A32DD4">
        <w:rPr>
          <w:rFonts w:ascii="Times New Roman" w:eastAsia="Times New Roman" w:hAnsi="Times New Roman" w:cs="Times New Roman"/>
          <w:b/>
          <w:sz w:val="28"/>
          <w:szCs w:val="28"/>
        </w:rPr>
        <w:t>Рисунок 1.53</w:t>
      </w:r>
      <w:r w:rsidR="00153E07" w:rsidRPr="00A32DD4">
        <w:rPr>
          <w:rFonts w:ascii="Times New Roman" w:eastAsia="Times New Roman" w:hAnsi="Times New Roman" w:cs="Times New Roman"/>
          <w:b/>
          <w:sz w:val="28"/>
          <w:szCs w:val="28"/>
        </w:rPr>
        <w:t>. Соотношение среднемесячной номинальной начисленной ЗП работников различных сфер деятельности к среднемесячной номинальной начисленной ЗП работников всех организаций и предприятий на 01.01.2017</w:t>
      </w:r>
      <w:r>
        <w:rPr>
          <w:rFonts w:ascii="Times New Roman" w:eastAsia="Times New Roman" w:hAnsi="Times New Roman" w:cs="Times New Roman"/>
          <w:b/>
          <w:sz w:val="28"/>
          <w:szCs w:val="28"/>
        </w:rPr>
        <w:t xml:space="preserve"> </w:t>
      </w:r>
      <w:r w:rsidR="00153E07" w:rsidRPr="00A32DD4">
        <w:rPr>
          <w:rFonts w:ascii="Times New Roman" w:eastAsia="Times New Roman" w:hAnsi="Times New Roman" w:cs="Times New Roman"/>
          <w:b/>
          <w:sz w:val="28"/>
          <w:szCs w:val="28"/>
        </w:rPr>
        <w:t>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Как видно на рисунке </w:t>
      </w:r>
      <w:r w:rsidR="00A32DD4">
        <w:rPr>
          <w:rFonts w:ascii="Times New Roman" w:eastAsia="Times New Roman" w:hAnsi="Times New Roman" w:cs="Times New Roman"/>
          <w:sz w:val="28"/>
          <w:szCs w:val="28"/>
        </w:rPr>
        <w:t>1.53</w:t>
      </w:r>
      <w:r w:rsidRPr="00153E07">
        <w:rPr>
          <w:rFonts w:ascii="Times New Roman" w:eastAsia="Times New Roman" w:hAnsi="Times New Roman" w:cs="Times New Roman"/>
          <w:sz w:val="28"/>
          <w:szCs w:val="28"/>
        </w:rPr>
        <w:t xml:space="preserve">, среднемесячная номинальная начисленная заработная плата работников отдельных видов экономической деятельности превышает среднюю заработную плату по всем организациям в целом в организациях добывающей отрасли (+92%), обрабатывающих предприятиях (+24,2%), организациях производства и распределения электричества, газа, воды (+11,4%).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Ниже среднемесячного уровня номинальной начисленной заработной платы работников всех организаций в целом остаются средние заработные платы работников организаций здравоохранения (85,6%), бюджетной сферы (82,3%), образования (79%), прочих отраслей (59,9%).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Самый низкий уровень среднемесячной заработной платы работников по отношению к средней заработной плате работников всех организаций имеют сельскохозяйственные организации (48,9%).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этом динамика темпов прироста средних заработных плат в разрезе видов экономической деятельности (таблица 1.1</w:t>
      </w:r>
      <w:r w:rsidR="00A32DD4">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имеет положительную тенденцию, однако в сферах здравоохранения, бюджетной сферы, образования, сельского хозяйства, прочих отраслей ситуация до сих пор неутешительная. Аналогичной является ситуация в сфере культуры, так, отношение средней заработной платы работников культуры к средней заработной плате в регионе составляет 63,2%.</w:t>
      </w: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1.1</w:t>
      </w:r>
      <w:r w:rsidR="00A32DD4">
        <w:rPr>
          <w:rFonts w:ascii="Times New Roman" w:eastAsia="Times New Roman" w:hAnsi="Times New Roman" w:cs="Times New Roman"/>
          <w:sz w:val="28"/>
          <w:szCs w:val="28"/>
        </w:rPr>
        <w:t>2</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Отклонение среднемесячной номинальной начисленной ЗП работников различных сфер деятельности от среднемесячной номинальной начисленной ЗП работников всех организаций и предприятий, %</w:t>
      </w:r>
    </w:p>
    <w:tbl>
      <w:tblPr>
        <w:tblW w:w="5000" w:type="pct"/>
        <w:tblLook w:val="04A0"/>
      </w:tblPr>
      <w:tblGrid>
        <w:gridCol w:w="3565"/>
        <w:gridCol w:w="938"/>
        <w:gridCol w:w="939"/>
        <w:gridCol w:w="939"/>
        <w:gridCol w:w="939"/>
        <w:gridCol w:w="939"/>
        <w:gridCol w:w="939"/>
        <w:gridCol w:w="939"/>
      </w:tblGrid>
      <w:tr w:rsidR="00153E07" w:rsidRPr="00153E07" w:rsidTr="00153E07">
        <w:trPr>
          <w:trHeight w:val="315"/>
        </w:trPr>
        <w:tc>
          <w:tcPr>
            <w:tcW w:w="1759" w:type="pct"/>
            <w:tcBorders>
              <w:top w:val="single" w:sz="4" w:space="0" w:color="auto"/>
              <w:left w:val="single" w:sz="4" w:space="0" w:color="auto"/>
              <w:bottom w:val="single" w:sz="4" w:space="0" w:color="auto"/>
              <w:right w:val="single" w:sz="4" w:space="0" w:color="auto"/>
            </w:tcBorders>
            <w:shd w:val="clear" w:color="auto" w:fill="auto"/>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463" w:type="pct"/>
            <w:tcBorders>
              <w:top w:val="single" w:sz="4" w:space="0" w:color="auto"/>
              <w:left w:val="nil"/>
              <w:bottom w:val="single" w:sz="4" w:space="0" w:color="auto"/>
              <w:right w:val="single" w:sz="4" w:space="0" w:color="auto"/>
            </w:tcBorders>
            <w:shd w:val="clear" w:color="auto" w:fill="auto"/>
            <w:vAlign w:val="bottom"/>
            <w:hideMark/>
          </w:tcPr>
          <w:p w:rsid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Добывающие организации</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91,4</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86,0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88,5</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106,2</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87,9</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91,3</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92,0</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Обрабатывающие организации</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-22,5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-8,0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41,0</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28,1</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24,2</w:t>
            </w:r>
          </w:p>
        </w:tc>
      </w:tr>
      <w:tr w:rsidR="00153E07" w:rsidRPr="00153E07" w:rsidTr="00153E07">
        <w:trPr>
          <w:trHeight w:val="630"/>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производства и распределения электричества, газа, воды</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-19,9</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-13,2</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-10,6</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4,2</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16,1</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14,9</w:t>
            </w:r>
          </w:p>
        </w:tc>
        <w:tc>
          <w:tcPr>
            <w:tcW w:w="463" w:type="pct"/>
            <w:tcBorders>
              <w:top w:val="nil"/>
              <w:left w:val="nil"/>
              <w:bottom w:val="single" w:sz="4" w:space="0" w:color="auto"/>
              <w:right w:val="single" w:sz="4" w:space="0" w:color="auto"/>
            </w:tcBorders>
            <w:shd w:val="clear" w:color="000000" w:fill="DBEEF3"/>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11,4</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здравоохранения</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-46,0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-48,7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-38,8</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-25,0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-15,3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-14,4</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бюджетной сферы</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-49,5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-47,1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-35,7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-20,7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-15,1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-17,7</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vAlign w:val="bottom"/>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образования</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-53,1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-45,4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-32,5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-91,6</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-16,9</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-18,5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-21,0</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Организации прочих отраслей</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-62,4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-60,4</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-56,7</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-44,5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-42,3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-38,2</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-40,1</w:t>
            </w:r>
          </w:p>
        </w:tc>
      </w:tr>
      <w:tr w:rsidR="00153E07" w:rsidRPr="00153E07" w:rsidTr="00153E07">
        <w:trPr>
          <w:trHeight w:val="315"/>
        </w:trPr>
        <w:tc>
          <w:tcPr>
            <w:tcW w:w="1759" w:type="pct"/>
            <w:tcBorders>
              <w:top w:val="nil"/>
              <w:left w:val="single" w:sz="4" w:space="0" w:color="auto"/>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Сельскохозяйственные организации</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-59,5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-73,5</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-73,6</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-55,3</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-43,1</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-47,0</w:t>
            </w:r>
          </w:p>
        </w:tc>
        <w:tc>
          <w:tcPr>
            <w:tcW w:w="463" w:type="pct"/>
            <w:tcBorders>
              <w:top w:val="nil"/>
              <w:left w:val="nil"/>
              <w:bottom w:val="single" w:sz="4" w:space="0" w:color="auto"/>
              <w:right w:val="single" w:sz="4" w:space="0" w:color="auto"/>
            </w:tcBorders>
            <w:shd w:val="clear" w:color="auto" w:fill="auto"/>
            <w:hideMark/>
          </w:tcPr>
          <w:p w:rsidR="00153E07" w:rsidRPr="00A32DD4" w:rsidRDefault="00153E07" w:rsidP="006D2568">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-51,1</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понимания причин данных отклонений проведен динамический и корреляционный анализ среднемесячной номинальной начисленной заработной платы работников всех отраслей и среднесписочного числа работников предприятий и организаций Бардымского муниципального района (таблица 1.1</w:t>
      </w:r>
      <w:r w:rsidR="00A32DD4">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w:t>
      </w:r>
    </w:p>
    <w:p w:rsidR="00A32DD4" w:rsidRDefault="00A32DD4" w:rsidP="00633809">
      <w:pPr>
        <w:spacing w:after="0"/>
        <w:ind w:firstLine="709"/>
        <w:jc w:val="right"/>
        <w:rPr>
          <w:rFonts w:ascii="Times New Roman" w:eastAsia="Times New Roman" w:hAnsi="Times New Roman" w:cs="Times New Roman"/>
          <w:sz w:val="28"/>
          <w:szCs w:val="28"/>
        </w:rPr>
      </w:pPr>
    </w:p>
    <w:p w:rsidR="00443EEA" w:rsidRDefault="00443EEA" w:rsidP="00633809">
      <w:pPr>
        <w:spacing w:after="0"/>
        <w:ind w:firstLine="709"/>
        <w:jc w:val="right"/>
        <w:rPr>
          <w:rFonts w:ascii="Times New Roman" w:eastAsia="Times New Roman" w:hAnsi="Times New Roman" w:cs="Times New Roman"/>
          <w:sz w:val="28"/>
          <w:szCs w:val="28"/>
        </w:rPr>
      </w:pPr>
    </w:p>
    <w:p w:rsidR="00443EEA" w:rsidRDefault="00443EEA" w:rsidP="00633809">
      <w:pPr>
        <w:spacing w:after="0"/>
        <w:ind w:firstLine="709"/>
        <w:jc w:val="right"/>
        <w:rPr>
          <w:rFonts w:ascii="Times New Roman" w:eastAsia="Times New Roman" w:hAnsi="Times New Roman" w:cs="Times New Roman"/>
          <w:sz w:val="28"/>
          <w:szCs w:val="28"/>
        </w:r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A32DD4">
        <w:rPr>
          <w:rFonts w:ascii="Times New Roman" w:eastAsia="Times New Roman" w:hAnsi="Times New Roman" w:cs="Times New Roman"/>
          <w:sz w:val="28"/>
          <w:szCs w:val="28"/>
        </w:rPr>
        <w:t>3</w:t>
      </w:r>
    </w:p>
    <w:p w:rsidR="00153E07" w:rsidRPr="00633809" w:rsidRDefault="00153E07" w:rsidP="00633809">
      <w:pPr>
        <w:spacing w:after="0"/>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Динамика среднесписочного числа работников предприятий и организаций, среднемесячной номинальной начисленной заработной платы работников всех отраслей и среднего фонда заработной платы в Бардымском муниципальном районе в 01.01.2011 – 01.01.2017</w:t>
      </w:r>
      <w:r w:rsidR="00A32DD4">
        <w:rPr>
          <w:rFonts w:ascii="Times New Roman" w:eastAsia="Times New Roman" w:hAnsi="Times New Roman" w:cs="Times New Roman"/>
          <w:b/>
          <w:sz w:val="28"/>
          <w:szCs w:val="28"/>
        </w:rPr>
        <w:t xml:space="preserve"> </w:t>
      </w:r>
      <w:r w:rsidRPr="00633809">
        <w:rPr>
          <w:rFonts w:ascii="Times New Roman" w:eastAsia="Times New Roman" w:hAnsi="Times New Roman" w:cs="Times New Roman"/>
          <w:b/>
          <w:sz w:val="28"/>
          <w:szCs w:val="28"/>
        </w:rPr>
        <w:t>гг.</w:t>
      </w:r>
    </w:p>
    <w:tbl>
      <w:tblPr>
        <w:tblW w:w="5000" w:type="pct"/>
        <w:tblLayout w:type="fixed"/>
        <w:tblLook w:val="04A0"/>
      </w:tblPr>
      <w:tblGrid>
        <w:gridCol w:w="2286"/>
        <w:gridCol w:w="1122"/>
        <w:gridCol w:w="1122"/>
        <w:gridCol w:w="1122"/>
        <w:gridCol w:w="1122"/>
        <w:gridCol w:w="1121"/>
        <w:gridCol w:w="1121"/>
        <w:gridCol w:w="1121"/>
      </w:tblGrid>
      <w:tr w:rsidR="00153E07" w:rsidRPr="00153E07" w:rsidTr="00153E07">
        <w:trPr>
          <w:trHeight w:val="315"/>
        </w:trPr>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Показатель</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 2015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w:t>
            </w:r>
          </w:p>
        </w:tc>
        <w:tc>
          <w:tcPr>
            <w:tcW w:w="553" w:type="pct"/>
            <w:tcBorders>
              <w:top w:val="single" w:sz="4" w:space="0" w:color="auto"/>
              <w:left w:val="nil"/>
              <w:bottom w:val="single" w:sz="4" w:space="0" w:color="auto"/>
              <w:right w:val="single" w:sz="4" w:space="0" w:color="auto"/>
            </w:tcBorders>
            <w:shd w:val="clear" w:color="auto" w:fill="auto"/>
            <w:vAlign w:val="center"/>
            <w:hideMark/>
          </w:tcPr>
          <w:p w:rsidR="00A32DD4"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01.01.</w:t>
            </w:r>
          </w:p>
          <w:p w:rsidR="00153E07" w:rsidRPr="00D922B3" w:rsidRDefault="00153E07" w:rsidP="00153E07">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2017 г.</w:t>
            </w:r>
          </w:p>
        </w:tc>
      </w:tr>
      <w:tr w:rsidR="00153E07" w:rsidRPr="00153E07" w:rsidTr="00153E07">
        <w:trPr>
          <w:trHeight w:val="630"/>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Среднесписочное число работников предприятий и организаций, чел.</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4 271</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4 028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3 874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3 767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3 546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3 338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3 167</w:t>
            </w:r>
          </w:p>
        </w:tc>
      </w:tr>
      <w:tr w:rsidR="00153E07" w:rsidRPr="00153E07" w:rsidTr="00153E07">
        <w:trPr>
          <w:trHeight w:val="94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Среднемесячная номинальная начисленная ЗП работников предприятий и организаций, рублей</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16 850,0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17 956,0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18 400,0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19 038,9</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21 290,3</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23 006,1</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25 060,2</w:t>
            </w:r>
          </w:p>
        </w:tc>
      </w:tr>
      <w:tr w:rsidR="00153E07" w:rsidRPr="00153E07" w:rsidTr="00153E07">
        <w:trPr>
          <w:trHeight w:val="94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Средний фонд заработной платы работников предприятий и организаций, тыс.руб.</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71 966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72 327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71 282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71 720</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75 495</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76 794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79 366</w:t>
            </w:r>
          </w:p>
        </w:tc>
      </w:tr>
      <w:tr w:rsidR="00153E07" w:rsidRPr="00153E07" w:rsidTr="00153E07">
        <w:trPr>
          <w:trHeight w:val="315"/>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Динамика с/с числа работников, %</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0,96</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0,94</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0,95</w:t>
            </w:r>
          </w:p>
        </w:tc>
      </w:tr>
      <w:tr w:rsidR="00153E07" w:rsidRPr="00153E07" w:rsidTr="00153E07">
        <w:trPr>
          <w:trHeight w:val="630"/>
        </w:trPr>
        <w:tc>
          <w:tcPr>
            <w:tcW w:w="1127" w:type="pct"/>
            <w:tcBorders>
              <w:top w:val="nil"/>
              <w:left w:val="single" w:sz="4" w:space="0" w:color="auto"/>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Динамика средней номинальной начисленной ЗП, %</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1,07</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1,03</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1,12</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1,08</w:t>
            </w:r>
          </w:p>
        </w:tc>
        <w:tc>
          <w:tcPr>
            <w:tcW w:w="553" w:type="pct"/>
            <w:tcBorders>
              <w:top w:val="nil"/>
              <w:left w:val="nil"/>
              <w:bottom w:val="single" w:sz="4" w:space="0" w:color="auto"/>
              <w:right w:val="single" w:sz="4" w:space="0" w:color="auto"/>
            </w:tcBorders>
            <w:shd w:val="clear" w:color="auto" w:fill="auto"/>
            <w:vAlign w:val="center"/>
            <w:hideMark/>
          </w:tcPr>
          <w:p w:rsidR="00153E07" w:rsidRPr="00A32DD4" w:rsidRDefault="00153E07" w:rsidP="00153E07">
            <w:pPr>
              <w:spacing w:after="0" w:line="240" w:lineRule="auto"/>
              <w:jc w:val="both"/>
              <w:rPr>
                <w:rFonts w:ascii="Times New Roman" w:eastAsia="Times New Roman" w:hAnsi="Times New Roman" w:cs="Times New Roman"/>
                <w:color w:val="000000"/>
                <w:sz w:val="24"/>
                <w:szCs w:val="28"/>
              </w:rPr>
            </w:pPr>
            <w:r w:rsidRPr="00A32DD4">
              <w:rPr>
                <w:rFonts w:ascii="Times New Roman" w:eastAsia="Times New Roman" w:hAnsi="Times New Roman" w:cs="Times New Roman"/>
                <w:color w:val="000000"/>
                <w:sz w:val="24"/>
                <w:szCs w:val="28"/>
              </w:rPr>
              <w:t>1,09</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Абсолютные показатели характеризуют сокращение среднесписочной численности работников предприятий и организаций в Бардымском муниципальном районе в течение анализируемого периода с 4271 человека до 3167 человек и увеличение среднемесячной номинальной начисленной заработной платы работников всех отраслей с 16850 руб. до 25060,2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Коэффициент корреляции Пирсона, рассчитанный на основе динамик темпов роста среднемесячной номинальной начисленной заработной платы работников всех отраслей и среднесписочного числа работников предприятий и организаций показал высокий уровень обратной взаимосвязи: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0,807</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т.е. сокращение численности персонала ведет к увеличению средней величины заработной платы работников. Таким образом, не имея финансовой возможности для увеличения оплаты труда всех сотрудников, менеджмент организаций проводит политику оптимизации фонда оплаты труда и перераспределения финансовых ресурсов.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Обратную взаимосвязь данных показателей наглядно видно на рисунке 1.5</w:t>
      </w:r>
      <w:r w:rsidR="00BC765E">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w:t>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object w:dxaOrig="11337" w:dyaOrig="8014">
          <v:shape id="_x0000_i1026" type="#_x0000_t75" style="width:486pt;height:313.5pt" o:ole="">
            <v:imagedata r:id="rId62" o:title=""/>
          </v:shape>
          <o:OLEObject Type="Embed" ProgID="Excel.Sheet.12" ShapeID="_x0000_i1026" DrawAspect="Content" ObjectID="_1583327337" r:id="rId63"/>
        </w:object>
      </w:r>
      <w:r w:rsidRPr="00BC765E">
        <w:rPr>
          <w:rFonts w:ascii="Times New Roman" w:eastAsia="Times New Roman" w:hAnsi="Times New Roman" w:cs="Times New Roman"/>
          <w:b/>
          <w:sz w:val="28"/>
          <w:szCs w:val="28"/>
        </w:rPr>
        <w:t>Рисунок 1.5</w:t>
      </w:r>
      <w:r w:rsidR="00BC765E" w:rsidRPr="00BC765E">
        <w:rPr>
          <w:rFonts w:ascii="Times New Roman" w:eastAsia="Times New Roman" w:hAnsi="Times New Roman" w:cs="Times New Roman"/>
          <w:b/>
          <w:sz w:val="28"/>
          <w:szCs w:val="28"/>
        </w:rPr>
        <w:t>4</w:t>
      </w:r>
      <w:r w:rsidRPr="00BC765E">
        <w:rPr>
          <w:rFonts w:ascii="Times New Roman" w:eastAsia="Times New Roman" w:hAnsi="Times New Roman" w:cs="Times New Roman"/>
          <w:b/>
          <w:sz w:val="28"/>
          <w:szCs w:val="28"/>
        </w:rPr>
        <w:t>. Сравнение динамики среднесписочного числа работников предприятий и организаций с динамикой средней номинальной начисленной заработной платой работников всех отраслей Бардымского муниципального района в 01.01.2011 – 01.01.2017</w:t>
      </w:r>
      <w:r w:rsidR="00BC765E" w:rsidRP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w:t>
      </w:r>
    </w:p>
    <w:p w:rsidR="00153E07" w:rsidRPr="00BC765E" w:rsidRDefault="00153E07" w:rsidP="006D2568">
      <w:pPr>
        <w:spacing w:after="0" w:line="240" w:lineRule="auto"/>
        <w:jc w:val="both"/>
        <w:rPr>
          <w:rFonts w:ascii="Times New Roman" w:eastAsia="Times New Roman" w:hAnsi="Times New Roman" w:cs="Times New Roman"/>
          <w:b/>
          <w:sz w:val="28"/>
          <w:szCs w:val="28"/>
        </w:rPr>
      </w:pPr>
    </w:p>
    <w:p w:rsidR="00153E07" w:rsidRPr="00153E07" w:rsidRDefault="00153E07" w:rsidP="006D2568">
      <w:pPr>
        <w:spacing w:after="0" w:line="240" w:lineRule="auto"/>
        <w:ind w:firstLine="709"/>
        <w:jc w:val="both"/>
        <w:rPr>
          <w:rFonts w:ascii="Times New Roman" w:eastAsiaTheme="majorEastAsia" w:hAnsi="Times New Roman" w:cs="Times New Roman"/>
          <w:b/>
          <w:bCs/>
          <w:sz w:val="28"/>
          <w:szCs w:val="28"/>
        </w:rPr>
      </w:pPr>
      <w:r w:rsidRPr="00153E07">
        <w:rPr>
          <w:rFonts w:ascii="Times New Roman" w:eastAsiaTheme="majorEastAsia" w:hAnsi="Times New Roman" w:cs="Times New Roman"/>
          <w:b/>
          <w:bCs/>
          <w:sz w:val="28"/>
          <w:szCs w:val="28"/>
        </w:rPr>
        <w:t xml:space="preserve">1.2.16 Бюджет Бардымского муниципального района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BC765E">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представлены данные о доходах бюджета Бардымского муниципального района в 2011-2016 гг.</w:t>
      </w:r>
    </w:p>
    <w:p w:rsidR="00153E07" w:rsidRPr="00153E07" w:rsidRDefault="00BC765E" w:rsidP="006D2568">
      <w:pPr>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1.14</w:t>
      </w:r>
    </w:p>
    <w:p w:rsid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 xml:space="preserve">Доходы бюджета Бардымского муниципального района </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в 2011-2016 гг., тыс.руб.</w:t>
      </w:r>
    </w:p>
    <w:tbl>
      <w:tblPr>
        <w:tblW w:w="5000" w:type="pct"/>
        <w:tblLook w:val="04A0"/>
      </w:tblPr>
      <w:tblGrid>
        <w:gridCol w:w="3753"/>
        <w:gridCol w:w="1064"/>
        <w:gridCol w:w="1064"/>
        <w:gridCol w:w="1064"/>
        <w:gridCol w:w="1064"/>
        <w:gridCol w:w="1064"/>
        <w:gridCol w:w="1064"/>
      </w:tblGrid>
      <w:tr w:rsidR="00153E07" w:rsidRPr="00153E07" w:rsidTr="00153E07">
        <w:trPr>
          <w:trHeight w:val="300"/>
        </w:trPr>
        <w:tc>
          <w:tcPr>
            <w:tcW w:w="16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дохода</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5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Налоговые доходы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100 080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84 738</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120 345</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111 023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115 624</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130 142</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Неналоговые доходы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33 523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36 190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42 440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63 364</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46 750</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53 890</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Межбюджетные трансферты</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547 854</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754 246</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743 980</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621 087</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576 752</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560 684</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безвозмездные поступления</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19 198</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21 543</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20678</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7 453</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2 956</w:t>
            </w:r>
          </w:p>
        </w:tc>
        <w:tc>
          <w:tcPr>
            <w:tcW w:w="55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23 397</w:t>
            </w:r>
          </w:p>
        </w:tc>
      </w:tr>
      <w:tr w:rsidR="00153E07" w:rsidRPr="00153E07" w:rsidTr="00153E07">
        <w:trPr>
          <w:trHeight w:val="300"/>
        </w:trPr>
        <w:tc>
          <w:tcPr>
            <w:tcW w:w="166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700 655</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896 717</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927 443</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802 927</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742 082</w:t>
            </w:r>
          </w:p>
        </w:tc>
        <w:tc>
          <w:tcPr>
            <w:tcW w:w="55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768 113</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Доходы бюджета Бардымского муниципального района в течение анализируемого периода времени сократились в результате уменьшения суммы межбюджетных трансфертов. В то же время имеет место рост налоговых и неналоговых поступлений </w:t>
      </w:r>
      <w:r w:rsidR="00BC765E">
        <w:rPr>
          <w:rFonts w:ascii="Times New Roman" w:eastAsia="Times New Roman" w:hAnsi="Times New Roman" w:cs="Times New Roman"/>
          <w:sz w:val="28"/>
          <w:szCs w:val="28"/>
        </w:rPr>
        <w:t>в доход бюджета. На рисунке 1.55</w:t>
      </w:r>
      <w:r w:rsidRPr="00153E07">
        <w:rPr>
          <w:rFonts w:ascii="Times New Roman" w:eastAsia="Times New Roman" w:hAnsi="Times New Roman" w:cs="Times New Roman"/>
          <w:sz w:val="28"/>
          <w:szCs w:val="28"/>
        </w:rPr>
        <w:t xml:space="preserve"> представлена структура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91200" cy="2857500"/>
            <wp:effectExtent l="19050" t="0" r="0" b="0"/>
            <wp:docPr id="218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1.55</w:t>
      </w:r>
      <w:r w:rsidR="00153E07" w:rsidRPr="00BC765E">
        <w:rPr>
          <w:rFonts w:ascii="Times New Roman" w:eastAsia="Times New Roman" w:hAnsi="Times New Roman" w:cs="Times New Roman"/>
          <w:b/>
          <w:sz w:val="28"/>
          <w:szCs w:val="28"/>
        </w:rPr>
        <w:t>. Структура доходов бюджета Бардымского муниципального района в 2011-2016гг.,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доходов бюджета в течение анализируемого периода времени преобладают межбюджетные трансферты, занимающие в среднем 80% в общей сумме доходов бюджета. Их доля незначительно снизилась к 2016 году до 73% благодаря увеличению доли налоговых и неналоговых доходов. Т.е. бюджет Бардымского муниципального района является высокодотационным.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на рисунке 1.</w:t>
      </w:r>
      <w:r w:rsidR="00BC765E">
        <w:rPr>
          <w:rFonts w:ascii="Times New Roman" w:eastAsia="Times New Roman" w:hAnsi="Times New Roman" w:cs="Times New Roman"/>
          <w:sz w:val="28"/>
          <w:szCs w:val="28"/>
        </w:rPr>
        <w:t>56</w:t>
      </w:r>
      <w:r w:rsidRPr="00153E07">
        <w:rPr>
          <w:rFonts w:ascii="Times New Roman" w:eastAsia="Times New Roman" w:hAnsi="Times New Roman" w:cs="Times New Roman"/>
          <w:sz w:val="28"/>
          <w:szCs w:val="28"/>
        </w:rPr>
        <w:t>.</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38875" cy="3382645"/>
            <wp:effectExtent l="19050" t="0" r="9525" b="8255"/>
            <wp:docPr id="218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56</w:t>
      </w:r>
      <w:r w:rsidRPr="00BC765E">
        <w:rPr>
          <w:rFonts w:ascii="Times New Roman" w:eastAsia="Times New Roman" w:hAnsi="Times New Roman" w:cs="Times New Roman"/>
          <w:b/>
          <w:sz w:val="28"/>
          <w:szCs w:val="28"/>
        </w:rPr>
        <w:t>. Динамика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гг., тыс.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1.1</w:t>
      </w:r>
      <w:r w:rsidR="00BC765E">
        <w:rPr>
          <w:rFonts w:ascii="Times New Roman" w:eastAsia="Times New Roman" w:hAnsi="Times New Roman" w:cs="Times New Roman"/>
          <w:sz w:val="28"/>
          <w:szCs w:val="28"/>
        </w:rPr>
        <w:t>5</w:t>
      </w:r>
      <w:r w:rsidRPr="00153E07">
        <w:rPr>
          <w:rFonts w:ascii="Times New Roman" w:eastAsia="Times New Roman" w:hAnsi="Times New Roman" w:cs="Times New Roman"/>
          <w:sz w:val="28"/>
          <w:szCs w:val="28"/>
        </w:rPr>
        <w:t xml:space="preserve"> рассмотрим состав налоговых доходов бюджета Бардымского муниципального района в 2011-2016 гг.</w:t>
      </w:r>
    </w:p>
    <w:p w:rsidR="00443EEA" w:rsidRDefault="00443EEA" w:rsidP="006D2568">
      <w:pPr>
        <w:spacing w:after="0" w:line="240" w:lineRule="auto"/>
        <w:ind w:firstLine="709"/>
        <w:jc w:val="right"/>
        <w:rPr>
          <w:rFonts w:ascii="Times New Roman" w:eastAsia="Times New Roman" w:hAnsi="Times New Roman" w:cs="Times New Roman"/>
          <w:sz w:val="28"/>
          <w:szCs w:val="28"/>
        </w:rPr>
      </w:pP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1.15</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налоговых доходов бюджета Бардымского муниципального района в 2011-2016гг., %</w:t>
      </w:r>
    </w:p>
    <w:tbl>
      <w:tblPr>
        <w:tblW w:w="9928" w:type="dxa"/>
        <w:tblInd w:w="103" w:type="dxa"/>
        <w:tblLook w:val="04A0"/>
      </w:tblPr>
      <w:tblGrid>
        <w:gridCol w:w="2840"/>
        <w:gridCol w:w="1222"/>
        <w:gridCol w:w="1276"/>
        <w:gridCol w:w="1134"/>
        <w:gridCol w:w="1134"/>
        <w:gridCol w:w="1134"/>
        <w:gridCol w:w="1188"/>
      </w:tblGrid>
      <w:tr w:rsidR="00153E07" w:rsidRPr="00D922B3" w:rsidTr="00BC765E">
        <w:trPr>
          <w:trHeight w:val="300"/>
        </w:trPr>
        <w:tc>
          <w:tcPr>
            <w:tcW w:w="2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Наименование налога</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1188" w:type="dxa"/>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Акцизы</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10,4%</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12,9%</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Госпошлина</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2,8%</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ЕНВД</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6,4%</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8,7%</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6,9%</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7,4%</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ЕСХН</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Земельный налог</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2,8%</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8,1%</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 на имущество организаций</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26,5%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Налог на имущество физических лиц</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4,5%</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3,6%</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4,2%</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НДФЛ</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49,5%</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59,4%</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65,2%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49,1%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46,9%</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48,6%</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Патент</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0,03%</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местные налоги</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Транспортный налог</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9,7%</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18,3%</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18,2%</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20,1%</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17,7%</w:t>
            </w:r>
          </w:p>
        </w:tc>
      </w:tr>
      <w:tr w:rsidR="00153E07" w:rsidRPr="00153E07" w:rsidTr="00BC765E">
        <w:trPr>
          <w:trHeight w:val="300"/>
        </w:trPr>
        <w:tc>
          <w:tcPr>
            <w:tcW w:w="2840" w:type="dxa"/>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1222"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c>
          <w:tcPr>
            <w:tcW w:w="1188" w:type="dxa"/>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100,0%</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структуре налоговых доходов бюджета Бардымского района преобладает налог на доходы физических лиц. Благодаря НДФЛ бюджет района пополняется почти наполовину. Почти пятую часть налоговых доходов муниципального бюджета составляет транспортный налог. В течение анализируемого периода времени увеличилась и в последние 3 года практически не меняется доля земельного налога (8,4% - 8,1%). Доля налога на имущество физических лиц также относительно неизменна (4,2%).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Изменения в структуре налоговых доходов бюджета коснулись налога на имущество организаций. Начиная с 2012 года, данный налог зачисляется в региональный бюджет в объеме 100%.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2014 года в бюджет муниципального района зачисляются акцизные платежи. В 2016 году доля акцизов в налоговых доходах бюджета Бардымского района составляет 12,9%.</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на рисунке 1.</w:t>
      </w:r>
      <w:r w:rsidR="00BC765E">
        <w:rPr>
          <w:rFonts w:ascii="Times New Roman" w:eastAsia="Times New Roman" w:hAnsi="Times New Roman" w:cs="Times New Roman"/>
          <w:sz w:val="28"/>
          <w:szCs w:val="28"/>
        </w:rPr>
        <w:t>57</w:t>
      </w:r>
      <w:r w:rsidRPr="00153E07">
        <w:rPr>
          <w:rFonts w:ascii="Times New Roman" w:eastAsia="Times New Roman" w:hAnsi="Times New Roman" w:cs="Times New Roman"/>
          <w:sz w:val="28"/>
          <w:szCs w:val="28"/>
        </w:rPr>
        <w:t xml:space="preserve">. </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867400" cy="2838450"/>
            <wp:effectExtent l="19050" t="0" r="0" b="0"/>
            <wp:docPr id="218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57</w:t>
      </w:r>
      <w:r w:rsidRPr="00BC765E">
        <w:rPr>
          <w:rFonts w:ascii="Times New Roman" w:eastAsia="Times New Roman" w:hAnsi="Times New Roman" w:cs="Times New Roman"/>
          <w:b/>
          <w:sz w:val="28"/>
          <w:szCs w:val="28"/>
        </w:rPr>
        <w:t>. Динамика налоговых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BC765E">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Структура неналоговых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представлена в таблице 1.1</w:t>
      </w:r>
      <w:r w:rsidR="00BC765E">
        <w:rPr>
          <w:rFonts w:ascii="Times New Roman" w:eastAsia="Times New Roman" w:hAnsi="Times New Roman" w:cs="Times New Roman"/>
          <w:sz w:val="28"/>
          <w:szCs w:val="28"/>
        </w:rPr>
        <w:t>6</w:t>
      </w:r>
      <w:r w:rsidRPr="00153E07">
        <w:rPr>
          <w:rFonts w:ascii="Times New Roman" w:eastAsia="Times New Roman" w:hAnsi="Times New Roman" w:cs="Times New Roman"/>
          <w:sz w:val="28"/>
          <w:szCs w:val="28"/>
        </w:rPr>
        <w:t>.</w:t>
      </w: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1.16</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неналоговых доходов бюджета Бардымского муниципального района в 2011-2016</w:t>
      </w:r>
      <w:r w:rsidR="00BC765E">
        <w:rPr>
          <w:rFonts w:ascii="Times New Roman" w:eastAsia="Times New Roman" w:hAnsi="Times New Roman" w:cs="Times New Roman"/>
          <w:b/>
          <w:sz w:val="28"/>
          <w:szCs w:val="28"/>
        </w:rPr>
        <w:t xml:space="preserve"> </w:t>
      </w:r>
      <w:r w:rsidRPr="00633809">
        <w:rPr>
          <w:rFonts w:ascii="Times New Roman" w:eastAsia="Times New Roman" w:hAnsi="Times New Roman" w:cs="Times New Roman"/>
          <w:b/>
          <w:sz w:val="28"/>
          <w:szCs w:val="28"/>
        </w:rPr>
        <w:t>гг., %</w:t>
      </w:r>
    </w:p>
    <w:tbl>
      <w:tblPr>
        <w:tblW w:w="5000" w:type="pct"/>
        <w:tblLook w:val="04A0"/>
      </w:tblPr>
      <w:tblGrid>
        <w:gridCol w:w="3555"/>
        <w:gridCol w:w="1097"/>
        <w:gridCol w:w="1097"/>
        <w:gridCol w:w="1097"/>
        <w:gridCol w:w="1097"/>
        <w:gridCol w:w="1097"/>
        <w:gridCol w:w="1097"/>
      </w:tblGrid>
      <w:tr w:rsidR="00153E07" w:rsidRPr="00153E07" w:rsidTr="00153E07">
        <w:trPr>
          <w:trHeight w:val="300"/>
        </w:trPr>
        <w:tc>
          <w:tcPr>
            <w:tcW w:w="176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дохода</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39"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Аренда земли</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86,0%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85,4%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84,1%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59,6%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83,4%</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Аренда имущества</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3,7%</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Доходы от продажи земли</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1,5%</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5,2%</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Компенсация затрат</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Невыясненные</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Плата за негативное воздействие</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1,8%</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Продажа имущества</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0,6%</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29,2%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неналоговые доходы</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3,7%</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Средства самообложения</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0,6%</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Часть прибыли МУП</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0,0%</w:t>
            </w:r>
          </w:p>
        </w:tc>
      </w:tr>
      <w:tr w:rsidR="00153E07" w:rsidRPr="00153E07" w:rsidTr="00153E07">
        <w:trPr>
          <w:trHeight w:val="300"/>
        </w:trPr>
        <w:tc>
          <w:tcPr>
            <w:tcW w:w="1765"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Штрафы</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3,8%</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4,0%</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3,3%</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3,2%</w:t>
            </w:r>
          </w:p>
        </w:tc>
        <w:tc>
          <w:tcPr>
            <w:tcW w:w="539"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3,7%</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неналоговых доходов бюджета Бардымского муниципального района преобладают платежи за аренду земли, которые составляют более 80%.</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Снижение данного показателя наблюдается в 2014 году в связи с окончанием и вводом новых муниципальных программ, и как следствие, приоритетами, определяемыми в данных программах. В 2015 году начала действие муниципальная программа Бардымского района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Управление имуществом и земельными ресурсами Бардымского муниципального района Пермского края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утвержденная постановлением Администрации Бардымского </w:t>
      </w:r>
      <w:r w:rsidRPr="00153E07">
        <w:rPr>
          <w:rFonts w:ascii="Times New Roman" w:eastAsia="Times New Roman" w:hAnsi="Times New Roman" w:cs="Times New Roman"/>
          <w:sz w:val="28"/>
          <w:szCs w:val="28"/>
        </w:rPr>
        <w:lastRenderedPageBreak/>
        <w:t xml:space="preserve">муниципального района от 23.10.2014 №795. Первым этапом программы стало проведение инвентаризации земель муниципального района, в результате чего были выявлены правонарушения в части использования муниципального имущества и земельных ресурсов, а также отсутствие точных границ некоторых земельных участков.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составе неналоговых доходов муниципального района также увеличивается доля доходов от продажи земли (5,2% в 2016г.).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неналоговыми доходами Бардымского муниципального района преимущественно являются доходы от управления имуществом и земельными ресурсами.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неналоговых доходов бюджета Бардымского муниципального района в 2011-2016</w:t>
      </w:r>
      <w:r w:rsidR="00BC765E">
        <w:rPr>
          <w:rFonts w:ascii="Times New Roman" w:eastAsia="Times New Roman" w:hAnsi="Times New Roman" w:cs="Times New Roman"/>
          <w:sz w:val="28"/>
          <w:szCs w:val="28"/>
        </w:rPr>
        <w:t xml:space="preserve"> гг. представлена на рисунке 1.58</w:t>
      </w:r>
      <w:r w:rsidRPr="00153E07">
        <w:rPr>
          <w:rFonts w:ascii="Times New Roman" w:eastAsia="Times New Roman" w:hAnsi="Times New Roman" w:cs="Times New Roman"/>
          <w:sz w:val="28"/>
          <w:szCs w:val="28"/>
        </w:rPr>
        <w:t>.</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10250" cy="3390900"/>
            <wp:effectExtent l="19050" t="0" r="0" b="0"/>
            <wp:docPr id="218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1.58</w:t>
      </w:r>
      <w:r w:rsidR="00153E07" w:rsidRPr="00BC765E">
        <w:rPr>
          <w:rFonts w:ascii="Times New Roman" w:eastAsia="Times New Roman" w:hAnsi="Times New Roman" w:cs="Times New Roman"/>
          <w:b/>
          <w:sz w:val="28"/>
          <w:szCs w:val="28"/>
        </w:rPr>
        <w:t>. Динамика неналоговых доходов бюджета Бардымского муниципального района в 2011-2016</w:t>
      </w:r>
      <w:r w:rsidRPr="00BC765E">
        <w:rPr>
          <w:rFonts w:ascii="Times New Roman" w:eastAsia="Times New Roman" w:hAnsi="Times New Roman" w:cs="Times New Roman"/>
          <w:b/>
          <w:sz w:val="28"/>
          <w:szCs w:val="28"/>
        </w:rPr>
        <w:t xml:space="preserve"> </w:t>
      </w:r>
      <w:r w:rsidR="00153E07" w:rsidRPr="00BC765E">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Межбюджетные трансферты бюджета Бардымского муниципального района имеют в своем составе дотации, субсидии и субвенции, среди которых преобладают субвенции (62,5</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на конец 2016 г.). Дотации в структуре межбюджетных трансфертов составляют 31,0</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 субсидии – 6,8% </w:t>
      </w:r>
      <w:r w:rsidR="00BC765E">
        <w:rPr>
          <w:rFonts w:ascii="Times New Roman" w:eastAsia="Times New Roman" w:hAnsi="Times New Roman" w:cs="Times New Roman"/>
          <w:sz w:val="28"/>
          <w:szCs w:val="28"/>
        </w:rPr>
        <w:t>на конец 2016 года (таблица 1.17</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BC765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1.17</w:t>
      </w:r>
    </w:p>
    <w:p w:rsidR="00153E07" w:rsidRPr="00633809" w:rsidRDefault="00153E07" w:rsidP="006D2568">
      <w:pPr>
        <w:spacing w:after="0" w:line="240" w:lineRule="auto"/>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Структура межбюджетных трансфертов бюджета Бардымского муниципального района в 2011-2016гг.</w:t>
      </w:r>
    </w:p>
    <w:tbl>
      <w:tblPr>
        <w:tblW w:w="5000" w:type="pct"/>
        <w:tblLook w:val="04A0"/>
      </w:tblPr>
      <w:tblGrid>
        <w:gridCol w:w="3241"/>
        <w:gridCol w:w="1148"/>
        <w:gridCol w:w="1150"/>
        <w:gridCol w:w="1150"/>
        <w:gridCol w:w="1150"/>
        <w:gridCol w:w="1150"/>
        <w:gridCol w:w="1148"/>
      </w:tblGrid>
      <w:tr w:rsidR="00153E07" w:rsidRPr="00153E07" w:rsidTr="00153E07">
        <w:trPr>
          <w:trHeight w:val="300"/>
        </w:trPr>
        <w:tc>
          <w:tcPr>
            <w:tcW w:w="15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Вид трансферта</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2011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2012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2013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2014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2015 год</w:t>
            </w:r>
          </w:p>
        </w:tc>
        <w:tc>
          <w:tcPr>
            <w:tcW w:w="566" w:type="pct"/>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2016 год</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дотации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lang w:val="en-US"/>
              </w:rPr>
            </w:pPr>
            <w:r w:rsidRPr="00BC765E">
              <w:rPr>
                <w:rFonts w:ascii="Times New Roman" w:eastAsia="Times New Roman" w:hAnsi="Times New Roman" w:cs="Times New Roman"/>
                <w:color w:val="000000"/>
                <w:sz w:val="24"/>
                <w:szCs w:val="28"/>
              </w:rPr>
              <w:t>38,7%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30,2%</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31,1%</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35,0%</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31,1%</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31,0%</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субвенции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47,8%</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47,4%</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54,7%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56,5%</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60,4%</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62,5%</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субсидии</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7,8%</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5,7%</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7,9%</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8,6%</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6,8%</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lastRenderedPageBreak/>
              <w:t>доходы от возврата</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прочие трансферты</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7,1%</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6,2%</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10,5%</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w:t>
            </w:r>
          </w:p>
        </w:tc>
        <w:tc>
          <w:tcPr>
            <w:tcW w:w="567"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0,2%</w:t>
            </w:r>
          </w:p>
        </w:tc>
        <w:tc>
          <w:tcPr>
            <w:tcW w:w="566" w:type="pct"/>
            <w:tcBorders>
              <w:top w:val="nil"/>
              <w:left w:val="nil"/>
              <w:bottom w:val="single" w:sz="4" w:space="0" w:color="auto"/>
              <w:right w:val="single" w:sz="4" w:space="0" w:color="auto"/>
            </w:tcBorders>
            <w:shd w:val="clear" w:color="auto" w:fill="auto"/>
            <w:noWrap/>
            <w:vAlign w:val="bottom"/>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0,1%</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возврат остатков</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-0,5%</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-2,2%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-1,6%</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-0,3%</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-0,4%</w:t>
            </w:r>
          </w:p>
        </w:tc>
      </w:tr>
      <w:tr w:rsidR="00153E07" w:rsidRPr="00153E07" w:rsidTr="00153E07">
        <w:trPr>
          <w:trHeight w:val="300"/>
        </w:trPr>
        <w:tc>
          <w:tcPr>
            <w:tcW w:w="1599" w:type="pct"/>
            <w:tcBorders>
              <w:top w:val="nil"/>
              <w:left w:val="single" w:sz="4" w:space="0" w:color="auto"/>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Итого</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c>
          <w:tcPr>
            <w:tcW w:w="566" w:type="pct"/>
            <w:tcBorders>
              <w:top w:val="nil"/>
              <w:left w:val="nil"/>
              <w:bottom w:val="single" w:sz="4" w:space="0" w:color="auto"/>
              <w:right w:val="single" w:sz="4" w:space="0" w:color="auto"/>
            </w:tcBorders>
            <w:shd w:val="clear" w:color="auto" w:fill="auto"/>
            <w:noWrap/>
            <w:vAlign w:val="bottom"/>
            <w:hideMark/>
          </w:tcPr>
          <w:p w:rsidR="00153E07" w:rsidRPr="00BC765E" w:rsidRDefault="00153E07" w:rsidP="006D2568">
            <w:pPr>
              <w:spacing w:after="0" w:line="240" w:lineRule="auto"/>
              <w:jc w:val="both"/>
              <w:rPr>
                <w:rFonts w:ascii="Times New Roman" w:eastAsia="Times New Roman" w:hAnsi="Times New Roman" w:cs="Times New Roman"/>
                <w:color w:val="000000"/>
                <w:sz w:val="24"/>
                <w:szCs w:val="28"/>
              </w:rPr>
            </w:pPr>
            <w:r w:rsidRPr="00BC765E">
              <w:rPr>
                <w:rFonts w:ascii="Times New Roman" w:eastAsia="Times New Roman" w:hAnsi="Times New Roman" w:cs="Times New Roman"/>
                <w:color w:val="000000"/>
                <w:sz w:val="24"/>
                <w:szCs w:val="28"/>
              </w:rPr>
              <w:t>100%</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w:t>
      </w:r>
      <w:r w:rsidR="00BC765E">
        <w:rPr>
          <w:rFonts w:ascii="Times New Roman" w:eastAsia="Times New Roman" w:hAnsi="Times New Roman" w:cs="Times New Roman"/>
          <w:sz w:val="28"/>
          <w:szCs w:val="28"/>
        </w:rPr>
        <w:t>59</w:t>
      </w:r>
      <w:r w:rsidRPr="00153E07">
        <w:rPr>
          <w:rFonts w:ascii="Times New Roman" w:eastAsia="Times New Roman" w:hAnsi="Times New Roman" w:cs="Times New Roman"/>
          <w:sz w:val="28"/>
          <w:szCs w:val="28"/>
        </w:rPr>
        <w:t xml:space="preserve"> представлена динамика межбюджетных трансфертов бюджета Бардымского муниципального района в 2011-2016</w:t>
      </w:r>
      <w:r w:rsidR="00BC765E">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315075" cy="3228975"/>
            <wp:effectExtent l="19050" t="0" r="0" b="0"/>
            <wp:docPr id="2184"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53E07" w:rsidRPr="006D2568" w:rsidRDefault="00153E07" w:rsidP="006D2568">
      <w:pPr>
        <w:spacing w:after="0" w:line="240" w:lineRule="auto"/>
        <w:jc w:val="both"/>
        <w:rPr>
          <w:rFonts w:ascii="Times New Roman" w:eastAsia="Times New Roman" w:hAnsi="Times New Roman" w:cs="Times New Roman"/>
          <w:b/>
          <w:sz w:val="28"/>
          <w:szCs w:val="28"/>
        </w:rPr>
      </w:pPr>
      <w:r w:rsidRPr="006D2568">
        <w:rPr>
          <w:rFonts w:ascii="Times New Roman" w:eastAsia="Times New Roman" w:hAnsi="Times New Roman" w:cs="Times New Roman"/>
          <w:b/>
          <w:sz w:val="28"/>
          <w:szCs w:val="28"/>
        </w:rPr>
        <w:t>Рисунок 1.</w:t>
      </w:r>
      <w:r w:rsidR="00BC765E" w:rsidRPr="006D2568">
        <w:rPr>
          <w:rFonts w:ascii="Times New Roman" w:eastAsia="Times New Roman" w:hAnsi="Times New Roman" w:cs="Times New Roman"/>
          <w:b/>
          <w:sz w:val="28"/>
          <w:szCs w:val="28"/>
        </w:rPr>
        <w:t>59</w:t>
      </w:r>
      <w:r w:rsidRPr="006D2568">
        <w:rPr>
          <w:rFonts w:ascii="Times New Roman" w:eastAsia="Times New Roman" w:hAnsi="Times New Roman" w:cs="Times New Roman"/>
          <w:b/>
          <w:sz w:val="28"/>
          <w:szCs w:val="28"/>
        </w:rPr>
        <w:t>. Динамика межбюджетных трансфертов бюджета Бардымского муниципального района в 2011-2016</w:t>
      </w:r>
      <w:r w:rsidR="00BC765E" w:rsidRPr="006D2568">
        <w:rPr>
          <w:rFonts w:ascii="Times New Roman" w:eastAsia="Times New Roman" w:hAnsi="Times New Roman" w:cs="Times New Roman"/>
          <w:b/>
          <w:sz w:val="28"/>
          <w:szCs w:val="28"/>
        </w:rPr>
        <w:t xml:space="preserve"> </w:t>
      </w:r>
      <w:r w:rsidRPr="006D2568">
        <w:rPr>
          <w:rFonts w:ascii="Times New Roman" w:eastAsia="Times New Roman" w:hAnsi="Times New Roman" w:cs="Times New Roman"/>
          <w:b/>
          <w:sz w:val="28"/>
          <w:szCs w:val="28"/>
        </w:rPr>
        <w:t>гг.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динамике видно, что имеет место рост субвенций, сокращение дотаций и субсидий в течение анализируемого периода времени, что связано с приоритетными целями и задачами муниципальных программ Бардымского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Далее представлен анализ расходов бюджета Бардымского муниципального района в 2011-2016 гг. (Таблица 1.1</w:t>
      </w:r>
      <w:r w:rsidR="00BC765E">
        <w:rPr>
          <w:rFonts w:ascii="Times New Roman" w:eastAsia="Times New Roman" w:hAnsi="Times New Roman" w:cs="Times New Roman"/>
          <w:sz w:val="28"/>
          <w:szCs w:val="28"/>
        </w:rPr>
        <w:t>8</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рисунке 1.</w:t>
      </w:r>
      <w:r w:rsidR="00BC765E">
        <w:rPr>
          <w:rFonts w:ascii="Times New Roman" w:eastAsia="Times New Roman" w:hAnsi="Times New Roman" w:cs="Times New Roman"/>
          <w:sz w:val="28"/>
          <w:szCs w:val="28"/>
        </w:rPr>
        <w:t>60</w:t>
      </w:r>
      <w:r w:rsidRPr="00153E07">
        <w:rPr>
          <w:rFonts w:ascii="Times New Roman" w:eastAsia="Times New Roman" w:hAnsi="Times New Roman" w:cs="Times New Roman"/>
          <w:sz w:val="28"/>
          <w:szCs w:val="28"/>
        </w:rPr>
        <w:t xml:space="preserve"> представлена структура фактических расходов бюджета Бардымского муниципального района в 2011-2016 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6209665" cy="7279574"/>
            <wp:effectExtent l="0" t="0" r="635" b="0"/>
            <wp:docPr id="218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0</w:t>
      </w:r>
      <w:r w:rsidRPr="00BC765E">
        <w:rPr>
          <w:rFonts w:ascii="Times New Roman" w:eastAsia="Times New Roman" w:hAnsi="Times New Roman" w:cs="Times New Roman"/>
          <w:b/>
          <w:sz w:val="28"/>
          <w:szCs w:val="28"/>
        </w:rPr>
        <w:t>. Структура фактических расходов бюджета Бардымского муниципального района в 2011-2016 гг., %</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sectPr w:rsidR="00153E07" w:rsidRPr="00153E07" w:rsidSect="00C05E12">
          <w:footerReference w:type="default" r:id="rId70"/>
          <w:pgSz w:w="11906" w:h="16838"/>
          <w:pgMar w:top="1134" w:right="567" w:bottom="1134" w:left="1418" w:header="709" w:footer="709" w:gutter="0"/>
          <w:pgNumType w:start="1"/>
          <w:cols w:space="708"/>
          <w:titlePg/>
          <w:docGrid w:linePitch="360"/>
        </w:sectPr>
      </w:pPr>
    </w:p>
    <w:p w:rsidR="00153E07" w:rsidRPr="00153E07" w:rsidRDefault="00153E07" w:rsidP="0063380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1.1</w:t>
      </w:r>
      <w:r w:rsidR="00BC765E">
        <w:rPr>
          <w:rFonts w:ascii="Times New Roman" w:eastAsia="Times New Roman" w:hAnsi="Times New Roman" w:cs="Times New Roman"/>
          <w:sz w:val="28"/>
          <w:szCs w:val="28"/>
        </w:rPr>
        <w:t>8</w:t>
      </w:r>
    </w:p>
    <w:p w:rsidR="00153E07" w:rsidRPr="00633809" w:rsidRDefault="00153E07" w:rsidP="00633809">
      <w:pPr>
        <w:spacing w:after="0"/>
        <w:jc w:val="center"/>
        <w:rPr>
          <w:rFonts w:ascii="Times New Roman" w:eastAsia="Times New Roman" w:hAnsi="Times New Roman" w:cs="Times New Roman"/>
          <w:b/>
          <w:sz w:val="28"/>
          <w:szCs w:val="28"/>
        </w:rPr>
      </w:pPr>
      <w:r w:rsidRPr="00633809">
        <w:rPr>
          <w:rFonts w:ascii="Times New Roman" w:eastAsia="Times New Roman" w:hAnsi="Times New Roman" w:cs="Times New Roman"/>
          <w:b/>
          <w:sz w:val="28"/>
          <w:szCs w:val="28"/>
        </w:rPr>
        <w:t>Расходы бюджета Бардымского муниципального района в 2011-2016 гг., тыс. руб.</w:t>
      </w:r>
    </w:p>
    <w:tbl>
      <w:tblPr>
        <w:tblW w:w="5000" w:type="pct"/>
        <w:tblLayout w:type="fixed"/>
        <w:tblLook w:val="04A0"/>
      </w:tblPr>
      <w:tblGrid>
        <w:gridCol w:w="2518"/>
        <w:gridCol w:w="1024"/>
        <w:gridCol w:w="1023"/>
        <w:gridCol w:w="1023"/>
        <w:gridCol w:w="1023"/>
        <w:gridCol w:w="1023"/>
        <w:gridCol w:w="1023"/>
        <w:gridCol w:w="1023"/>
        <w:gridCol w:w="1023"/>
        <w:gridCol w:w="1023"/>
        <w:gridCol w:w="1023"/>
        <w:gridCol w:w="1023"/>
        <w:gridCol w:w="1014"/>
      </w:tblGrid>
      <w:tr w:rsidR="00153E07" w:rsidRPr="00153E07" w:rsidTr="00153E07">
        <w:trPr>
          <w:trHeight w:val="300"/>
        </w:trPr>
        <w:tc>
          <w:tcPr>
            <w:tcW w:w="851"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Статьи расходов</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2011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2012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2013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2014 год</w:t>
            </w:r>
          </w:p>
        </w:tc>
        <w:tc>
          <w:tcPr>
            <w:tcW w:w="692"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2015 год</w:t>
            </w:r>
          </w:p>
        </w:tc>
        <w:tc>
          <w:tcPr>
            <w:tcW w:w="689" w:type="pct"/>
            <w:gridSpan w:val="2"/>
            <w:tcBorders>
              <w:top w:val="single" w:sz="4" w:space="0" w:color="auto"/>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2016 год</w:t>
            </w:r>
          </w:p>
        </w:tc>
      </w:tr>
      <w:tr w:rsidR="00153E07" w:rsidRPr="00153E07" w:rsidTr="00153E07">
        <w:trPr>
          <w:trHeight w:val="300"/>
        </w:trPr>
        <w:tc>
          <w:tcPr>
            <w:tcW w:w="851"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c>
          <w:tcPr>
            <w:tcW w:w="346"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План</w:t>
            </w:r>
          </w:p>
        </w:tc>
        <w:tc>
          <w:tcPr>
            <w:tcW w:w="34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8"/>
              </w:rPr>
            </w:pPr>
            <w:r w:rsidRPr="00D922B3">
              <w:rPr>
                <w:rFonts w:ascii="Times New Roman" w:eastAsia="Times New Roman" w:hAnsi="Times New Roman" w:cs="Times New Roman"/>
                <w:b/>
                <w:color w:val="000000"/>
                <w:sz w:val="20"/>
                <w:szCs w:val="28"/>
              </w:rPr>
              <w:t>Факт</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Жилищно-коммунальное хозяйство</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41286,7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13559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63179,3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44184,9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50654,7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37951,1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43731,5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39716,1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24007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22674,1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27650,5</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15003,3</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Здравоохранение</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31646,4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27316,2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38025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36145,9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28604,2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25921,8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0</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Культура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8159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8133,4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26223,1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19547,7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20267,5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19598,3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18533,4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18289,5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16602,8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16511,9</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16502,9</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Межбюджетные трансферты</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54069,2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54069,2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80598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80598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100899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100899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67090,2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67090,2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53751,4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53751,4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52480,4</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52446,2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Национальная экономика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42700</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40034,7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80814,8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62943,1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79461,6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73121,5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73895,7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60846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66562,6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57057,6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55492</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53196,2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Образование</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293065,2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286732,2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368269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366762,5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413770,7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412405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432789,1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427253,2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409907,4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404107,4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423533,1</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420275,2</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Общегосударственные вопросы</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68196,2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34555,6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43095,4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39042,3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71748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54405,6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46605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44707,4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49587,5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48772,1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46427</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44905</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Социальная полит.</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157709,3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106744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207296,1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182034,9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172551,8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154988,7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51642,8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37381,3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46603,2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45010,2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50860</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50555,6</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Спорт и физ.культура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59972,6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20701,2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47622,4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29654,7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36830,1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28695,8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24482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15688,4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17873,9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12449,7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29092,6</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25641</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СМИ</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5216,4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5216,4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6793,3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6699,3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8536,9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8536,9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7949,8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7852,6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7852,6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7725,1</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7725,1</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Национальная безопасность</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28651,6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28651,6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2110,4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2077,9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1418,7</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1415,5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1248,9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1248,9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1395,8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1336,9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1876,7</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1871,4</w:t>
            </w:r>
          </w:p>
        </w:tc>
      </w:tr>
      <w:tr w:rsidR="00153E07" w:rsidRPr="00153E07" w:rsidTr="00153E07">
        <w:trPr>
          <w:trHeight w:val="300"/>
        </w:trPr>
        <w:tc>
          <w:tcPr>
            <w:tcW w:w="851" w:type="pct"/>
            <w:tcBorders>
              <w:top w:val="nil"/>
              <w:left w:val="single" w:sz="4" w:space="0" w:color="auto"/>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Итого расходы бюджета</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790672,6</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625713,5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964026,8</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869691,1</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984743,2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917935,3</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768044,5</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779844</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694144,2</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669555,9</w:t>
            </w:r>
          </w:p>
        </w:tc>
        <w:tc>
          <w:tcPr>
            <w:tcW w:w="346"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711649,3</w:t>
            </w:r>
          </w:p>
        </w:tc>
        <w:tc>
          <w:tcPr>
            <w:tcW w:w="343" w:type="pct"/>
            <w:tcBorders>
              <w:top w:val="nil"/>
              <w:left w:val="nil"/>
              <w:bottom w:val="single" w:sz="4" w:space="0" w:color="auto"/>
              <w:right w:val="single" w:sz="4" w:space="0" w:color="auto"/>
            </w:tcBorders>
            <w:shd w:val="clear" w:color="auto" w:fill="auto"/>
            <w:noWrap/>
            <w:vAlign w:val="center"/>
            <w:hideMark/>
          </w:tcPr>
          <w:p w:rsidR="00153E07" w:rsidRPr="00633809" w:rsidRDefault="00153E07" w:rsidP="00153E07">
            <w:pPr>
              <w:spacing w:after="0" w:line="240" w:lineRule="auto"/>
              <w:jc w:val="both"/>
              <w:rPr>
                <w:rFonts w:ascii="Times New Roman" w:eastAsia="Times New Roman" w:hAnsi="Times New Roman" w:cs="Times New Roman"/>
                <w:color w:val="000000"/>
                <w:sz w:val="20"/>
                <w:szCs w:val="28"/>
              </w:rPr>
            </w:pPr>
            <w:r w:rsidRPr="00633809">
              <w:rPr>
                <w:rFonts w:ascii="Times New Roman" w:eastAsia="Times New Roman" w:hAnsi="Times New Roman" w:cs="Times New Roman"/>
                <w:color w:val="000000"/>
                <w:sz w:val="20"/>
                <w:szCs w:val="28"/>
              </w:rPr>
              <w:t>688121,9</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расходов бюджета Бардымского муниципального района преобладают расходы на образование (59,5% на конец 2016 года.). Благодаря росту доли расходов на образование сокращаются расходы на национальную экономику, социальную политику, общегосударственные вопросы, здравоохранение и ЖКХ.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Наименьшую долю расходов в бюджете муниципального района занимают расходы на национальную безопасность, СМИ и здравоохранение.</w:t>
      </w:r>
    </w:p>
    <w:p w:rsidR="00153E07" w:rsidRPr="00153E07" w:rsidRDefault="00BC765E"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Далее на рисунках 1.61 – 1.71</w:t>
      </w:r>
      <w:r w:rsidR="00153E07" w:rsidRPr="00153E07">
        <w:rPr>
          <w:rFonts w:ascii="Times New Roman" w:eastAsia="Times New Roman" w:hAnsi="Times New Roman" w:cs="Times New Roman"/>
          <w:sz w:val="28"/>
          <w:szCs w:val="28"/>
        </w:rPr>
        <w:t xml:space="preserve"> представлено исполнение расходов бюджета Бардымского муниципального района по статьям расходов в 2011-2016 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72290" cy="2897579"/>
            <wp:effectExtent l="0" t="0" r="0" b="0"/>
            <wp:docPr id="218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1</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жилищно-коммунального хозяйства в 2011-2016 гг., тыс. 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450774" cy="3075709"/>
            <wp:effectExtent l="0" t="0" r="0" b="0"/>
            <wp:docPr id="2187"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lastRenderedPageBreak/>
        <w:t>Рисунок 1.62</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здравоохранения в 2011-2016 гг., тыс. руб.</w:t>
      </w: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40425" cy="3691684"/>
            <wp:effectExtent l="0" t="0" r="0" b="0"/>
            <wp:docPr id="218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3</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культуры в 2011-2016 гг., тыс. руб.</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534025" cy="2905125"/>
            <wp:effectExtent l="0" t="0" r="0" b="0"/>
            <wp:docPr id="218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w:t>
      </w:r>
      <w:r w:rsidR="00BC765E" w:rsidRPr="00BC765E">
        <w:rPr>
          <w:rFonts w:ascii="Times New Roman" w:eastAsia="Times New Roman" w:hAnsi="Times New Roman" w:cs="Times New Roman"/>
          <w:b/>
          <w:sz w:val="28"/>
          <w:szCs w:val="28"/>
        </w:rPr>
        <w:t>4</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национальной безопасности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771407" cy="3123210"/>
            <wp:effectExtent l="0" t="0" r="0" b="0"/>
            <wp:docPr id="2190" name="Диаграмма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1.65</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национальной экономики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57652" cy="3241964"/>
            <wp:effectExtent l="0" t="0" r="0" b="0"/>
            <wp:docPr id="2191" name="Диаграмма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1.66</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образования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4572000" cy="2743200"/>
            <wp:effectExtent l="0" t="0" r="0" b="0"/>
            <wp:docPr id="2192" name="Диаграмма 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w:t>
      </w:r>
      <w:r w:rsidR="00BC765E" w:rsidRPr="00BC765E">
        <w:rPr>
          <w:rFonts w:ascii="Times New Roman" w:eastAsia="Times New Roman" w:hAnsi="Times New Roman" w:cs="Times New Roman"/>
          <w:b/>
          <w:sz w:val="28"/>
          <w:szCs w:val="28"/>
        </w:rPr>
        <w:t>67</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общих вопросов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5533901" cy="3633849"/>
            <wp:effectExtent l="0" t="0" r="0" b="0"/>
            <wp:docPr id="2193" name="Диаграмма 2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1.68</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социальной политики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086350" cy="2905125"/>
            <wp:effectExtent l="0" t="0" r="0" b="0"/>
            <wp:docPr id="2194" name="Диаграмма 2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53E07" w:rsidRPr="00BC765E" w:rsidRDefault="00BC765E"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1.69</w:t>
      </w:r>
      <w:r w:rsidR="00153E07"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спорта и физической культуры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638800" cy="3200400"/>
            <wp:effectExtent l="0" t="0" r="0" b="0"/>
            <wp:docPr id="219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1.7</w:t>
      </w:r>
      <w:r w:rsidR="00BC765E" w:rsidRPr="00BC765E">
        <w:rPr>
          <w:rFonts w:ascii="Times New Roman" w:eastAsia="Times New Roman" w:hAnsi="Times New Roman" w:cs="Times New Roman"/>
          <w:b/>
          <w:sz w:val="28"/>
          <w:szCs w:val="28"/>
        </w:rPr>
        <w:t>0</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средств массовой информации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hAnsi="Times New Roman" w:cs="Times New Roman"/>
          <w:noProof/>
          <w:sz w:val="28"/>
          <w:szCs w:val="28"/>
        </w:rPr>
        <w:lastRenderedPageBreak/>
        <w:drawing>
          <wp:inline distT="0" distB="0" distL="0" distR="0">
            <wp:extent cx="5940425" cy="3305175"/>
            <wp:effectExtent l="0" t="0" r="0" b="0"/>
            <wp:docPr id="2196" name="Диаграмма 2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53E07" w:rsidRPr="00BC765E" w:rsidRDefault="00153E07" w:rsidP="006D2568">
      <w:pPr>
        <w:spacing w:after="0" w:line="240" w:lineRule="auto"/>
        <w:jc w:val="both"/>
        <w:rPr>
          <w:rFonts w:ascii="Times New Roman" w:eastAsia="Times New Roman" w:hAnsi="Times New Roman" w:cs="Times New Roman"/>
          <w:b/>
          <w:sz w:val="28"/>
          <w:szCs w:val="28"/>
        </w:rPr>
      </w:pPr>
      <w:r w:rsidRPr="00BC765E">
        <w:rPr>
          <w:rFonts w:ascii="Times New Roman" w:eastAsia="Times New Roman" w:hAnsi="Times New Roman" w:cs="Times New Roman"/>
          <w:b/>
          <w:sz w:val="28"/>
          <w:szCs w:val="28"/>
        </w:rPr>
        <w:t>Рисунок 1.7</w:t>
      </w:r>
      <w:r w:rsidR="00BC765E" w:rsidRPr="00BC765E">
        <w:rPr>
          <w:rFonts w:ascii="Times New Roman" w:eastAsia="Times New Roman" w:hAnsi="Times New Roman" w:cs="Times New Roman"/>
          <w:b/>
          <w:sz w:val="28"/>
          <w:szCs w:val="28"/>
        </w:rPr>
        <w:t>1</w:t>
      </w:r>
      <w:r w:rsidRPr="00BC765E">
        <w:rPr>
          <w:rFonts w:ascii="Times New Roman" w:eastAsia="Times New Roman" w:hAnsi="Times New Roman" w:cs="Times New Roman"/>
          <w:b/>
          <w:sz w:val="28"/>
          <w:szCs w:val="28"/>
        </w:rPr>
        <w:t>. Исполнение расходов бюджета Бардымского муниципального района в сфере межбюджетных трансфертов в 2011-2016 гг., тыс. 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2015-2016</w:t>
      </w:r>
      <w:r w:rsidR="00B8676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 финансирование сферы здравоохранения было передано в краевой бюджет и, соответственно, суммы финансирования в бюджете Бардымского муниципального района в настоящее время не отражаются.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Исполненные расходы бюджета являются наиболее близкими к плановым показателям в сфере национальной безопасности и абсолютно исполненными в сфере СМИ.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Далее представлен анализ доходов и расходов бюджетов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sectPr w:rsidR="00153E07" w:rsidRPr="00153E07" w:rsidSect="00153E07">
          <w:footerReference w:type="default" r:id="rId82"/>
          <w:pgSz w:w="11906" w:h="16838"/>
          <w:pgMar w:top="1134" w:right="850" w:bottom="1134" w:left="1701" w:header="708" w:footer="708" w:gutter="0"/>
          <w:cols w:space="708"/>
          <w:docGrid w:linePitch="360"/>
        </w:sectPr>
      </w:pPr>
    </w:p>
    <w:p w:rsidR="00153E07" w:rsidRPr="00153E07" w:rsidRDefault="00153E07" w:rsidP="003529A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w:t>
      </w:r>
      <w:r w:rsidR="00B86768">
        <w:rPr>
          <w:rFonts w:ascii="Times New Roman" w:eastAsia="Times New Roman" w:hAnsi="Times New Roman" w:cs="Times New Roman"/>
          <w:sz w:val="28"/>
          <w:szCs w:val="28"/>
        </w:rPr>
        <w:t>19</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Доходы и расходы бюджетов сельских поселений Бардымского муниципального района в 2010-2016 гг., тыс.руб.</w:t>
      </w:r>
    </w:p>
    <w:tbl>
      <w:tblPr>
        <w:tblW w:w="5369" w:type="pct"/>
        <w:tblInd w:w="-459" w:type="dxa"/>
        <w:tblLayout w:type="fixed"/>
        <w:tblLook w:val="04A0"/>
      </w:tblPr>
      <w:tblGrid>
        <w:gridCol w:w="1985"/>
        <w:gridCol w:w="991"/>
        <w:gridCol w:w="991"/>
        <w:gridCol w:w="991"/>
        <w:gridCol w:w="994"/>
        <w:gridCol w:w="994"/>
        <w:gridCol w:w="991"/>
        <w:gridCol w:w="991"/>
        <w:gridCol w:w="994"/>
        <w:gridCol w:w="991"/>
        <w:gridCol w:w="994"/>
        <w:gridCol w:w="991"/>
        <w:gridCol w:w="994"/>
        <w:gridCol w:w="991"/>
        <w:gridCol w:w="994"/>
      </w:tblGrid>
      <w:tr w:rsidR="00153E07" w:rsidRPr="00153E07" w:rsidTr="00153E07">
        <w:trPr>
          <w:trHeight w:val="300"/>
        </w:trPr>
        <w:tc>
          <w:tcPr>
            <w:tcW w:w="625" w:type="pct"/>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Сельское поселение</w:t>
            </w:r>
          </w:p>
        </w:tc>
        <w:tc>
          <w:tcPr>
            <w:tcW w:w="624"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2010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2011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2012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2013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2014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2015 год</w:t>
            </w:r>
          </w:p>
        </w:tc>
        <w:tc>
          <w:tcPr>
            <w:tcW w:w="625" w:type="pct"/>
            <w:gridSpan w:val="2"/>
            <w:tcBorders>
              <w:top w:val="single" w:sz="4" w:space="0" w:color="auto"/>
              <w:left w:val="nil"/>
              <w:bottom w:val="single" w:sz="4" w:space="0" w:color="auto"/>
              <w:right w:val="single" w:sz="4" w:space="0" w:color="000000"/>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2016 год</w:t>
            </w:r>
          </w:p>
        </w:tc>
      </w:tr>
      <w:tr w:rsidR="00153E07" w:rsidRPr="00153E07" w:rsidTr="00153E07">
        <w:trPr>
          <w:trHeight w:val="300"/>
        </w:trPr>
        <w:tc>
          <w:tcPr>
            <w:tcW w:w="625"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расходы</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18 586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16 112,5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18 379,9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17 312,3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29 798,4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32 832,2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31 091,1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33 110,2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42 536,9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37 371,8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30 146,7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34 371,9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32 360,9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32 322,5</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6 212,3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6 899,3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6 489,2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7 373,2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6 782,1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8 478,7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8 326,8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7 622,6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6 948,8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7 870,4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7 788,8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8 892,5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8 800,6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5 669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5 238,7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5 245,8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4 564,7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5 646,2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5 639,4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6 738,1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6 629,8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6 504,7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6 446,6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7 611,4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6 637,8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8 023,2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7 695,7</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3 501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3 463,4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3 941,6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3 812,3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9 490,7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9 425,9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5 174,1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5 076,5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5 422,4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5 118,3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4 857,8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4 828,8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4 992,4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5 448,6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5 541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5 498,9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5 836,8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5 556,0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7 454,7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6 945,8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7 467,1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7 887,0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5 392,7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5 411,8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7 463,8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7 263,2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8 716,2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8 668,5</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5 240,8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5 311,4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5 163,6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6 360,5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5 608,9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5 711,3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6 302,7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7 602,6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8 513,4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8 321,4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7 443,6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8 714,4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8 669,4</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4 037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3 732,0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4 186,5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4 065,5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5 575,3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3 935,6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4 214,8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5 982,2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3 944,8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4 011,6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3 758,2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3 966,7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4 451,1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4 232,3</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10 058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14 405,0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11 147,0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10 240,3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10 956,2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11 252,5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11 921,2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13 422,2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14 816,1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12 902,2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8 109,8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10 331,0</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9 230,7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10 180,0</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12 155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13 099,5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15 074,6</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11 598,0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13 902,1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11 977,7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19 384,5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15 862,6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18 342,7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19 836,7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12 192,7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11 415,9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11 508,1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10 789,4</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5 508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5 414,1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5 753,5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5 209,0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6 359,6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6 347,4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7 200,0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7 099,4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7 060,4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7 179,6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8 161,3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8 202,3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9 126,7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9 015,6</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4 306,3</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4 781,7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4 751,0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5 723,9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5 690,5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5 840,3</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6 025,6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5 607,8</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4 519,8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6 899,0</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6 864,4</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6 331,2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6 264,9</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3 735</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3 810,1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3 262,4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3 213,2</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4 239,8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4 231,1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5 121,7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4 496,9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4 361,7</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5 048,2</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4 938,4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4 772,7</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4 573,1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4 569,8</w:t>
            </w:r>
          </w:p>
        </w:tc>
      </w:tr>
      <w:tr w:rsidR="00153E07" w:rsidRPr="00153E07" w:rsidTr="00153E07">
        <w:trPr>
          <w:trHeight w:val="300"/>
        </w:trPr>
        <w:tc>
          <w:tcPr>
            <w:tcW w:w="625"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85 411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86 533,6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89 820,5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81 975,1</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112880,6</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110669,1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118342,9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120221,9</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129215,4</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123308,8</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110330,9</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113887,1</w:t>
            </w:r>
          </w:p>
        </w:tc>
        <w:tc>
          <w:tcPr>
            <w:tcW w:w="31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116920,5</w:t>
            </w:r>
          </w:p>
        </w:tc>
        <w:tc>
          <w:tcPr>
            <w:tcW w:w="31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116657,3</w:t>
            </w:r>
          </w:p>
        </w:tc>
      </w:tr>
    </w:tbl>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3529A9">
      <w:pPr>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r w:rsidR="00B86768">
        <w:rPr>
          <w:rFonts w:ascii="Times New Roman" w:eastAsia="Times New Roman" w:hAnsi="Times New Roman" w:cs="Times New Roman"/>
          <w:sz w:val="28"/>
          <w:szCs w:val="28"/>
        </w:rPr>
        <w:t>0</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Структура доходов бюджетов сельских поселений Бардымского муниципального района в 2010-2016гг., %</w:t>
      </w:r>
    </w:p>
    <w:tbl>
      <w:tblPr>
        <w:tblW w:w="5000" w:type="pct"/>
        <w:tblLook w:val="04A0"/>
      </w:tblPr>
      <w:tblGrid>
        <w:gridCol w:w="2019"/>
        <w:gridCol w:w="1064"/>
        <w:gridCol w:w="1064"/>
        <w:gridCol w:w="1064"/>
        <w:gridCol w:w="1064"/>
        <w:gridCol w:w="1065"/>
        <w:gridCol w:w="1065"/>
        <w:gridCol w:w="1065"/>
        <w:gridCol w:w="1065"/>
        <w:gridCol w:w="1065"/>
        <w:gridCol w:w="1065"/>
        <w:gridCol w:w="1065"/>
        <w:gridCol w:w="1056"/>
      </w:tblGrid>
      <w:tr w:rsidR="00153E07" w:rsidRPr="003529A9" w:rsidTr="00153E07">
        <w:trPr>
          <w:trHeight w:val="1708"/>
        </w:trPr>
        <w:tc>
          <w:tcPr>
            <w:tcW w:w="68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Доходы бюджетов</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Бардымское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Березниковское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Бичуринское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Брюзлинское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Елпачихинское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Красноярское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Новоашапское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Печменское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Сарашевское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Тюндюковское сельское поселение</w:t>
            </w:r>
          </w:p>
        </w:tc>
        <w:tc>
          <w:tcPr>
            <w:tcW w:w="360"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Федорковское сельское поселение</w:t>
            </w:r>
          </w:p>
        </w:tc>
        <w:tc>
          <w:tcPr>
            <w:tcW w:w="357" w:type="pct"/>
            <w:tcBorders>
              <w:top w:val="single" w:sz="4" w:space="0" w:color="auto"/>
              <w:left w:val="nil"/>
              <w:bottom w:val="single" w:sz="4" w:space="0" w:color="auto"/>
              <w:right w:val="single" w:sz="4" w:space="0" w:color="auto"/>
            </w:tcBorders>
            <w:shd w:val="clear" w:color="auto" w:fill="auto"/>
            <w:textDirection w:val="btLr"/>
            <w:vAlign w:val="bottom"/>
            <w:hideMark/>
          </w:tcPr>
          <w:p w:rsidR="00153E07" w:rsidRPr="00D922B3" w:rsidRDefault="00153E07" w:rsidP="00153E07">
            <w:pPr>
              <w:spacing w:after="0" w:line="240" w:lineRule="auto"/>
              <w:jc w:val="both"/>
              <w:rPr>
                <w:rFonts w:ascii="Times New Roman" w:eastAsia="Times New Roman" w:hAnsi="Times New Roman" w:cs="Times New Roman"/>
                <w:b/>
                <w:color w:val="000000"/>
                <w:sz w:val="20"/>
                <w:szCs w:val="20"/>
              </w:rPr>
            </w:pPr>
            <w:r w:rsidRPr="00D922B3">
              <w:rPr>
                <w:rFonts w:ascii="Times New Roman" w:eastAsia="Times New Roman" w:hAnsi="Times New Roman" w:cs="Times New Roman"/>
                <w:b/>
                <w:color w:val="000000"/>
                <w:sz w:val="20"/>
                <w:szCs w:val="20"/>
              </w:rPr>
              <w:t>Шермейское сельское поселение</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2010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2011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nil"/>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2012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bl>
    <w:p w:rsidR="00153E07" w:rsidRPr="003529A9" w:rsidRDefault="00153E07" w:rsidP="00153E07">
      <w:pPr>
        <w:jc w:val="both"/>
        <w:rPr>
          <w:rFonts w:ascii="Times New Roman" w:hAnsi="Times New Roman" w:cs="Times New Roman"/>
          <w:sz w:val="20"/>
          <w:szCs w:val="20"/>
        </w:rPr>
      </w:pPr>
      <w:r w:rsidRPr="003529A9">
        <w:rPr>
          <w:rFonts w:ascii="Times New Roman" w:hAnsi="Times New Roman" w:cs="Times New Roman"/>
          <w:sz w:val="20"/>
          <w:szCs w:val="20"/>
        </w:rPr>
        <w:br w:type="page"/>
      </w:r>
    </w:p>
    <w:tbl>
      <w:tblPr>
        <w:tblW w:w="5000" w:type="pct"/>
        <w:tblLook w:val="04A0"/>
      </w:tblPr>
      <w:tblGrid>
        <w:gridCol w:w="2019"/>
        <w:gridCol w:w="1064"/>
        <w:gridCol w:w="1064"/>
        <w:gridCol w:w="1064"/>
        <w:gridCol w:w="1064"/>
        <w:gridCol w:w="1065"/>
        <w:gridCol w:w="1065"/>
        <w:gridCol w:w="1065"/>
        <w:gridCol w:w="1065"/>
        <w:gridCol w:w="1065"/>
        <w:gridCol w:w="1065"/>
        <w:gridCol w:w="1065"/>
        <w:gridCol w:w="1056"/>
      </w:tblGrid>
      <w:tr w:rsidR="00153E07" w:rsidRPr="003529A9" w:rsidTr="00153E07">
        <w:trPr>
          <w:trHeight w:val="300"/>
        </w:trPr>
        <w:tc>
          <w:tcPr>
            <w:tcW w:w="5000" w:type="pct"/>
            <w:gridSpan w:val="13"/>
            <w:tcBorders>
              <w:top w:val="single" w:sz="4" w:space="0" w:color="auto"/>
              <w:left w:val="single" w:sz="4" w:space="0" w:color="auto"/>
              <w:bottom w:val="single" w:sz="4" w:space="0" w:color="auto"/>
              <w:right w:val="nil"/>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lastRenderedPageBreak/>
              <w:t>2013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2014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2015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r w:rsidR="00153E07" w:rsidRPr="003529A9" w:rsidTr="00153E07">
        <w:trPr>
          <w:trHeight w:val="300"/>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bottom"/>
            <w:hideMark/>
          </w:tcPr>
          <w:p w:rsidR="00153E07" w:rsidRPr="00443EEA" w:rsidRDefault="00153E07" w:rsidP="00153E07">
            <w:pPr>
              <w:spacing w:after="0" w:line="240" w:lineRule="auto"/>
              <w:jc w:val="both"/>
              <w:rPr>
                <w:rFonts w:ascii="Times New Roman" w:eastAsia="Times New Roman" w:hAnsi="Times New Roman" w:cs="Times New Roman"/>
                <w:b/>
                <w:color w:val="000000"/>
                <w:sz w:val="20"/>
                <w:szCs w:val="20"/>
              </w:rPr>
            </w:pPr>
            <w:r w:rsidRPr="00443EEA">
              <w:rPr>
                <w:rFonts w:ascii="Times New Roman" w:eastAsia="Times New Roman" w:hAnsi="Times New Roman" w:cs="Times New Roman"/>
                <w:b/>
                <w:color w:val="000000"/>
                <w:sz w:val="20"/>
                <w:szCs w:val="20"/>
              </w:rPr>
              <w:t>2016 год</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Собственные</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84%</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Дотация</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61%</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Иные межбюджетные трансферты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r>
      <w:tr w:rsidR="00153E07" w:rsidRPr="003529A9" w:rsidTr="00153E07">
        <w:trPr>
          <w:trHeight w:val="300"/>
        </w:trPr>
        <w:tc>
          <w:tcPr>
            <w:tcW w:w="683"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Доходы</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60"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c>
          <w:tcPr>
            <w:tcW w:w="357"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w:t>
            </w:r>
          </w:p>
        </w:tc>
      </w:tr>
    </w:tbl>
    <w:p w:rsidR="00153E07" w:rsidRPr="003529A9" w:rsidRDefault="00153E07" w:rsidP="00153E07">
      <w:pPr>
        <w:spacing w:after="160" w:line="259" w:lineRule="auto"/>
        <w:jc w:val="both"/>
        <w:rPr>
          <w:rFonts w:ascii="Times New Roman" w:hAnsi="Times New Roman" w:cs="Times New Roman"/>
          <w:sz w:val="20"/>
          <w:szCs w:val="20"/>
        </w:rPr>
      </w:pPr>
    </w:p>
    <w:p w:rsidR="00153E07" w:rsidRPr="00153E07" w:rsidRDefault="00153E07" w:rsidP="00153E07">
      <w:pPr>
        <w:spacing w:after="0"/>
        <w:ind w:firstLine="709"/>
        <w:jc w:val="both"/>
        <w:rPr>
          <w:rFonts w:ascii="Times New Roman" w:eastAsiaTheme="majorEastAsia" w:hAnsi="Times New Roman" w:cs="Times New Roman"/>
          <w:b/>
          <w:bCs/>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Структурный анализ показал, что по объему доходов бюджетов сельских поселений преобладает Бардымское сельское поселение, доля доходов которого составляет 28% от общего объема по данным 2016 года.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За анализируемый период времени рейтинговые позиции поселений по объему доходов практически не изменялись.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 объем доходов Сарашевского сельского поселения варьировался в интервале от 10% до 16% от общего дохода бюджетов всех поселений. В 2016 году он составил 10%.</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Доходы бюджета Печменского сельского поселения имеют динамику снижения и составляют 8% в 2016г. по сравнению с 11% в 2014 году. Аналогичная ситуация в Новоашапском сельском поселении – наблюдается тенденция сокращения доходов бюджета с 5% до 3-4% от общего объема доходов бюджетов всех поселений Бардымского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Тюндюковском, Березниковском, Елпачихинском, Красноярском, Бичуринском и Федорковском сельских поселениях наоборот наблюдается увеличение доли доходов бюджетов в общей массе, при этом их позиции в рейтинговом анализе не изменяются.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Брюзлинском и Шермейском доходы бюджетов стабильно составляют 4% от общего дохода бюджетов всех поселений. Исключением является увеличение доли доходов бюджета Брюзлинского сельского поселения в 2012 году до 8%.</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6280150" cy="3689498"/>
            <wp:effectExtent l="0" t="0" r="0" b="0"/>
            <wp:docPr id="219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w:t>
      </w:r>
      <w:r w:rsidR="00B86768" w:rsidRPr="00B86768">
        <w:rPr>
          <w:rFonts w:ascii="Times New Roman" w:eastAsia="Times New Roman" w:hAnsi="Times New Roman" w:cs="Times New Roman"/>
          <w:b/>
          <w:sz w:val="28"/>
          <w:szCs w:val="28"/>
        </w:rPr>
        <w:t>2</w:t>
      </w:r>
      <w:r w:rsidRPr="00B86768">
        <w:rPr>
          <w:rFonts w:ascii="Times New Roman" w:eastAsia="Times New Roman" w:hAnsi="Times New Roman" w:cs="Times New Roman"/>
          <w:b/>
          <w:sz w:val="28"/>
          <w:szCs w:val="28"/>
        </w:rPr>
        <w:t>. Структура доходов бюджетов сельских поселений Бардымского муниципального района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структуре доходов бюджетов всех сельских поселений преобладают собственные доходы, которые складываются из налоговых и неналоговых </w:t>
      </w:r>
      <w:r w:rsidRPr="00153E07">
        <w:rPr>
          <w:rFonts w:ascii="Times New Roman" w:eastAsia="Times New Roman" w:hAnsi="Times New Roman" w:cs="Times New Roman"/>
          <w:sz w:val="28"/>
          <w:szCs w:val="28"/>
        </w:rPr>
        <w:lastRenderedPageBreak/>
        <w:t>поступлений. Собственные доходы бюджетов сельских поселений составили в 2016 году 52%, что на 10% ниже, чем в 2014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втором месте по объему доходов бюджета находятся дотации. Доля дотаций в бюджете зависит от целевых задач, предусмотренных программами развития сельских поселений. Наименьшая доля дотаций в бюджетах наблюдается в 2010 г. (28%) и в 2014г. (29%). Наибольший объем дотаций имел место в 2015 г. (43%)</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857875" cy="2733675"/>
            <wp:effectExtent l="19050" t="0" r="0" b="0"/>
            <wp:docPr id="219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53E07" w:rsidRPr="00B86768" w:rsidRDefault="00B86768"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1.73</w:t>
      </w:r>
      <w:r w:rsidR="00153E07" w:rsidRPr="00B86768">
        <w:rPr>
          <w:rFonts w:ascii="Times New Roman" w:eastAsia="Times New Roman" w:hAnsi="Times New Roman" w:cs="Times New Roman"/>
          <w:b/>
          <w:sz w:val="28"/>
          <w:szCs w:val="28"/>
        </w:rPr>
        <w:t>. Структура совокупного дохода бюджетов сельских поселений Бардымского муниципального района по статьям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разрезе сельских поселений структура дохода бюджетов приведена в таблице 1.2</w:t>
      </w:r>
      <w:r w:rsidR="00B86768">
        <w:rPr>
          <w:rFonts w:ascii="Times New Roman" w:eastAsia="Times New Roman" w:hAnsi="Times New Roman" w:cs="Times New Roman"/>
          <w:sz w:val="28"/>
          <w:szCs w:val="28"/>
        </w:rPr>
        <w:t>0</w:t>
      </w:r>
      <w:r w:rsidRPr="00153E07">
        <w:rPr>
          <w:rFonts w:ascii="Times New Roman" w:eastAsia="Times New Roman" w:hAnsi="Times New Roman" w:cs="Times New Roman"/>
          <w:sz w:val="28"/>
          <w:szCs w:val="28"/>
        </w:rPr>
        <w:t xml:space="preserve"> и в Приложении </w:t>
      </w:r>
      <w:r w:rsidR="00E97C6A">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Бюджет обеспечен более, чем на 50% за счет собственных доходов у Бардымского (81%), Печменского (84%)  и Сарашевского (62)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треть доходы бюджета состоят из собственных средств у Березниковского (30%), Бичуринского (36%), Елпачихинского (31%), Красноярского (37%), Тюндюковского (31%) и Федорковского (32%)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Очень низкая доля собственных доходов в бюджете Новоашапского (18%) и Шермейского (22%)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Высокодотационными являются бюджеты Бичуринского (58%), Брюзлинского (48%), Елпачихинского (62%), Красноярского (57%), Новоашапского (55%), Федорковского (61%) и Шермейского (62%) сельских поселений.</w:t>
      </w:r>
    </w:p>
    <w:p w:rsidR="00153E07" w:rsidRPr="00153E07" w:rsidRDefault="00153E07" w:rsidP="00153E07">
      <w:pPr>
        <w:spacing w:after="0"/>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lastRenderedPageBreak/>
        <w:drawing>
          <wp:inline distT="0" distB="0" distL="0" distR="0">
            <wp:extent cx="5686425" cy="3000375"/>
            <wp:effectExtent l="0" t="0" r="0" b="0"/>
            <wp:docPr id="219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53E07" w:rsidRPr="00B86768" w:rsidRDefault="00B86768"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1.74</w:t>
      </w:r>
      <w:r w:rsidR="00153E07" w:rsidRPr="00B86768">
        <w:rPr>
          <w:rFonts w:ascii="Times New Roman" w:eastAsia="Times New Roman" w:hAnsi="Times New Roman" w:cs="Times New Roman"/>
          <w:b/>
          <w:sz w:val="28"/>
          <w:szCs w:val="28"/>
        </w:rPr>
        <w:t>. Динамика совокупного дохода бюджетов сельских поселений Бардымского муниципального района в 2010 – 2016 годах, тыс.руб.</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Динамика доходов бюджетов сельских поселений отражает рост дотаций, сокращение иных межбюджетных трансфертов. Также наблюдается тенденция роста собственных доходов бюджетов, даже при некотором их сокращении в 2015 – 2016</w:t>
      </w:r>
      <w:r w:rsidR="00B8676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гг.</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9790" cy="3895725"/>
            <wp:effectExtent l="19050" t="0" r="3810" b="0"/>
            <wp:docPr id="220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1.7</w:t>
      </w:r>
      <w:r w:rsidR="00B86768" w:rsidRPr="00B86768">
        <w:rPr>
          <w:rFonts w:ascii="Times New Roman" w:eastAsia="Times New Roman" w:hAnsi="Times New Roman" w:cs="Times New Roman"/>
          <w:b/>
          <w:sz w:val="28"/>
          <w:szCs w:val="28"/>
        </w:rPr>
        <w:t>5</w:t>
      </w:r>
      <w:r w:rsidRPr="00B86768">
        <w:rPr>
          <w:rFonts w:ascii="Times New Roman" w:eastAsia="Times New Roman" w:hAnsi="Times New Roman" w:cs="Times New Roman"/>
          <w:b/>
          <w:sz w:val="28"/>
          <w:szCs w:val="28"/>
        </w:rPr>
        <w:t>. Структура объема расходов сельских поселений Бардымского муниципального района в 2010 – 2016 годах,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структуре расходов совокупного бюджета района также преобладают расходы бюджетов Бардымского (27,7%) и Сарашевского (9,2%) сельских поселений. У остальных поселений доля расходов бюджета ниже 9% в общем объеме расходов бюджета района.</w:t>
      </w: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1</w:t>
      </w:r>
    </w:p>
    <w:p w:rsidR="00153E07" w:rsidRPr="003529A9" w:rsidRDefault="00153E07" w:rsidP="006D2568">
      <w:pPr>
        <w:spacing w:after="0" w:line="240" w:lineRule="auto"/>
        <w:ind w:firstLine="709"/>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Дефицит (-)/ профицит (+) бюджетов сельских поселений Бардымского муниципального района в 2010-2016гг., тыс.руб.</w:t>
      </w:r>
    </w:p>
    <w:tbl>
      <w:tblPr>
        <w:tblW w:w="9719" w:type="dxa"/>
        <w:tblInd w:w="93" w:type="dxa"/>
        <w:tblLook w:val="04A0"/>
      </w:tblPr>
      <w:tblGrid>
        <w:gridCol w:w="3322"/>
        <w:gridCol w:w="913"/>
        <w:gridCol w:w="914"/>
        <w:gridCol w:w="914"/>
        <w:gridCol w:w="914"/>
        <w:gridCol w:w="914"/>
        <w:gridCol w:w="914"/>
        <w:gridCol w:w="914"/>
      </w:tblGrid>
      <w:tr w:rsidR="00153E07" w:rsidRPr="00153E07" w:rsidTr="00153E07">
        <w:trPr>
          <w:trHeight w:val="300"/>
        </w:trPr>
        <w:tc>
          <w:tcPr>
            <w:tcW w:w="33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2010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2011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2012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2013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2014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2015 год</w:t>
            </w:r>
          </w:p>
        </w:tc>
        <w:tc>
          <w:tcPr>
            <w:tcW w:w="914" w:type="dxa"/>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2016 год</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2473,5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1067,6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-3033,8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-2019,1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5165,1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-4225,2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38,4</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275,7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410,1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591,1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151,9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673,8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91,9</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430,3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681,1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108,3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973,6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327,5</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129,3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64,8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304,1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-456,2</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280,8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508,9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-419,9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200,6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47,7</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581,2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147,8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751,6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-591,4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-910,8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877,8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1639,7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-1767,4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-208,5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218,8</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-4347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906,7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-296,3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-1501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1913,9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-2221,2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-949,3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-944,5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3476,6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1924,4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3521,9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-1494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776,8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718,7</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544,5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100,6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-119,2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111,1</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-185,3</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1088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-75,1</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624,8</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-686,5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165,7</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r>
      <w:tr w:rsidR="00153E07" w:rsidRPr="00153E07" w:rsidTr="00153E07">
        <w:trPr>
          <w:trHeight w:val="300"/>
        </w:trPr>
        <w:tc>
          <w:tcPr>
            <w:tcW w:w="3322" w:type="dxa"/>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913"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-1122,6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7845,4</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2211,5</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-1879</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5906,6</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-3556,2</w:t>
            </w:r>
          </w:p>
        </w:tc>
        <w:tc>
          <w:tcPr>
            <w:tcW w:w="914" w:type="dxa"/>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263,2</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достаточности бюджетных средств показал, что в 2013-2014 гг. наблюдался бюджетный дефицит в половине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 анализируемый период времени наихудшие показатели были отмечены в Печменском сельском поселении, на протяжении 7 лет только в 2011 и 2014 году был отмечен профицит бюджета. Лучшие показатели бюджетного планирования и администрирования за анализируемый период времени были в Березниковском и Бичуринском сельских поселениях.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Наглядно информация о дефиците / профиците бюджетов в разрезе сельских поселений представлена в Приложении </w:t>
      </w:r>
      <w:r w:rsidR="00E97C6A">
        <w:rPr>
          <w:rFonts w:ascii="Times New Roman" w:eastAsia="Times New Roman" w:hAnsi="Times New Roman" w:cs="Times New Roman"/>
          <w:sz w:val="28"/>
          <w:szCs w:val="28"/>
        </w:rPr>
        <w:t>1</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2</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Недоимки в бюджеты сельских поселений Бардымского муниципального района в 2010-2016</w:t>
      </w:r>
      <w:r w:rsidR="00B86768">
        <w:rPr>
          <w:rFonts w:ascii="Times New Roman" w:eastAsia="Times New Roman" w:hAnsi="Times New Roman" w:cs="Times New Roman"/>
          <w:b/>
          <w:sz w:val="28"/>
          <w:szCs w:val="28"/>
        </w:rPr>
        <w:t xml:space="preserve"> </w:t>
      </w:r>
      <w:r w:rsidRPr="003529A9">
        <w:rPr>
          <w:rFonts w:ascii="Times New Roman" w:eastAsia="Times New Roman" w:hAnsi="Times New Roman" w:cs="Times New Roman"/>
          <w:b/>
          <w:sz w:val="28"/>
          <w:szCs w:val="28"/>
        </w:rPr>
        <w:t>гг.</w:t>
      </w:r>
    </w:p>
    <w:tbl>
      <w:tblPr>
        <w:tblW w:w="5000" w:type="pct"/>
        <w:tblLook w:val="04A0"/>
      </w:tblPr>
      <w:tblGrid>
        <w:gridCol w:w="3504"/>
        <w:gridCol w:w="1011"/>
        <w:gridCol w:w="1011"/>
        <w:gridCol w:w="1011"/>
        <w:gridCol w:w="1011"/>
        <w:gridCol w:w="1011"/>
        <w:gridCol w:w="1011"/>
      </w:tblGrid>
      <w:tr w:rsidR="00153E07" w:rsidRPr="00153E07" w:rsidTr="00153E07">
        <w:trPr>
          <w:trHeight w:val="300"/>
        </w:trPr>
        <w:tc>
          <w:tcPr>
            <w:tcW w:w="1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Сельское поселение</w:t>
            </w:r>
          </w:p>
        </w:tc>
        <w:tc>
          <w:tcPr>
            <w:tcW w:w="650"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2010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2011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2012 год</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2013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2014 год</w:t>
            </w:r>
          </w:p>
        </w:tc>
        <w:tc>
          <w:tcPr>
            <w:tcW w:w="542" w:type="pct"/>
            <w:tcBorders>
              <w:top w:val="single" w:sz="4" w:space="0" w:color="auto"/>
              <w:left w:val="nil"/>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4"/>
                <w:szCs w:val="28"/>
              </w:rPr>
            </w:pPr>
            <w:r w:rsidRPr="00F405EC">
              <w:rPr>
                <w:rFonts w:ascii="Times New Roman" w:eastAsia="Times New Roman" w:hAnsi="Times New Roman" w:cs="Times New Roman"/>
                <w:b/>
                <w:color w:val="000000"/>
                <w:sz w:val="24"/>
                <w:szCs w:val="28"/>
              </w:rPr>
              <w:t>2015 год</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Бардымское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916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857,4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1273,9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1776,1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1949,1</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Березниковское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122,4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188,3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283,3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277,5</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Бичуринское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92,3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162,2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233,6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270,1</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Брюзлинское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45,1</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76,3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119,1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128</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 xml:space="preserve">Елпачихинское сельское </w:t>
            </w:r>
            <w:r w:rsidRPr="00B86768">
              <w:rPr>
                <w:rFonts w:ascii="Times New Roman" w:eastAsia="Times New Roman" w:hAnsi="Times New Roman" w:cs="Times New Roman"/>
                <w:color w:val="000000"/>
                <w:sz w:val="24"/>
                <w:szCs w:val="28"/>
              </w:rPr>
              <w:lastRenderedPageBreak/>
              <w:t>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lastRenderedPageBreak/>
              <w:t>443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145,7</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262,8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436,5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473,6</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lastRenderedPageBreak/>
              <w:t>Красноярское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131,3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231,4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327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390,5</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Новоашапское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38,2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90,9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55,8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67,8</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Печменское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71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97,3</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193,4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223,6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225,6</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Сарашевское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164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197,1</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309,3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502,7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451,2</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Тюндюковское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180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138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222,5</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197,6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273,7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311,7</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Федорковское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88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206,2</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324,2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586,1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339,3</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Шермейское сельское поселение</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25,9</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43,2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61,9</w:t>
            </w:r>
          </w:p>
        </w:tc>
      </w:tr>
      <w:tr w:rsidR="00153E07" w:rsidRPr="00153E07" w:rsidTr="00153E07">
        <w:trPr>
          <w:trHeight w:val="300"/>
        </w:trPr>
        <w:tc>
          <w:tcPr>
            <w:tcW w:w="1617" w:type="pct"/>
            <w:tcBorders>
              <w:top w:val="nil"/>
              <w:left w:val="single" w:sz="4" w:space="0" w:color="auto"/>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Итого</w:t>
            </w:r>
          </w:p>
        </w:tc>
        <w:tc>
          <w:tcPr>
            <w:tcW w:w="650"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2151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693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2181,4</w:t>
            </w:r>
          </w:p>
        </w:tc>
        <w:tc>
          <w:tcPr>
            <w:tcW w:w="567"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3353,5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4866,8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B86768" w:rsidRDefault="00153E07" w:rsidP="006D2568">
            <w:pPr>
              <w:spacing w:after="0" w:line="240" w:lineRule="auto"/>
              <w:jc w:val="both"/>
              <w:rPr>
                <w:rFonts w:ascii="Times New Roman" w:eastAsia="Times New Roman" w:hAnsi="Times New Roman" w:cs="Times New Roman"/>
                <w:color w:val="000000"/>
                <w:sz w:val="24"/>
                <w:szCs w:val="28"/>
              </w:rPr>
            </w:pPr>
            <w:r w:rsidRPr="00B86768">
              <w:rPr>
                <w:rFonts w:ascii="Times New Roman" w:eastAsia="Times New Roman" w:hAnsi="Times New Roman" w:cs="Times New Roman"/>
                <w:color w:val="000000"/>
                <w:sz w:val="24"/>
                <w:szCs w:val="28"/>
              </w:rPr>
              <w:t>4946,3</w:t>
            </w:r>
          </w:p>
        </w:tc>
      </w:tr>
    </w:tbl>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Недоимками в бюджет сельских поселений являются неоплаченные налоговые доходы. Анализируя данные в таблице 1.2</w:t>
      </w:r>
      <w:r w:rsidR="00B86768">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можно сделать вывод, что объем недоимок в бюджеты сельских поселений с каждым годом увеличивается, что позволяет сделать вывод об низкой рентабельности и эффективности деятельности предприятий и предпринимателей района. Наибольший объем недоимок имеет место в бюджете Бардымского сельского поселения.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1.2</w:t>
      </w:r>
      <w:r w:rsidR="00B86768">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 xml:space="preserve"> представлены рейтинги сельских поселений Бардымского муниципального района по показателям бюджетов.</w:t>
      </w:r>
    </w:p>
    <w:p w:rsidR="00153E07" w:rsidRPr="00153E07" w:rsidRDefault="00153E07" w:rsidP="006D2568">
      <w:pPr>
        <w:spacing w:after="0" w:line="240" w:lineRule="auto"/>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1.2</w:t>
      </w:r>
      <w:r w:rsidR="00B86768">
        <w:rPr>
          <w:rFonts w:ascii="Times New Roman" w:eastAsia="Times New Roman" w:hAnsi="Times New Roman" w:cs="Times New Roman"/>
          <w:sz w:val="28"/>
          <w:szCs w:val="28"/>
        </w:rPr>
        <w:t>3</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Рейтинги сельских поселений Бардымского муниципального района по доходам и расходам бюджета в 2016 году</w:t>
      </w:r>
    </w:p>
    <w:tbl>
      <w:tblPr>
        <w:tblW w:w="5167" w:type="pct"/>
        <w:tblLayout w:type="fixed"/>
        <w:tblLook w:val="04A0"/>
      </w:tblPr>
      <w:tblGrid>
        <w:gridCol w:w="1920"/>
        <w:gridCol w:w="1030"/>
        <w:gridCol w:w="1133"/>
        <w:gridCol w:w="1072"/>
        <w:gridCol w:w="1155"/>
        <w:gridCol w:w="1254"/>
        <w:gridCol w:w="1155"/>
        <w:gridCol w:w="1171"/>
      </w:tblGrid>
      <w:tr w:rsidR="00153E07" w:rsidRPr="00153E07" w:rsidTr="00F405EC">
        <w:trPr>
          <w:trHeight w:val="1200"/>
        </w:trPr>
        <w:tc>
          <w:tcPr>
            <w:tcW w:w="970"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520"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573"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Дотации бюджета</w:t>
            </w:r>
          </w:p>
        </w:tc>
        <w:tc>
          <w:tcPr>
            <w:tcW w:w="542"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Иные межбюджетные трансферты</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Все доходы бюджета сельского поселения</w:t>
            </w:r>
          </w:p>
        </w:tc>
        <w:tc>
          <w:tcPr>
            <w:tcW w:w="63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Недоимки</w:t>
            </w:r>
          </w:p>
        </w:tc>
        <w:tc>
          <w:tcPr>
            <w:tcW w:w="58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Расходы бюджета сельского поселения</w:t>
            </w:r>
          </w:p>
        </w:tc>
        <w:tc>
          <w:tcPr>
            <w:tcW w:w="592"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Дефицит / профицит</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lastRenderedPageBreak/>
              <w:t>Тюндюковское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0</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r>
      <w:tr w:rsidR="00153E07" w:rsidRPr="00153E07" w:rsidTr="00F405EC">
        <w:trPr>
          <w:trHeight w:val="300"/>
        </w:trPr>
        <w:tc>
          <w:tcPr>
            <w:tcW w:w="97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520"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7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54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63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58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592"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r>
    </w:tbl>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6D2568" w:rsidP="006D2568">
      <w:pPr>
        <w:spacing w:after="16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53E07" w:rsidRPr="00153E07">
        <w:rPr>
          <w:rFonts w:ascii="Times New Roman" w:eastAsia="Times New Roman" w:hAnsi="Times New Roman" w:cs="Times New Roman"/>
          <w:sz w:val="28"/>
          <w:szCs w:val="28"/>
        </w:rPr>
        <w:t>аблица 1.2</w:t>
      </w:r>
      <w:r w:rsidR="00B86768">
        <w:rPr>
          <w:rFonts w:ascii="Times New Roman" w:eastAsia="Times New Roman" w:hAnsi="Times New Roman" w:cs="Times New Roman"/>
          <w:sz w:val="28"/>
          <w:szCs w:val="28"/>
        </w:rPr>
        <w:t>4</w:t>
      </w:r>
    </w:p>
    <w:p w:rsidR="00153E07" w:rsidRPr="003529A9" w:rsidRDefault="00153E07" w:rsidP="006D2568">
      <w:pPr>
        <w:spacing w:after="0" w:line="240" w:lineRule="auto"/>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Доходы и расходы бюджетов сельских поселений Бардымского муниципального района в расчете на одного жителя, тыс.руб.</w:t>
      </w:r>
    </w:p>
    <w:tbl>
      <w:tblPr>
        <w:tblW w:w="5159" w:type="pct"/>
        <w:tblLayout w:type="fixed"/>
        <w:tblLook w:val="04A0"/>
      </w:tblPr>
      <w:tblGrid>
        <w:gridCol w:w="1808"/>
        <w:gridCol w:w="1270"/>
        <w:gridCol w:w="1272"/>
        <w:gridCol w:w="1432"/>
        <w:gridCol w:w="1556"/>
        <w:gridCol w:w="1272"/>
        <w:gridCol w:w="1264"/>
      </w:tblGrid>
      <w:tr w:rsidR="00153E07" w:rsidRPr="00153E07" w:rsidTr="003529A9">
        <w:trPr>
          <w:trHeight w:val="1200"/>
        </w:trPr>
        <w:tc>
          <w:tcPr>
            <w:tcW w:w="91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Сельское поселение</w:t>
            </w:r>
          </w:p>
        </w:tc>
        <w:tc>
          <w:tcPr>
            <w:tcW w:w="643"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Доходы бюджета в 2016 году, тыс.руб.</w:t>
            </w:r>
          </w:p>
        </w:tc>
        <w:tc>
          <w:tcPr>
            <w:tcW w:w="64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Расходы бюджета в 2016 году, тыс.руб.</w:t>
            </w:r>
          </w:p>
        </w:tc>
        <w:tc>
          <w:tcPr>
            <w:tcW w:w="725"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Дефицит (-) / профицит (+) бюджета, тыс. руб.</w:t>
            </w:r>
          </w:p>
        </w:tc>
        <w:tc>
          <w:tcPr>
            <w:tcW w:w="788"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Численность населения, чел.</w:t>
            </w:r>
          </w:p>
        </w:tc>
        <w:tc>
          <w:tcPr>
            <w:tcW w:w="644"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Доходы бюджета в расчете на 1 жителя, тыс.руб.</w:t>
            </w:r>
          </w:p>
        </w:tc>
        <w:tc>
          <w:tcPr>
            <w:tcW w:w="641" w:type="pct"/>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6D2568">
            <w:pPr>
              <w:spacing w:after="0" w:line="240" w:lineRule="auto"/>
              <w:jc w:val="both"/>
              <w:rPr>
                <w:rFonts w:ascii="Times New Roman" w:eastAsia="Times New Roman" w:hAnsi="Times New Roman" w:cs="Times New Roman"/>
                <w:b/>
                <w:color w:val="000000"/>
              </w:rPr>
            </w:pPr>
            <w:r w:rsidRPr="00F405EC">
              <w:rPr>
                <w:rFonts w:ascii="Times New Roman" w:eastAsia="Times New Roman" w:hAnsi="Times New Roman" w:cs="Times New Roman"/>
                <w:b/>
                <w:color w:val="000000"/>
              </w:rPr>
              <w:t>Расходы бюджета в расчете на 1 жителя, тыс.руб.</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Новоашапское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4451,1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4232,3</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218,8</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422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10,548</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10,029</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Шермейское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4573,1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4569,8</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479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9,547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9,540</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Тюндюковское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9126,7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9015,6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111,1</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1312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6,956</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6,872</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Березниковское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8892,5</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8800,6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91,9</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1364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6,519</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6,452</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Брюзлинское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4992,4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5448,6</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-456,2</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792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6,304</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6,880</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Печменское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9230,7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10180</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-949,3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1607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5,744</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6,335</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Федорковское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6331,2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6264,9</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66,3</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1184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5,347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5,291</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Бичуринское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8023,2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7695,7</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327,5</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1652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4,857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4,658</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Сарашевское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11508,1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10789,4</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718,7</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2487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4,627</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4,338</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Елпачихинское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8716,2</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8668,5</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47,7</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1916</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4,549</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4,524</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Красноярское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8714,4</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8669,4</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45</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2249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3,875</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3,855</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Бардымское сельское поселение</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32360,9</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32322,5</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38,4</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9827</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3,293</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3,289</w:t>
            </w:r>
          </w:p>
        </w:tc>
      </w:tr>
      <w:tr w:rsidR="00153E07" w:rsidRPr="00153E07" w:rsidTr="003529A9">
        <w:trPr>
          <w:trHeight w:val="300"/>
        </w:trPr>
        <w:tc>
          <w:tcPr>
            <w:tcW w:w="916"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Итого</w:t>
            </w:r>
          </w:p>
        </w:tc>
        <w:tc>
          <w:tcPr>
            <w:tcW w:w="643"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116920,5</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116657,3</w:t>
            </w:r>
          </w:p>
        </w:tc>
        <w:tc>
          <w:tcPr>
            <w:tcW w:w="725"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263,2</w:t>
            </w:r>
          </w:p>
        </w:tc>
        <w:tc>
          <w:tcPr>
            <w:tcW w:w="788"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25291</w:t>
            </w:r>
          </w:p>
        </w:tc>
        <w:tc>
          <w:tcPr>
            <w:tcW w:w="644"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4,623</w:t>
            </w:r>
          </w:p>
        </w:tc>
        <w:tc>
          <w:tcPr>
            <w:tcW w:w="641" w:type="pct"/>
            <w:tcBorders>
              <w:top w:val="nil"/>
              <w:left w:val="nil"/>
              <w:bottom w:val="single" w:sz="4" w:space="0" w:color="auto"/>
              <w:right w:val="single" w:sz="4" w:space="0" w:color="auto"/>
            </w:tcBorders>
            <w:shd w:val="clear" w:color="auto" w:fill="auto"/>
            <w:noWrap/>
            <w:vAlign w:val="bottom"/>
            <w:hideMark/>
          </w:tcPr>
          <w:p w:rsidR="00153E07" w:rsidRPr="003529A9" w:rsidRDefault="00153E07" w:rsidP="006D2568">
            <w:pPr>
              <w:spacing w:after="0" w:line="240" w:lineRule="auto"/>
              <w:jc w:val="both"/>
              <w:rPr>
                <w:rFonts w:ascii="Times New Roman" w:eastAsia="Times New Roman" w:hAnsi="Times New Roman" w:cs="Times New Roman"/>
                <w:color w:val="000000"/>
              </w:rPr>
            </w:pPr>
            <w:r w:rsidRPr="003529A9">
              <w:rPr>
                <w:rFonts w:ascii="Times New Roman" w:eastAsia="Times New Roman" w:hAnsi="Times New Roman" w:cs="Times New Roman"/>
                <w:color w:val="000000"/>
              </w:rPr>
              <w:t>4,613</w:t>
            </w:r>
          </w:p>
        </w:tc>
      </w:tr>
    </w:tbl>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Анализ удельного объема доходов и расходов бюджета в расчете на одного жителя показал, что наилучший показатели наблюдаются в Новоашапском сельском поселении, наименьшие - в Бардымском и Красноярском сельских поселениях.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Наглядно доходы и расходы бюджетов сельских поселений в расчете на одного жителя представлены на рисунке 1.80.</w:t>
      </w:r>
    </w:p>
    <w:p w:rsidR="00153E07" w:rsidRPr="00153E07" w:rsidRDefault="00153E07" w:rsidP="00153E07">
      <w:pPr>
        <w:spacing w:after="0"/>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939790" cy="4124325"/>
            <wp:effectExtent l="19050" t="0" r="3810" b="0"/>
            <wp:docPr id="220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53E07" w:rsidRPr="00B86768" w:rsidRDefault="00153E07" w:rsidP="006D2568">
      <w:pPr>
        <w:spacing w:after="0" w:line="240" w:lineRule="auto"/>
        <w:jc w:val="both"/>
        <w:rPr>
          <w:rFonts w:ascii="Times New Roman" w:eastAsia="Times New Roman" w:hAnsi="Times New Roman" w:cs="Times New Roman"/>
          <w:b/>
          <w:sz w:val="28"/>
          <w:szCs w:val="28"/>
        </w:rPr>
      </w:pPr>
      <w:r w:rsidRPr="00B86768">
        <w:rPr>
          <w:rFonts w:ascii="Times New Roman" w:eastAsia="Times New Roman" w:hAnsi="Times New Roman" w:cs="Times New Roman"/>
          <w:b/>
          <w:sz w:val="28"/>
          <w:szCs w:val="28"/>
        </w:rPr>
        <w:t>Рисунок 1.</w:t>
      </w:r>
      <w:r w:rsidR="00B86768" w:rsidRPr="00B86768">
        <w:rPr>
          <w:rFonts w:ascii="Times New Roman" w:eastAsia="Times New Roman" w:hAnsi="Times New Roman" w:cs="Times New Roman"/>
          <w:b/>
          <w:sz w:val="28"/>
          <w:szCs w:val="28"/>
        </w:rPr>
        <w:t>76</w:t>
      </w:r>
      <w:r w:rsidRPr="00B86768">
        <w:rPr>
          <w:rFonts w:ascii="Times New Roman" w:eastAsia="Times New Roman" w:hAnsi="Times New Roman" w:cs="Times New Roman"/>
          <w:b/>
          <w:sz w:val="28"/>
          <w:szCs w:val="28"/>
        </w:rPr>
        <w:t>. Доходы и расходы бюджетов сельских поселений Бардымского муниципального района в расчете на одного жителя, тыс.руб.</w:t>
      </w:r>
    </w:p>
    <w:p w:rsidR="00153E07" w:rsidRPr="00153E07" w:rsidRDefault="00153E07" w:rsidP="006D2568">
      <w:pPr>
        <w:spacing w:after="0" w:line="240" w:lineRule="auto"/>
        <w:jc w:val="both"/>
        <w:rPr>
          <w:rFonts w:ascii="Times New Roman" w:eastAsia="Times New Roman" w:hAnsi="Times New Roman" w:cs="Times New Roman"/>
          <w:sz w:val="28"/>
          <w:szCs w:val="28"/>
        </w:rPr>
      </w:pP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1.2</w:t>
      </w:r>
      <w:r w:rsidR="00127DAF">
        <w:rPr>
          <w:rFonts w:ascii="Times New Roman" w:eastAsia="Times New Roman" w:hAnsi="Times New Roman" w:cs="Times New Roman"/>
          <w:sz w:val="28"/>
          <w:szCs w:val="28"/>
        </w:rPr>
        <w:t>5</w:t>
      </w:r>
      <w:r w:rsidRPr="00153E07">
        <w:rPr>
          <w:rFonts w:ascii="Times New Roman" w:eastAsia="Times New Roman" w:hAnsi="Times New Roman" w:cs="Times New Roman"/>
          <w:sz w:val="28"/>
          <w:szCs w:val="28"/>
        </w:rPr>
        <w:t xml:space="preserve"> представлена информация о планируемых доходах бюджетов сельских поселений, скорректированных по объему собственных средств за счет взыскания недоимки.</w:t>
      </w: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jc w:val="both"/>
        <w:rPr>
          <w:rFonts w:ascii="Times New Roman" w:eastAsia="Times New Roman" w:hAnsi="Times New Roman" w:cs="Times New Roman"/>
          <w:sz w:val="28"/>
          <w:szCs w:val="28"/>
        </w:rPr>
        <w:sectPr w:rsidR="00153E07" w:rsidRPr="00153E07" w:rsidSect="00153E07">
          <w:pgSz w:w="11906" w:h="16838"/>
          <w:pgMar w:top="1134" w:right="851" w:bottom="1134" w:left="1701" w:header="709" w:footer="709" w:gutter="0"/>
          <w:cols w:space="708"/>
          <w:docGrid w:linePitch="360"/>
        </w:sectPr>
      </w:pPr>
    </w:p>
    <w:p w:rsidR="00153E07" w:rsidRPr="00153E07" w:rsidRDefault="00153E07" w:rsidP="003529A9">
      <w:pPr>
        <w:spacing w:after="0"/>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5</w:t>
      </w:r>
    </w:p>
    <w:p w:rsidR="00153E07" w:rsidRPr="003529A9" w:rsidRDefault="00153E07" w:rsidP="003529A9">
      <w:pPr>
        <w:spacing w:after="0"/>
        <w:jc w:val="center"/>
        <w:rPr>
          <w:rFonts w:ascii="Times New Roman" w:eastAsia="Times New Roman" w:hAnsi="Times New Roman" w:cs="Times New Roman"/>
          <w:b/>
          <w:sz w:val="28"/>
          <w:szCs w:val="28"/>
        </w:rPr>
      </w:pPr>
      <w:r w:rsidRPr="003529A9">
        <w:rPr>
          <w:rFonts w:ascii="Times New Roman" w:eastAsia="Times New Roman" w:hAnsi="Times New Roman" w:cs="Times New Roman"/>
          <w:b/>
          <w:sz w:val="28"/>
          <w:szCs w:val="28"/>
        </w:rPr>
        <w:t>Доля собственных доходов бюджета и собственных доходов с учетом недоимки от всех доходов бюджета</w:t>
      </w:r>
    </w:p>
    <w:tbl>
      <w:tblPr>
        <w:tblW w:w="5000" w:type="pct"/>
        <w:tblLook w:val="04A0"/>
      </w:tblPr>
      <w:tblGrid>
        <w:gridCol w:w="3696"/>
        <w:gridCol w:w="922"/>
        <w:gridCol w:w="925"/>
        <w:gridCol w:w="922"/>
        <w:gridCol w:w="925"/>
        <w:gridCol w:w="923"/>
        <w:gridCol w:w="929"/>
        <w:gridCol w:w="923"/>
        <w:gridCol w:w="926"/>
        <w:gridCol w:w="923"/>
        <w:gridCol w:w="926"/>
        <w:gridCol w:w="923"/>
        <w:gridCol w:w="923"/>
      </w:tblGrid>
      <w:tr w:rsidR="00153E07" w:rsidRPr="00153E07" w:rsidTr="00153E07">
        <w:trPr>
          <w:trHeight w:val="300"/>
        </w:trPr>
        <w:tc>
          <w:tcPr>
            <w:tcW w:w="125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Сельское поселение</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2010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2011 год</w:t>
            </w:r>
          </w:p>
        </w:tc>
        <w:tc>
          <w:tcPr>
            <w:tcW w:w="626"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2012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2013 год</w:t>
            </w:r>
          </w:p>
        </w:tc>
        <w:tc>
          <w:tcPr>
            <w:tcW w:w="625"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2014 год</w:t>
            </w:r>
          </w:p>
        </w:tc>
        <w:tc>
          <w:tcPr>
            <w:tcW w:w="624" w:type="pct"/>
            <w:gridSpan w:val="2"/>
            <w:tcBorders>
              <w:top w:val="single" w:sz="4" w:space="0" w:color="auto"/>
              <w:left w:val="nil"/>
              <w:bottom w:val="single" w:sz="4" w:space="0" w:color="auto"/>
              <w:right w:val="single" w:sz="4" w:space="0" w:color="auto"/>
            </w:tcBorders>
            <w:shd w:val="clear" w:color="auto" w:fill="auto"/>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2015 год</w:t>
            </w:r>
          </w:p>
        </w:tc>
      </w:tr>
      <w:tr w:rsidR="00153E07" w:rsidRPr="00153E07" w:rsidTr="003529A9">
        <w:trPr>
          <w:trHeight w:val="3057"/>
        </w:trPr>
        <w:tc>
          <w:tcPr>
            <w:tcW w:w="1250"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4"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3"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Собственные доходы бюджета с/п</w:t>
            </w:r>
          </w:p>
        </w:tc>
        <w:tc>
          <w:tcPr>
            <w:tcW w:w="312" w:type="pct"/>
            <w:tcBorders>
              <w:top w:val="nil"/>
              <w:left w:val="nil"/>
              <w:bottom w:val="single" w:sz="4" w:space="0" w:color="auto"/>
              <w:right w:val="single" w:sz="4" w:space="0" w:color="auto"/>
            </w:tcBorders>
            <w:shd w:val="clear" w:color="auto" w:fill="auto"/>
            <w:textDirection w:val="btLr"/>
            <w:vAlign w:val="bottom"/>
            <w:hideMark/>
          </w:tcPr>
          <w:p w:rsidR="003529A9"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 xml:space="preserve">Собственные доходы бюджета с/п </w:t>
            </w:r>
          </w:p>
          <w:p w:rsidR="00153E07" w:rsidRPr="00F405EC" w:rsidRDefault="00153E07" w:rsidP="00153E07">
            <w:pPr>
              <w:spacing w:after="0" w:line="240" w:lineRule="auto"/>
              <w:jc w:val="both"/>
              <w:rPr>
                <w:rFonts w:ascii="Times New Roman" w:eastAsia="Times New Roman" w:hAnsi="Times New Roman" w:cs="Times New Roman"/>
                <w:b/>
                <w:color w:val="000000"/>
                <w:sz w:val="20"/>
                <w:szCs w:val="20"/>
              </w:rPr>
            </w:pPr>
            <w:r w:rsidRPr="00F405EC">
              <w:rPr>
                <w:rFonts w:ascii="Times New Roman" w:eastAsia="Times New Roman" w:hAnsi="Times New Roman" w:cs="Times New Roman"/>
                <w:b/>
                <w:color w:val="000000"/>
                <w:sz w:val="20"/>
                <w:szCs w:val="20"/>
              </w:rPr>
              <w:t>с учетом недоимки</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Бардымское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Березниковское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16%</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Бичуринское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Брюзлинское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23%</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Елпачихинское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36%</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Красноярское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Новоашапское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Печменское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93%</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Сарашевское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75%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83%</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Тюндюковское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15%</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33%</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28%</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Федорковское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14%</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32%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42%</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24%</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noWrap/>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Шермейское сельское поселение</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9%</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10%</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25%</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26%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17%</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19%</w:t>
            </w:r>
          </w:p>
        </w:tc>
      </w:tr>
      <w:tr w:rsidR="00153E07" w:rsidRPr="00153E07" w:rsidTr="00153E07">
        <w:trPr>
          <w:trHeight w:val="300"/>
        </w:trPr>
        <w:tc>
          <w:tcPr>
            <w:tcW w:w="1250" w:type="pct"/>
            <w:tcBorders>
              <w:top w:val="nil"/>
              <w:left w:val="single" w:sz="4" w:space="0" w:color="auto"/>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Итого</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48%</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44%</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40%</w:t>
            </w:r>
          </w:p>
        </w:tc>
        <w:tc>
          <w:tcPr>
            <w:tcW w:w="314"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41%</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62%</w:t>
            </w:r>
          </w:p>
        </w:tc>
        <w:tc>
          <w:tcPr>
            <w:tcW w:w="313"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66%</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50%</w:t>
            </w:r>
          </w:p>
        </w:tc>
        <w:tc>
          <w:tcPr>
            <w:tcW w:w="312" w:type="pct"/>
            <w:tcBorders>
              <w:top w:val="nil"/>
              <w:left w:val="nil"/>
              <w:bottom w:val="single" w:sz="4" w:space="0" w:color="auto"/>
              <w:right w:val="single" w:sz="4" w:space="0" w:color="auto"/>
            </w:tcBorders>
            <w:shd w:val="clear" w:color="auto" w:fill="auto"/>
            <w:vAlign w:val="bottom"/>
            <w:hideMark/>
          </w:tcPr>
          <w:p w:rsidR="00153E07" w:rsidRPr="003529A9" w:rsidRDefault="00153E07" w:rsidP="00153E07">
            <w:pPr>
              <w:spacing w:after="0" w:line="240" w:lineRule="auto"/>
              <w:jc w:val="both"/>
              <w:rPr>
                <w:rFonts w:ascii="Times New Roman" w:eastAsia="Times New Roman" w:hAnsi="Times New Roman" w:cs="Times New Roman"/>
                <w:color w:val="000000"/>
                <w:sz w:val="20"/>
                <w:szCs w:val="20"/>
              </w:rPr>
            </w:pPr>
            <w:r w:rsidRPr="003529A9">
              <w:rPr>
                <w:rFonts w:ascii="Times New Roman" w:eastAsia="Times New Roman" w:hAnsi="Times New Roman" w:cs="Times New Roman"/>
                <w:color w:val="000000"/>
                <w:sz w:val="20"/>
                <w:szCs w:val="20"/>
              </w:rPr>
              <w:t>55%</w:t>
            </w:r>
          </w:p>
        </w:tc>
      </w:tr>
    </w:tbl>
    <w:p w:rsidR="00153E07" w:rsidRPr="00153E07" w:rsidRDefault="00153E07" w:rsidP="00153E07">
      <w:pPr>
        <w:spacing w:after="0"/>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0"/>
        <w:ind w:firstLine="709"/>
        <w:jc w:val="both"/>
        <w:rPr>
          <w:rFonts w:ascii="Times New Roman" w:eastAsiaTheme="majorEastAsia" w:hAnsi="Times New Roman" w:cs="Times New Roman"/>
          <w:b/>
          <w:bCs/>
          <w:sz w:val="28"/>
          <w:szCs w:val="28"/>
        </w:rPr>
        <w:sectPr w:rsidR="00153E07" w:rsidRPr="00153E07" w:rsidSect="00153E07">
          <w:pgSz w:w="16838" w:h="11906" w:orient="landscape"/>
          <w:pgMar w:top="1701" w:right="1134" w:bottom="851" w:left="1134" w:header="709" w:footer="709" w:gutter="0"/>
          <w:cols w:space="708"/>
          <w:docGrid w:linePitch="360"/>
        </w:sectPr>
      </w:pPr>
    </w:p>
    <w:p w:rsidR="00153E07" w:rsidRDefault="00153E07" w:rsidP="006D2568">
      <w:pPr>
        <w:spacing w:after="0" w:line="240" w:lineRule="auto"/>
        <w:ind w:firstLine="709"/>
        <w:jc w:val="both"/>
        <w:rPr>
          <w:rFonts w:ascii="Times New Roman" w:eastAsiaTheme="majorEastAsia" w:hAnsi="Times New Roman" w:cs="Times New Roman"/>
          <w:b/>
          <w:bCs/>
          <w:sz w:val="28"/>
          <w:szCs w:val="28"/>
        </w:rPr>
      </w:pPr>
      <w:r w:rsidRPr="00E3313E">
        <w:rPr>
          <w:rFonts w:ascii="Times New Roman" w:eastAsiaTheme="majorEastAsia" w:hAnsi="Times New Roman" w:cs="Times New Roman"/>
          <w:b/>
          <w:bCs/>
          <w:sz w:val="28"/>
          <w:szCs w:val="28"/>
        </w:rPr>
        <w:lastRenderedPageBreak/>
        <w:t>1.2.17 Историко-культурные и туристские ресурсы</w:t>
      </w:r>
    </w:p>
    <w:p w:rsidR="00127DAF" w:rsidRPr="00E3313E" w:rsidRDefault="00127DAF" w:rsidP="006D2568">
      <w:pPr>
        <w:spacing w:after="0" w:line="240" w:lineRule="auto"/>
        <w:ind w:firstLine="709"/>
        <w:jc w:val="both"/>
        <w:rPr>
          <w:rFonts w:ascii="Times New Roman" w:eastAsiaTheme="majorEastAsia" w:hAnsi="Times New Roman" w:cs="Times New Roman"/>
          <w:b/>
          <w:bCs/>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Бардымский муниципальный район обладает богатым историко-культурным потенциалом, который в настоящее время не используется в полном объеме.</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На территории муниципального района было выявлено 64 археологических объекта: древние захоронения, плиточные могильники, древние стоянки и поселения разных эпох (древнейшие относятся к II-III век до нашей эры).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Большая часть археологических памятников общей площадью 1 380 100 кв. м. в основном сосредоточены по берегам реки Тулва (в районе с.н.п. Барда, Краснояр, Султанай, Сараши и т.д.).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Особую ценность представляют государственные памятники истории Пермской области местного значения: Могила хазрата Мансурова - депутата Государственной думы, Здание, где Ш. Сунгалаевым была создана русско-татарская школа; государственные памятники градостроительства и архитектуры Пермской области местного значения: Больница земская, Главный корпус, Амбулатория, Дом врача, Мечеть (из д. Старый Чад), Правление волостное, Школа земская.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Богатство природными ресурсами определяется природно-климатическими условиями, наличием живописных ландшафтов, водных объектов, ботанических памятников природы регионального значения, а именно: Дубовая гора –  Сарашевская дубрава, Сарашевский сосново-дубовый лес, Бардымская вишневая гора, Красноярская гора, Куземьяровский орешник, Кленовая гора, зарезервированные земли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Сарашевские дубравы</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Тулвинский биологический охотничий заказник регионального значения.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Бардымский район располагает комплексом факторов, способных выступить основой развития внутреннего и въездного туризма.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Синергетический эффект создают следующие особенности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природно-климатические условия;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памятники истории, археологии и культуры (Бардымская соборная мечеть, церковь в с. Печмень, склеп-мавзолей XIX века в д. Танып, Кудашевский могильник памятник эпохи Великого переселения народов Прикамья IV-V век нашей эры (д. Кудаш)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 учреждения культуры (Бардымский районный краеведческий музей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туристская инфраструктура (Санаторий-профилакторий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Колос</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учреждения питания, спортивные учреждения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горнолыжный комплекс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Ашатли</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включающий в себя: кафе, гостиницу, гостевые домики, баня, сауна, и предлагающий услуги: конные прогулки, катамаран, горные лыжи, сноуборд, коньки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 - ежегодное проведение национальных праздников: </w:t>
      </w:r>
      <w:r w:rsidR="00DE2D0E">
        <w:rPr>
          <w:rFonts w:ascii="Times New Roman" w:eastAsia="Times New Roman" w:hAnsi="Times New Roman" w:cs="Times New Roman"/>
          <w:sz w:val="28"/>
          <w:szCs w:val="28"/>
        </w:rPr>
        <w:t>С</w:t>
      </w:r>
      <w:r w:rsidRPr="00E3313E">
        <w:rPr>
          <w:rFonts w:ascii="Times New Roman" w:eastAsia="Times New Roman" w:hAnsi="Times New Roman" w:cs="Times New Roman"/>
          <w:sz w:val="28"/>
          <w:szCs w:val="28"/>
        </w:rPr>
        <w:t xml:space="preserve">абантуй,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Барда-зиен</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Рекреационные особенности муниципального района создают предпосылки для создания и развитий культурно-исторического, событийного, спортивного, молодежного туризма, помимо этого позволяют сформировать базу для </w:t>
      </w:r>
      <w:r w:rsidRPr="00E3313E">
        <w:rPr>
          <w:rFonts w:ascii="Times New Roman" w:eastAsia="Times New Roman" w:hAnsi="Times New Roman" w:cs="Times New Roman"/>
          <w:sz w:val="28"/>
          <w:szCs w:val="28"/>
        </w:rPr>
        <w:lastRenderedPageBreak/>
        <w:t>проведения муниципальных мероприятий для популяризации среди населения района здорового образа жизни, спорта, экологического воспитания и т.д.</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 текущий период времени сдерживающими факторами развития культурных и исторических потенциалов района выступают:</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отсутствие целевых программ по развитию внутреннего и въездного туризма,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недостаточное развитие туристской инфраструктуры,</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отсутствие единой стратегии развития туризма на территории Бардымского муниципального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недостаточное количество подготовленных кадров в сфере туристской индустрии.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6D2568">
      <w:pPr>
        <w:pStyle w:val="1"/>
        <w:numPr>
          <w:ilvl w:val="1"/>
          <w:numId w:val="17"/>
        </w:numPr>
        <w:spacing w:line="240" w:lineRule="auto"/>
      </w:pPr>
      <w:r w:rsidRPr="00E3313E">
        <w:t>Роль и место Бардымского муниципального района в региональной экономике</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муниципальный район по основным экономическим показателям занимает 11-15 место среди </w:t>
      </w:r>
      <w:r w:rsidR="00127DAF">
        <w:rPr>
          <w:rFonts w:ascii="Times New Roman" w:eastAsia="Times New Roman" w:hAnsi="Times New Roman" w:cs="Times New Roman"/>
          <w:sz w:val="28"/>
          <w:szCs w:val="28"/>
        </w:rPr>
        <w:t>43</w:t>
      </w:r>
      <w:r w:rsidRPr="00E3313E">
        <w:rPr>
          <w:rFonts w:ascii="Times New Roman" w:eastAsia="Times New Roman" w:hAnsi="Times New Roman" w:cs="Times New Roman"/>
          <w:sz w:val="28"/>
          <w:szCs w:val="28"/>
        </w:rPr>
        <w:t xml:space="preserve"> муниципальных районов Пермского края.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Район имеет сельскохозяйственную специализацию, что предопределяет основные тенденции в экономике района.</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Так, по объему отгрузки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Бардымский муниципальный район занял 15 место среди других районов Пермского края, или 2% от общего объема данной продукции по всему субъекту РФ. В 2015 году данный показатель составил 10252 млн. руб., 2016 г. – 10388,5 млн. руб., при этом общая доля в разрезе всего края не изменилась.</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Наибольший объем отгруженных товаров собственного производства, выполненных работ и услуг собственными силами (без субъектов малого предпринимательства) был отмечен в Чайковском муниципальном районе (2015 год – 84160 млн. руб., 2016 г.  – 86776,8 млн. руб., или 20% от объема всего Пермского края). В тройку лидеров также вошли Куединский (2015 год – 39827 млн. руб.., 2016 г. – 38199,5 млн. руб., или 9% от объема данной продукции по всему Пермскому краю) и Добрянский районы (2015 год – 38529,4 млн. руб., 2016 г. – 36643,3 млн. руб., или 9% от объема данной продукции по всему Пермскому краю). Наименьшие показатели были отмечены в Березовском, Большесосновском, Кишертском, Оханском, Сивинском и Чердынском муниципальных районах.</w:t>
      </w:r>
    </w:p>
    <w:p w:rsidR="00E3313E" w:rsidRDefault="00E3313E"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E21B77" w:rsidRDefault="00E21B77" w:rsidP="006D2568">
      <w:pPr>
        <w:spacing w:after="0" w:line="240" w:lineRule="auto"/>
        <w:ind w:firstLine="709"/>
        <w:jc w:val="right"/>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6</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Отгрузка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(до 2017 года), млн. рублей</w:t>
      </w:r>
    </w:p>
    <w:tbl>
      <w:tblPr>
        <w:tblW w:w="5000" w:type="pct"/>
        <w:tblLook w:val="04A0"/>
      </w:tblPr>
      <w:tblGrid>
        <w:gridCol w:w="4777"/>
        <w:gridCol w:w="1924"/>
        <w:gridCol w:w="963"/>
        <w:gridCol w:w="1650"/>
        <w:gridCol w:w="823"/>
      </w:tblGrid>
      <w:tr w:rsidR="00153E07" w:rsidRPr="00E3313E" w:rsidTr="00153E07">
        <w:trPr>
          <w:trHeight w:val="315"/>
        </w:trPr>
        <w:tc>
          <w:tcPr>
            <w:tcW w:w="23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E21B77">
            <w:pPr>
              <w:spacing w:after="0" w:line="240" w:lineRule="auto"/>
              <w:jc w:val="center"/>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Муниципальный район</w:t>
            </w:r>
          </w:p>
        </w:tc>
        <w:tc>
          <w:tcPr>
            <w:tcW w:w="1424"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2015</w:t>
            </w:r>
          </w:p>
        </w:tc>
        <w:tc>
          <w:tcPr>
            <w:tcW w:w="1220"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2016</w:t>
            </w:r>
          </w:p>
        </w:tc>
      </w:tr>
      <w:tr w:rsidR="00153E07" w:rsidRPr="00E3313E" w:rsidTr="00153E07">
        <w:trPr>
          <w:trHeight w:val="630"/>
        </w:trPr>
        <w:tc>
          <w:tcPr>
            <w:tcW w:w="2356"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p>
        </w:tc>
        <w:tc>
          <w:tcPr>
            <w:tcW w:w="949"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млн. руб.</w:t>
            </w:r>
          </w:p>
        </w:tc>
        <w:tc>
          <w:tcPr>
            <w:tcW w:w="47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w:t>
            </w:r>
          </w:p>
        </w:tc>
        <w:tc>
          <w:tcPr>
            <w:tcW w:w="814"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млн. руб.</w:t>
            </w:r>
          </w:p>
        </w:tc>
        <w:tc>
          <w:tcPr>
            <w:tcW w:w="407"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6D2568">
            <w:pPr>
              <w:spacing w:after="0" w:line="240" w:lineRule="auto"/>
              <w:jc w:val="both"/>
              <w:rPr>
                <w:rFonts w:ascii="Times New Roman" w:eastAsia="Times New Roman" w:hAnsi="Times New Roman" w:cs="Times New Roman"/>
                <w:b/>
                <w:bCs/>
                <w:color w:val="000000"/>
                <w:sz w:val="24"/>
                <w:szCs w:val="24"/>
              </w:rPr>
            </w:pPr>
            <w:r w:rsidRPr="00F405EC">
              <w:rPr>
                <w:rFonts w:ascii="Times New Roman" w:eastAsia="Times New Roman" w:hAnsi="Times New Roman" w:cs="Times New Roman"/>
                <w:b/>
                <w:bCs/>
                <w:color w:val="000000"/>
                <w:sz w:val="24"/>
                <w:szCs w:val="24"/>
              </w:rPr>
              <w:t>%</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Бардымский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10252,02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10388,5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E97C6A" w:rsidP="006D2568">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Бардымс</w:t>
            </w:r>
            <w:r w:rsidR="00153E07" w:rsidRPr="00E3313E">
              <w:rPr>
                <w:rFonts w:ascii="Times New Roman" w:eastAsia="Times New Roman" w:hAnsi="Times New Roman" w:cs="Times New Roman"/>
                <w:color w:val="000000"/>
                <w:sz w:val="24"/>
                <w:szCs w:val="24"/>
              </w:rPr>
              <w:t xml:space="preserve">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10548,95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10713,1</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Березовский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448,48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609,15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Большесосновский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200,5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167,45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Верещагинский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4468,56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4787,99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Горнозаводский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6997,18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8044,77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Гремячинский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635,86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529,18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Добрянский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38529,37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36643,3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Еловский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1206,3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1143,29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Ильинский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1229,95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1149,53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Карагайский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1133,68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1355,56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Кизеловский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1208,64</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735,63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Кишертский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356,38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495,88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Красновишерский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9899,35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9017,14</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Краснокамский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19938,19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20584,5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Куединский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39827,04</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38199,5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Кунгурский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8943,29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8757,66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Нытвенский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12273,83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13378,8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Октябрьский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17590,06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17398,4</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Ординский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6119,6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6732,82</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Осинский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15796,29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15794,8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Оханский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534,38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471,76</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Очерский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1816,65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1784,68</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Пермский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16903,02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23144,5</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Сивинский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580,72</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513,13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Соликамский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10004,09</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10777,3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Суксунский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1877,8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2068,63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Уинский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7115,56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8252,49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Усольский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41392,16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37810</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Чайковский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84160,05</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86776,7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Частинский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11995,97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12361,3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3%</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Чердынский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261,33</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224,69</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0%</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Чернушинский</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27098</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6%</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27875,1</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7%</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 xml:space="preserve">Чусовской </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8893,46</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9019,83</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2%</w:t>
            </w:r>
          </w:p>
        </w:tc>
      </w:tr>
      <w:tr w:rsidR="00153E07" w:rsidRPr="00E3313E" w:rsidTr="00153E07">
        <w:trPr>
          <w:trHeight w:val="315"/>
        </w:trPr>
        <w:tc>
          <w:tcPr>
            <w:tcW w:w="2356"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Итого</w:t>
            </w:r>
          </w:p>
        </w:tc>
        <w:tc>
          <w:tcPr>
            <w:tcW w:w="949"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420236,7</w:t>
            </w:r>
          </w:p>
        </w:tc>
        <w:tc>
          <w:tcPr>
            <w:tcW w:w="47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w:t>
            </w:r>
          </w:p>
        </w:tc>
        <w:tc>
          <w:tcPr>
            <w:tcW w:w="814"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427707</w:t>
            </w:r>
          </w:p>
        </w:tc>
        <w:tc>
          <w:tcPr>
            <w:tcW w:w="407"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4"/>
              </w:rPr>
            </w:pPr>
            <w:r w:rsidRPr="00E3313E">
              <w:rPr>
                <w:rFonts w:ascii="Times New Roman" w:eastAsia="Times New Roman" w:hAnsi="Times New Roman" w:cs="Times New Roman"/>
                <w:color w:val="000000"/>
                <w:sz w:val="24"/>
                <w:szCs w:val="24"/>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По данным Федеральной службы государственной статистики в 2016 году Бардымский район занимал 12 место по объему товаров несобственного производства (без субъектов малого предпринимательства), что составило 1% от общего объема товаров по всему Пермскому краю. На протяжении последних 3 лет доля в совокупном объеме продаж товаров несобственного производства (без субъектов малого предпринимательства) была неизменна.</w:t>
      </w:r>
    </w:p>
    <w:p w:rsidR="00153E07" w:rsidRPr="00E3313E" w:rsidRDefault="00153E07" w:rsidP="00E21B77">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Лидирующие позиции в 2016 году заняли </w:t>
      </w:r>
      <w:r w:rsidR="00E97C6A">
        <w:rPr>
          <w:rFonts w:ascii="Times New Roman" w:eastAsia="Times New Roman" w:hAnsi="Times New Roman" w:cs="Times New Roman"/>
          <w:sz w:val="28"/>
          <w:szCs w:val="28"/>
        </w:rPr>
        <w:t>Бардымс</w:t>
      </w:r>
      <w:r w:rsidRPr="00E3313E">
        <w:rPr>
          <w:rFonts w:ascii="Times New Roman" w:eastAsia="Times New Roman" w:hAnsi="Times New Roman" w:cs="Times New Roman"/>
          <w:sz w:val="28"/>
          <w:szCs w:val="28"/>
        </w:rPr>
        <w:t>кий, Пермский и Чайковский муниципальные районы, их показатели составили 10722,2 млн. руб., 9177,3 млн. руб. и 11155,8 млн. руб. соответственно, или 21%, 18% и 22% от общего объема продаж товаров несобственного производства (без субъектов малого предпринимательства).</w:t>
      </w:r>
    </w:p>
    <w:p w:rsidR="00153E07" w:rsidRPr="00E3313E" w:rsidRDefault="00E21B77" w:rsidP="00153E07">
      <w:pPr>
        <w:spacing w:after="0"/>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posOffset>137794</wp:posOffset>
            </wp:positionH>
            <wp:positionV relativeFrom="paragraph">
              <wp:posOffset>36195</wp:posOffset>
            </wp:positionV>
            <wp:extent cx="6257925" cy="2486025"/>
            <wp:effectExtent l="0" t="0" r="0" b="0"/>
            <wp:wrapNone/>
            <wp:docPr id="2202"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anchor>
        </w:drawing>
      </w: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E3313E" w:rsidRDefault="00E3313E" w:rsidP="00153E07">
      <w:pPr>
        <w:spacing w:after="0"/>
        <w:ind w:firstLine="709"/>
        <w:jc w:val="both"/>
        <w:rPr>
          <w:rFonts w:ascii="Times New Roman" w:eastAsia="Times New Roman" w:hAnsi="Times New Roman" w:cs="Times New Roman"/>
          <w:sz w:val="28"/>
          <w:szCs w:val="28"/>
        </w:rPr>
      </w:pPr>
    </w:p>
    <w:p w:rsidR="00E3313E" w:rsidRDefault="00E3313E" w:rsidP="00153E07">
      <w:pPr>
        <w:spacing w:after="0"/>
        <w:ind w:firstLine="709"/>
        <w:jc w:val="both"/>
        <w:rPr>
          <w:rFonts w:ascii="Times New Roman" w:eastAsia="Times New Roman" w:hAnsi="Times New Roman" w:cs="Times New Roman"/>
          <w:sz w:val="28"/>
          <w:szCs w:val="28"/>
        </w:rPr>
      </w:pPr>
    </w:p>
    <w:p w:rsidR="00153E07" w:rsidRPr="00127DAF" w:rsidRDefault="00E3313E"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w:t>
      </w:r>
      <w:r w:rsidR="00153E07" w:rsidRPr="00127DAF">
        <w:rPr>
          <w:rFonts w:ascii="Times New Roman" w:eastAsia="Times New Roman" w:hAnsi="Times New Roman" w:cs="Times New Roman"/>
          <w:b/>
          <w:sz w:val="28"/>
          <w:szCs w:val="28"/>
        </w:rPr>
        <w:t>сунок 1.</w:t>
      </w:r>
      <w:r w:rsidR="00127DAF" w:rsidRPr="00127DAF">
        <w:rPr>
          <w:rFonts w:ascii="Times New Roman" w:eastAsia="Times New Roman" w:hAnsi="Times New Roman" w:cs="Times New Roman"/>
          <w:b/>
          <w:sz w:val="28"/>
          <w:szCs w:val="28"/>
        </w:rPr>
        <w:t>77</w:t>
      </w:r>
      <w:r w:rsidR="00153E07" w:rsidRPr="00127DAF">
        <w:rPr>
          <w:rFonts w:ascii="Times New Roman" w:eastAsia="Times New Roman" w:hAnsi="Times New Roman" w:cs="Times New Roman"/>
          <w:b/>
          <w:sz w:val="28"/>
          <w:szCs w:val="28"/>
        </w:rPr>
        <w:t>. Отгрузка товаров собственного производства, выполненных работ и услуг собственными силами (без субъектов малого предпринимательства), средняя численность работников которых превышает 15 человек, по основному виду экономической деятельности (до 2017 года), млн. рублей</w:t>
      </w: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drawing>
          <wp:inline distT="0" distB="0" distL="0" distR="0">
            <wp:extent cx="5800725" cy="2781300"/>
            <wp:effectExtent l="0" t="0" r="0" b="0"/>
            <wp:docPr id="2203"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w:t>
      </w:r>
      <w:r w:rsidR="00127DAF" w:rsidRPr="00127DAF">
        <w:rPr>
          <w:rFonts w:ascii="Times New Roman" w:eastAsia="Times New Roman" w:hAnsi="Times New Roman" w:cs="Times New Roman"/>
          <w:b/>
          <w:sz w:val="28"/>
          <w:szCs w:val="28"/>
        </w:rPr>
        <w:t>78</w:t>
      </w:r>
      <w:r w:rsidRPr="00127DAF">
        <w:rPr>
          <w:rFonts w:ascii="Times New Roman" w:eastAsia="Times New Roman" w:hAnsi="Times New Roman" w:cs="Times New Roman"/>
          <w:b/>
          <w:sz w:val="28"/>
          <w:szCs w:val="28"/>
        </w:rPr>
        <w:t>. Показатели муниципальных районов Пермского края по продажам товаров несобственного производства (без субъектов малого предпринимательства) в 2016 г., млн. руб.</w:t>
      </w: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Таблица 1.2</w:t>
      </w:r>
      <w:r w:rsidR="00127DAF">
        <w:rPr>
          <w:rFonts w:ascii="Times New Roman" w:eastAsia="Times New Roman" w:hAnsi="Times New Roman" w:cs="Times New Roman"/>
          <w:sz w:val="28"/>
          <w:szCs w:val="28"/>
        </w:rPr>
        <w:t>7</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Показатели муниципальных районов Пермского края по продажам товаров несобственного производства (без субъектов малого предпринимательства), млн. руб.</w:t>
      </w:r>
    </w:p>
    <w:tbl>
      <w:tblPr>
        <w:tblW w:w="5000" w:type="pct"/>
        <w:tblLook w:val="04A0"/>
      </w:tblPr>
      <w:tblGrid>
        <w:gridCol w:w="3042"/>
        <w:gridCol w:w="1495"/>
        <w:gridCol w:w="870"/>
        <w:gridCol w:w="1495"/>
        <w:gridCol w:w="870"/>
        <w:gridCol w:w="1495"/>
        <w:gridCol w:w="870"/>
      </w:tblGrid>
      <w:tr w:rsidR="00153E07" w:rsidRPr="00E3313E" w:rsidTr="00153E07">
        <w:trPr>
          <w:trHeight w:val="315"/>
        </w:trPr>
        <w:tc>
          <w:tcPr>
            <w:tcW w:w="15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Муниципальный район</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2014</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2015</w:t>
            </w:r>
          </w:p>
        </w:tc>
        <w:tc>
          <w:tcPr>
            <w:tcW w:w="1156"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2016</w:t>
            </w:r>
          </w:p>
        </w:tc>
      </w:tr>
      <w:tr w:rsidR="00153E07" w:rsidRPr="00E3313E" w:rsidTr="00153E07">
        <w:trPr>
          <w:trHeight w:val="630"/>
        </w:trPr>
        <w:tc>
          <w:tcPr>
            <w:tcW w:w="1533" w:type="pct"/>
            <w:vMerge/>
            <w:tcBorders>
              <w:top w:val="single" w:sz="4" w:space="0" w:color="auto"/>
              <w:left w:val="single" w:sz="4" w:space="0" w:color="auto"/>
              <w:bottom w:val="single" w:sz="4" w:space="0" w:color="auto"/>
              <w:right w:val="single" w:sz="4" w:space="0" w:color="auto"/>
            </w:tcBorders>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p>
        </w:tc>
        <w:tc>
          <w:tcPr>
            <w:tcW w:w="770"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w:t>
            </w:r>
          </w:p>
        </w:tc>
        <w:tc>
          <w:tcPr>
            <w:tcW w:w="770"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w:t>
            </w:r>
          </w:p>
        </w:tc>
        <w:tc>
          <w:tcPr>
            <w:tcW w:w="770"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млн. руб.</w:t>
            </w:r>
          </w:p>
        </w:tc>
        <w:tc>
          <w:tcPr>
            <w:tcW w:w="385" w:type="pct"/>
            <w:tcBorders>
              <w:top w:val="nil"/>
              <w:left w:val="nil"/>
              <w:bottom w:val="single" w:sz="4" w:space="0" w:color="auto"/>
              <w:right w:val="single" w:sz="4" w:space="0" w:color="auto"/>
            </w:tcBorders>
            <w:shd w:val="clear" w:color="auto" w:fill="auto"/>
            <w:vAlign w:val="center"/>
            <w:hideMark/>
          </w:tcPr>
          <w:p w:rsidR="00153E07" w:rsidRPr="00F405EC" w:rsidRDefault="00153E07" w:rsidP="00153E07">
            <w:pPr>
              <w:spacing w:after="0" w:line="240" w:lineRule="auto"/>
              <w:jc w:val="both"/>
              <w:rPr>
                <w:rFonts w:ascii="Times New Roman" w:eastAsia="Times New Roman" w:hAnsi="Times New Roman" w:cs="Times New Roman"/>
                <w:b/>
                <w:bCs/>
                <w:color w:val="000000"/>
                <w:sz w:val="28"/>
                <w:szCs w:val="28"/>
              </w:rPr>
            </w:pPr>
            <w:r w:rsidRPr="00F405EC">
              <w:rPr>
                <w:rFonts w:ascii="Times New Roman" w:eastAsia="Times New Roman" w:hAnsi="Times New Roman" w:cs="Times New Roman"/>
                <w:b/>
                <w:bCs/>
                <w:color w:val="000000"/>
                <w:sz w:val="28"/>
                <w:szCs w:val="28"/>
              </w:rPr>
              <w:t>%</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Бардымский </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269,04</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359,01</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424,61</w:t>
            </w:r>
          </w:p>
        </w:tc>
        <w:tc>
          <w:tcPr>
            <w:tcW w:w="385" w:type="pct"/>
            <w:tcBorders>
              <w:top w:val="nil"/>
              <w:left w:val="nil"/>
              <w:bottom w:val="single" w:sz="4" w:space="0" w:color="auto"/>
              <w:right w:val="single" w:sz="4" w:space="0" w:color="auto"/>
            </w:tcBorders>
            <w:shd w:val="clear" w:color="000000" w:fill="BFBFBF"/>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E97C6A" w:rsidP="00153E07">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Бардымс</w:t>
            </w:r>
            <w:r w:rsidR="00153E07" w:rsidRPr="00E3313E">
              <w:rPr>
                <w:rFonts w:ascii="Times New Roman" w:eastAsia="Times New Roman" w:hAnsi="Times New Roman" w:cs="Times New Roman"/>
                <w:color w:val="000000"/>
                <w:sz w:val="28"/>
                <w:szCs w:val="28"/>
              </w:rPr>
              <w:t xml:space="preserve">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11830,8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23%</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10557,9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10722,2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Березовский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114,82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144,53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232,56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Большесосновский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39,34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136,63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Верещагинский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536,63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632,65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776,64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Горнозаводский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914,26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1088,83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516,18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Гремячинский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207,08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108,86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243,84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Добрянский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5490,33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4994,05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2938,97</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6%</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Еловский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121,32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176,35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Ильинский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96,43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150,61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172,31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Карагайский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98,28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198,48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333,96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Кизеловский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339,09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440,6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422,16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Кишертский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32,14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Красновишерский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265,82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218,35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242,08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Краснокамский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6290,18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5015,49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2591,2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Куединский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223,72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314,71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380,54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Кунгурский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25,92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39,73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40,27</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Нытвенский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638,31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816,05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2033,43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Октябрьский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208,24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297,17</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434,18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Ординский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119,41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183,68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295,2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Осинский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408,29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598,76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756,18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Оханский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161,39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201,92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282,03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Очерский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1208,07</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1303,06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1620,68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Пермский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8485,67</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17%</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8406,83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16%</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9177,28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18%</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Сивинский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379,91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405,59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376,96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Суксунский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283,85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363,14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416,88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Уинский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76,84</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114,96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165,03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Усольский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99,67</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105,78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133,9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Чайковский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9170,59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18%</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11328,3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11155,8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22%</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Чердынский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106,9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Чернушинский</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1142,88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1189,41</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1417,76</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xml:space="preserve">Чусовской </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2137,28</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4%</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1779,45</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2355,03</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w:t>
            </w:r>
          </w:p>
        </w:tc>
      </w:tr>
      <w:tr w:rsidR="00153E07" w:rsidRPr="00E3313E" w:rsidTr="00153E07">
        <w:trPr>
          <w:trHeight w:val="315"/>
        </w:trPr>
        <w:tc>
          <w:tcPr>
            <w:tcW w:w="1533"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Итого</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51262,2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51479,2</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100%</w:t>
            </w:r>
          </w:p>
        </w:tc>
        <w:tc>
          <w:tcPr>
            <w:tcW w:w="77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51109,9</w:t>
            </w:r>
          </w:p>
        </w:tc>
        <w:tc>
          <w:tcPr>
            <w:tcW w:w="38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153E07">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Среди муниципальных районов Пермского края Бардымский район по итогам 2015</w:t>
      </w:r>
      <w:r w:rsidR="00127DAF">
        <w:rPr>
          <w:rFonts w:ascii="Times New Roman" w:eastAsia="Times New Roman" w:hAnsi="Times New Roman" w:cs="Times New Roman"/>
          <w:sz w:val="28"/>
          <w:szCs w:val="28"/>
        </w:rPr>
        <w:t xml:space="preserve"> </w:t>
      </w:r>
      <w:r w:rsidRPr="00E3313E">
        <w:rPr>
          <w:rFonts w:ascii="Times New Roman" w:eastAsia="Times New Roman" w:hAnsi="Times New Roman" w:cs="Times New Roman"/>
          <w:sz w:val="28"/>
          <w:szCs w:val="28"/>
        </w:rPr>
        <w:t xml:space="preserve">г. занимает 11 место по инвестициям в основной капитал за счет средств муниципального бюджета (33,9 млн. руб., или 3,6% совокупного объема </w:t>
      </w:r>
      <w:r w:rsidRPr="00E3313E">
        <w:rPr>
          <w:rFonts w:ascii="Times New Roman" w:eastAsia="Times New Roman" w:hAnsi="Times New Roman" w:cs="Times New Roman"/>
          <w:sz w:val="28"/>
          <w:szCs w:val="28"/>
        </w:rPr>
        <w:lastRenderedPageBreak/>
        <w:t>инвестиций в основной капитал за счет средств муниципального бюджета по всему Пермскому краю).</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Лидером в сфере инвестиций является Пермский район (129,6 млн. руб., или 13% совокупного объема инвестиций в основной капитал за счет средств муниципального бюджета по всему Пермскому краю), далее в списках Добрянский (88,29 млн. руб.) и Чернушинский (76,19 млн. руб.). Последними в рейтинге являются Частинский и Еловский районы, (1 млн. руб. и 0,14 млн. руб.). Аутсайдерами по данному показателю выступают Кизиловский и Частинский районы.</w:t>
      </w: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drawing>
          <wp:inline distT="0" distB="0" distL="0" distR="0">
            <wp:extent cx="5781675" cy="4371975"/>
            <wp:effectExtent l="0" t="0" r="0" b="0"/>
            <wp:docPr id="2204"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w:t>
      </w:r>
      <w:r w:rsidR="00127DAF" w:rsidRPr="00127DAF">
        <w:rPr>
          <w:rFonts w:ascii="Times New Roman" w:eastAsia="Times New Roman" w:hAnsi="Times New Roman" w:cs="Times New Roman"/>
          <w:b/>
          <w:sz w:val="28"/>
          <w:szCs w:val="28"/>
        </w:rPr>
        <w:t>79</w:t>
      </w:r>
      <w:r w:rsidRPr="00127DAF">
        <w:rPr>
          <w:rFonts w:ascii="Times New Roman" w:eastAsia="Times New Roman" w:hAnsi="Times New Roman" w:cs="Times New Roman"/>
          <w:b/>
          <w:sz w:val="28"/>
          <w:szCs w:val="28"/>
        </w:rPr>
        <w:t>. Инвестиции в основной капитал за счет средств муниципального бюджета, млн. руб.</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1.2</w:t>
      </w:r>
      <w:r w:rsidR="00127DAF">
        <w:rPr>
          <w:rFonts w:ascii="Times New Roman" w:eastAsia="Times New Roman" w:hAnsi="Times New Roman" w:cs="Times New Roman"/>
          <w:sz w:val="28"/>
          <w:szCs w:val="28"/>
        </w:rPr>
        <w:t>8</w:t>
      </w:r>
    </w:p>
    <w:p w:rsidR="00153E07" w:rsidRPr="00E3313E" w:rsidRDefault="00153E07" w:rsidP="006D2568">
      <w:pPr>
        <w:spacing w:after="0" w:line="240" w:lineRule="auto"/>
        <w:jc w:val="both"/>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Инвестиции в основной капитал за счет средств муниципального бюджета, млн. руб.</w:t>
      </w:r>
    </w:p>
    <w:tbl>
      <w:tblPr>
        <w:tblStyle w:val="a7"/>
        <w:tblW w:w="9889" w:type="dxa"/>
        <w:tblLook w:val="04E0"/>
      </w:tblPr>
      <w:tblGrid>
        <w:gridCol w:w="3652"/>
        <w:gridCol w:w="2126"/>
        <w:gridCol w:w="1984"/>
        <w:gridCol w:w="2127"/>
      </w:tblGrid>
      <w:tr w:rsidR="00153E07" w:rsidRPr="00E3313E" w:rsidTr="00F405EC">
        <w:tc>
          <w:tcPr>
            <w:tcW w:w="3652"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Муниципальный район</w:t>
            </w:r>
          </w:p>
        </w:tc>
        <w:tc>
          <w:tcPr>
            <w:tcW w:w="2126"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2013</w:t>
            </w:r>
          </w:p>
        </w:tc>
        <w:tc>
          <w:tcPr>
            <w:tcW w:w="1984"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2014</w:t>
            </w:r>
          </w:p>
        </w:tc>
        <w:tc>
          <w:tcPr>
            <w:tcW w:w="2127"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2015</w:t>
            </w:r>
          </w:p>
        </w:tc>
      </w:tr>
      <w:tr w:rsidR="00153E07" w:rsidRPr="00E3313E" w:rsidTr="00F405EC">
        <w:tc>
          <w:tcPr>
            <w:tcW w:w="3652"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w:t>
            </w:r>
          </w:p>
        </w:tc>
        <w:tc>
          <w:tcPr>
            <w:tcW w:w="2126"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25,07</w:t>
            </w:r>
          </w:p>
        </w:tc>
        <w:tc>
          <w:tcPr>
            <w:tcW w:w="1984"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52,11</w:t>
            </w:r>
          </w:p>
        </w:tc>
        <w:tc>
          <w:tcPr>
            <w:tcW w:w="2127"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33,87</w:t>
            </w:r>
          </w:p>
        </w:tc>
      </w:tr>
      <w:tr w:rsidR="00153E07" w:rsidRPr="00E3313E" w:rsidTr="00F405EC">
        <w:tc>
          <w:tcPr>
            <w:tcW w:w="3652" w:type="dxa"/>
          </w:tcPr>
          <w:p w:rsidR="00153E07" w:rsidRPr="00E3313E" w:rsidRDefault="00E97C6A" w:rsidP="006D25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Бардымс</w:t>
            </w:r>
            <w:r w:rsidR="00153E07" w:rsidRPr="00E3313E">
              <w:rPr>
                <w:rFonts w:ascii="Times New Roman" w:eastAsia="Times New Roman" w:hAnsi="Times New Roman" w:cs="Times New Roman"/>
                <w:sz w:val="28"/>
                <w:szCs w:val="28"/>
              </w:rPr>
              <w:t xml:space="preserve">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93,41</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75,01</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11,36</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Березовский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12,78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21,67</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36,77</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Большесосновский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26,94</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33,91</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2,77</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Верещагинский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31,22</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52,42</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17,47</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Горнозаводский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59,96</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31,52</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4,15</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Гремячинский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2,75</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58,07</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1,46</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Добрянский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48,30</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73,35</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88,29</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Еловский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10,68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1,33</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0,14</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Ильинский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48,28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44,76</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12,92</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Карагайский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6,69</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13,54</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11,04</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Кизеловский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7,53</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5,64</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1,47</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Кишертский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8,57</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7,68</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5,07</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Красновишерский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148,18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19,64</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43,61</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Краснокамский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40,04</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61,13</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52,37</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Куединский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111,23</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45,56</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29,00</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Кунгурский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236,55</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66,12</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30,74</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Нытвенский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23,80</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33,11</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14,69</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Октябрьский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67,28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78,45</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42,42</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Ординский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18,36</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16,02</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36,22</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Осинский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12,48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16,19</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28,49</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Оханский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7,55</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7,66</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7,19</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Очерский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9,46</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12,01</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39,60</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Пермский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386,71</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205,76</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129,56</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Сивинский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12,01</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17,88</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3,38</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Соликамский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27,50</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17,04</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10,99</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Суксунский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38,82</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88,44</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26,70</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Уинский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8,68</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21,46</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21,55</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Усольский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17,17</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50,10</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29,13</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Чайковский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35,39</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17,93</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53,05</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Частинский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85,85</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27,39</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1,00</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Чердынский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18,79</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10,68</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7,78</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Чернушинский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60,05</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56,62</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76,19</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Чусовской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42,85</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35,25</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25,86</w:t>
            </w:r>
          </w:p>
        </w:tc>
      </w:tr>
      <w:tr w:rsidR="00153E07" w:rsidRPr="00E3313E" w:rsidTr="00F405EC">
        <w:tc>
          <w:tcPr>
            <w:tcW w:w="3652"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Итого</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1790,9</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1375,5</w:t>
            </w:r>
          </w:p>
        </w:tc>
        <w:tc>
          <w:tcPr>
            <w:tcW w:w="2127"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936,3</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По объему расходов местного бюджета</w:t>
      </w:r>
      <w:r w:rsidR="00127DAF">
        <w:rPr>
          <w:rFonts w:ascii="Times New Roman" w:eastAsia="Times New Roman" w:hAnsi="Times New Roman" w:cs="Times New Roman"/>
          <w:sz w:val="28"/>
          <w:szCs w:val="28"/>
        </w:rPr>
        <w:t xml:space="preserve"> </w:t>
      </w:r>
      <w:r w:rsidRPr="00E3313E">
        <w:rPr>
          <w:rFonts w:ascii="Times New Roman" w:eastAsia="Times New Roman" w:hAnsi="Times New Roman" w:cs="Times New Roman"/>
          <w:sz w:val="28"/>
          <w:szCs w:val="28"/>
        </w:rPr>
        <w:t xml:space="preserve">в 2016 году Бардымский район занимает 14 место (688,12 млн. руб.), что соответствует 2,6% общих расходов местных бюджетов всего Пермского края. Наибольшие расходы зафиксированы в Пермском (2780,15 млн. руб.) и Чайковском (1977, 87 млн. руб.) районах.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Расходы местного бюджета Бардымского района в 2016 году увеличились на 2,8%, или 18,56 млн. руб. по сравнению с годом ранее.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lastRenderedPageBreak/>
        <w:drawing>
          <wp:inline distT="0" distB="0" distL="0" distR="0">
            <wp:extent cx="5648325" cy="6524625"/>
            <wp:effectExtent l="0" t="0" r="0" b="0"/>
            <wp:docPr id="2205"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53E07" w:rsidRPr="00127DAF" w:rsidRDefault="00153E0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1.8</w:t>
      </w:r>
      <w:r w:rsidR="00127DAF" w:rsidRPr="00127DAF">
        <w:rPr>
          <w:rFonts w:ascii="Times New Roman" w:eastAsia="Times New Roman" w:hAnsi="Times New Roman" w:cs="Times New Roman"/>
          <w:b/>
          <w:sz w:val="28"/>
          <w:szCs w:val="28"/>
        </w:rPr>
        <w:t>0</w:t>
      </w:r>
      <w:r w:rsidRPr="00127DAF">
        <w:rPr>
          <w:rFonts w:ascii="Times New Roman" w:eastAsia="Times New Roman" w:hAnsi="Times New Roman" w:cs="Times New Roman"/>
          <w:b/>
          <w:sz w:val="28"/>
          <w:szCs w:val="28"/>
        </w:rPr>
        <w:t>. Расходы местного бюджета, фактически исполненные, тысяча рублей, млн. руб. 2016 г.</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w:t>
      </w:r>
      <w:r w:rsidR="00127DAF">
        <w:rPr>
          <w:rFonts w:ascii="Times New Roman" w:eastAsia="Times New Roman" w:hAnsi="Times New Roman" w:cs="Times New Roman"/>
          <w:sz w:val="28"/>
          <w:szCs w:val="28"/>
        </w:rPr>
        <w:t>29</w:t>
      </w:r>
    </w:p>
    <w:p w:rsidR="00153E07" w:rsidRPr="00E3313E" w:rsidRDefault="00153E07" w:rsidP="006D2568">
      <w:pPr>
        <w:spacing w:after="0" w:line="240" w:lineRule="auto"/>
        <w:ind w:firstLine="709"/>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Расходы местного бюджета, фактически исполненные, тысяча рублей, млн. руб. 2016 г.</w:t>
      </w:r>
    </w:p>
    <w:tbl>
      <w:tblPr>
        <w:tblStyle w:val="a7"/>
        <w:tblW w:w="9747" w:type="dxa"/>
        <w:tblLook w:val="04A0"/>
      </w:tblPr>
      <w:tblGrid>
        <w:gridCol w:w="3369"/>
        <w:gridCol w:w="2126"/>
        <w:gridCol w:w="2126"/>
        <w:gridCol w:w="2126"/>
      </w:tblGrid>
      <w:tr w:rsidR="00153E07" w:rsidRPr="00E3313E" w:rsidTr="00F405EC">
        <w:tc>
          <w:tcPr>
            <w:tcW w:w="3369"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Муниципальный район</w:t>
            </w:r>
          </w:p>
        </w:tc>
        <w:tc>
          <w:tcPr>
            <w:tcW w:w="2126"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2014</w:t>
            </w:r>
          </w:p>
        </w:tc>
        <w:tc>
          <w:tcPr>
            <w:tcW w:w="2126"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2015</w:t>
            </w:r>
          </w:p>
        </w:tc>
        <w:tc>
          <w:tcPr>
            <w:tcW w:w="2126"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2016</w:t>
            </w:r>
          </w:p>
        </w:tc>
      </w:tr>
      <w:tr w:rsidR="00153E07" w:rsidRPr="00E3313E" w:rsidTr="00F405EC">
        <w:tc>
          <w:tcPr>
            <w:tcW w:w="3369"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w:t>
            </w:r>
          </w:p>
        </w:tc>
        <w:tc>
          <w:tcPr>
            <w:tcW w:w="2126"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w:t>
            </w:r>
            <w:r w:rsidR="00F405EC">
              <w:rPr>
                <w:rFonts w:ascii="Times New Roman" w:eastAsia="Times New Roman" w:hAnsi="Times New Roman" w:cs="Times New Roman"/>
                <w:sz w:val="28"/>
                <w:szCs w:val="28"/>
              </w:rPr>
              <w:t>20,24</w:t>
            </w:r>
          </w:p>
        </w:tc>
        <w:tc>
          <w:tcPr>
            <w:tcW w:w="2126"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669,56</w:t>
            </w:r>
          </w:p>
        </w:tc>
        <w:tc>
          <w:tcPr>
            <w:tcW w:w="2126"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688,12</w:t>
            </w:r>
          </w:p>
        </w:tc>
      </w:tr>
      <w:tr w:rsidR="00153E07" w:rsidRPr="00E3313E" w:rsidTr="00F405EC">
        <w:tc>
          <w:tcPr>
            <w:tcW w:w="3369" w:type="dxa"/>
          </w:tcPr>
          <w:p w:rsidR="00153E07" w:rsidRPr="00E3313E" w:rsidRDefault="00E97C6A" w:rsidP="006D25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Бардымс</w:t>
            </w:r>
            <w:r w:rsidR="00153E07" w:rsidRPr="00E3313E">
              <w:rPr>
                <w:rFonts w:ascii="Times New Roman" w:eastAsia="Times New Roman" w:hAnsi="Times New Roman" w:cs="Times New Roman"/>
                <w:sz w:val="28"/>
                <w:szCs w:val="28"/>
              </w:rPr>
              <w:t xml:space="preserve">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635,21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637,65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720,86</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Березовский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428,92</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435,37</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408,60</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Большесосновский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415,60</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463,94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420,77</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Верещагинский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1022,09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949,32</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965,41</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Горнозаводский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597,26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526,56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553,07</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Гремячинский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294,59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248,47</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238,93</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Добрянский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1350,05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1286,90</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1189,99</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Еловский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397,52</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308,50</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315,56</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Ильинский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591,01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549,70</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537,71</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Карагайский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680,68</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723,36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684,91</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Кизеловский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632,65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456,26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470,06</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Кишертский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341,36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323,37</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417,07</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Красновишерский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859,18</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653,89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628,50</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Краснокамский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1369,96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1269,84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1445,30</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Куединский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839,94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888,15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899,94</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Кунгурский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1128,93</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1270,04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1081,59</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Нытвенский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928,73</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877,51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929,65</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Октябрьский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808,39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805,88</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807,45</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Ординский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481,01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463,55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484,08</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Осинский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711,64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782,11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758,23</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Оханский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390,58</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376,24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381,95</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Очерский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526,10</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613,94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530,05</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Пермский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2847,09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2749,61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2780,15</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Сивинский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478,31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454,13</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517,30</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Соликамский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451,82</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453,96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429,21</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Суксунский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547,45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497,91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542,17</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Уинский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365,65</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354,91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333,85</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Усольский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394,99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344,24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463,71</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Чайковский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2068,58</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1917,51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1977,87</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Частинский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482,21</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524,36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477,72</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Чердынский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548,19</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494,67</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497,70</w:t>
            </w:r>
          </w:p>
        </w:tc>
      </w:tr>
      <w:tr w:rsidR="00153E07" w:rsidRPr="00E3313E" w:rsidTr="00F405EC">
        <w:trPr>
          <w:trHeight w:val="70"/>
        </w:trPr>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Чернушинский</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1342,06</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1378,88</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1337,19</w:t>
            </w:r>
          </w:p>
        </w:tc>
      </w:tr>
      <w:tr w:rsidR="00153E07" w:rsidRPr="00E3313E" w:rsidTr="00F405EC">
        <w:tc>
          <w:tcPr>
            <w:tcW w:w="3369"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Чусовской </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1296,33</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1258,54</w:t>
            </w:r>
          </w:p>
        </w:tc>
        <w:tc>
          <w:tcPr>
            <w:tcW w:w="2126"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1531,54</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Объем доходов Бардымского района в 2016 году составил 696, 57 млн. руб., что на 3,5%, или 23,66 млн. руб. больше, чем в 2015 году. По данному показателю район занимает 14 место среди 34 муниципальных районов Пермского края.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Среди лидеров выделяется Пермский и Чайковский районы, их доходы составляют 2773,22 и 2008 млн. руб. соответственно.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p>
    <w:p w:rsidR="00153E07" w:rsidRPr="00E3313E" w:rsidRDefault="00153E07" w:rsidP="00153E07">
      <w:pPr>
        <w:spacing w:after="0"/>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noProof/>
          <w:sz w:val="28"/>
          <w:szCs w:val="28"/>
        </w:rPr>
        <w:lastRenderedPageBreak/>
        <w:drawing>
          <wp:inline distT="0" distB="0" distL="0" distR="0">
            <wp:extent cx="5743575" cy="4940135"/>
            <wp:effectExtent l="0" t="0" r="0" b="0"/>
            <wp:docPr id="2206"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53E07" w:rsidRPr="00127DAF" w:rsidRDefault="00153E07" w:rsidP="006D2568">
      <w:pPr>
        <w:spacing w:after="0" w:line="240" w:lineRule="auto"/>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Рисунок 1.8</w:t>
      </w:r>
      <w:r w:rsidR="00127DAF" w:rsidRPr="00127DAF">
        <w:rPr>
          <w:rFonts w:ascii="Times New Roman" w:eastAsia="Times New Roman" w:hAnsi="Times New Roman" w:cs="Times New Roman"/>
          <w:b/>
          <w:sz w:val="28"/>
          <w:szCs w:val="28"/>
        </w:rPr>
        <w:t>1</w:t>
      </w:r>
      <w:r w:rsidRPr="00127DAF">
        <w:rPr>
          <w:rFonts w:ascii="Times New Roman" w:eastAsia="Times New Roman" w:hAnsi="Times New Roman" w:cs="Times New Roman"/>
          <w:b/>
          <w:sz w:val="28"/>
          <w:szCs w:val="28"/>
        </w:rPr>
        <w:t>. Доходы местного бюджета, фактически исполненные, млн. руб. 2016</w:t>
      </w:r>
      <w:r w:rsidR="00127DAF">
        <w:rPr>
          <w:rFonts w:ascii="Times New Roman" w:eastAsia="Times New Roman" w:hAnsi="Times New Roman" w:cs="Times New Roman"/>
          <w:b/>
          <w:sz w:val="28"/>
          <w:szCs w:val="28"/>
        </w:rPr>
        <w:t xml:space="preserve"> </w:t>
      </w:r>
      <w:r w:rsidRPr="00127DAF">
        <w:rPr>
          <w:rFonts w:ascii="Times New Roman" w:eastAsia="Times New Roman" w:hAnsi="Times New Roman" w:cs="Times New Roman"/>
          <w:b/>
          <w:sz w:val="28"/>
          <w:szCs w:val="28"/>
        </w:rPr>
        <w:t>г.</w:t>
      </w:r>
    </w:p>
    <w:p w:rsidR="00153E07" w:rsidRPr="00127DAF" w:rsidRDefault="00153E07" w:rsidP="006D2568">
      <w:pPr>
        <w:spacing w:after="0" w:line="240" w:lineRule="auto"/>
        <w:ind w:firstLine="709"/>
        <w:jc w:val="right"/>
        <w:rPr>
          <w:rFonts w:ascii="Times New Roman" w:eastAsia="Times New Roman" w:hAnsi="Times New Roman" w:cs="Times New Roman"/>
          <w:sz w:val="28"/>
          <w:szCs w:val="28"/>
        </w:rPr>
      </w:pPr>
      <w:r w:rsidRPr="00127DAF">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0</w:t>
      </w:r>
    </w:p>
    <w:p w:rsidR="00153E07" w:rsidRPr="00E3313E" w:rsidRDefault="00153E07" w:rsidP="006D2568">
      <w:pPr>
        <w:spacing w:after="0" w:line="240" w:lineRule="auto"/>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Доходы местного бюджета, фактически исполненные, млн. руб. 2016 г.</w:t>
      </w:r>
    </w:p>
    <w:tbl>
      <w:tblPr>
        <w:tblStyle w:val="a7"/>
        <w:tblW w:w="0" w:type="auto"/>
        <w:tblLook w:val="04A0"/>
      </w:tblPr>
      <w:tblGrid>
        <w:gridCol w:w="3794"/>
        <w:gridCol w:w="1984"/>
        <w:gridCol w:w="1843"/>
        <w:gridCol w:w="1843"/>
      </w:tblGrid>
      <w:tr w:rsidR="00153E07" w:rsidRPr="00E3313E" w:rsidTr="00127DAF">
        <w:tc>
          <w:tcPr>
            <w:tcW w:w="3794"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Муниципальный район</w:t>
            </w:r>
          </w:p>
        </w:tc>
        <w:tc>
          <w:tcPr>
            <w:tcW w:w="1984"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2014</w:t>
            </w:r>
          </w:p>
        </w:tc>
        <w:tc>
          <w:tcPr>
            <w:tcW w:w="1843"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2015</w:t>
            </w:r>
          </w:p>
        </w:tc>
        <w:tc>
          <w:tcPr>
            <w:tcW w:w="1843" w:type="dxa"/>
          </w:tcPr>
          <w:p w:rsidR="00153E07" w:rsidRPr="00F405EC" w:rsidRDefault="00153E07" w:rsidP="006D2568">
            <w:pPr>
              <w:jc w:val="both"/>
              <w:rPr>
                <w:rFonts w:ascii="Times New Roman" w:eastAsia="Times New Roman" w:hAnsi="Times New Roman" w:cs="Times New Roman"/>
                <w:b/>
                <w:sz w:val="28"/>
                <w:szCs w:val="28"/>
              </w:rPr>
            </w:pPr>
            <w:r w:rsidRPr="00F405EC">
              <w:rPr>
                <w:rFonts w:ascii="Times New Roman" w:eastAsia="Times New Roman" w:hAnsi="Times New Roman" w:cs="Times New Roman"/>
                <w:b/>
                <w:sz w:val="28"/>
                <w:szCs w:val="28"/>
              </w:rPr>
              <w:t>2016</w:t>
            </w:r>
          </w:p>
        </w:tc>
      </w:tr>
      <w:tr w:rsidR="00153E07" w:rsidRPr="00E3313E" w:rsidTr="00127DAF">
        <w:tc>
          <w:tcPr>
            <w:tcW w:w="3794"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w:t>
            </w:r>
          </w:p>
        </w:tc>
        <w:tc>
          <w:tcPr>
            <w:tcW w:w="1984"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714,26</w:t>
            </w:r>
          </w:p>
        </w:tc>
        <w:tc>
          <w:tcPr>
            <w:tcW w:w="1843"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672,91</w:t>
            </w:r>
          </w:p>
        </w:tc>
        <w:tc>
          <w:tcPr>
            <w:tcW w:w="1843" w:type="dxa"/>
            <w:shd w:val="clear" w:color="auto" w:fill="BFBFBF" w:themeFill="background1" w:themeFillShade="BF"/>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696,57</w:t>
            </w:r>
          </w:p>
        </w:tc>
      </w:tr>
      <w:tr w:rsidR="00153E07" w:rsidRPr="00E3313E" w:rsidTr="00127DAF">
        <w:tc>
          <w:tcPr>
            <w:tcW w:w="3794" w:type="dxa"/>
          </w:tcPr>
          <w:p w:rsidR="00153E07" w:rsidRPr="00E3313E" w:rsidRDefault="00E97C6A" w:rsidP="006D2568">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Бардымс</w:t>
            </w:r>
            <w:r w:rsidR="00153E07" w:rsidRPr="00E3313E">
              <w:rPr>
                <w:rFonts w:ascii="Times New Roman" w:eastAsia="Times New Roman" w:hAnsi="Times New Roman" w:cs="Times New Roman"/>
                <w:sz w:val="28"/>
                <w:szCs w:val="28"/>
              </w:rPr>
              <w:t xml:space="preserve">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633,48</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638,35</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716,48</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Березовский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427,29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411,94</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406,60</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Большесосновский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441,24</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426,72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417,71</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Верещагинский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1018,41</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956,52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972,08</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Горнозаводский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557,27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514,70</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550,06</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Гремячинский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263,55</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223,59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223,24</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Добрянский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1371,24</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1249,33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1213,56</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Еловский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374,69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306,33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317,50</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Ильинский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585,93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537,21</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539,77</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Карагайский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677,53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684,33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680,67</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Кизеловский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463,08</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432,43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466,74</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Кишертский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327,85</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323,77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422,29</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Красновишерский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608,15</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653,14</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613,68</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Краснокамский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1369,66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1254,63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1444,38</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Куединский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845,47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894,22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911,92</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Кунгурский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1104,86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1209,27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1089,45</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Нытвенский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914,79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868,06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939,25</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Октябрьский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818,12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791,71</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828,43</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Ординский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467,48</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455,29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509,27</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Осинский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727,32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748,33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752,18</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Оханский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379,82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378,40</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378,68</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Очерский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514,40</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517,27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499,77</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Пермский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2833,73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2726,99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2773,22</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Сивинский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476,79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457,74</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525,17</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Соликамский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434,08</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449,07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470,49</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Суксунский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538,46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505,17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528,33</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Уинский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358,16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350,82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331,46</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Усольский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411,98</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336,92</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464,07</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Чайковский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2107,13</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1862,21</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2008,00</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Частинский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476,96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536,77</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478,40</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Чердынский </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529,46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487,19</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520,82</w:t>
            </w:r>
          </w:p>
        </w:tc>
      </w:tr>
      <w:tr w:rsidR="00153E07" w:rsidRPr="00E3313E" w:rsidTr="00127DAF">
        <w:tc>
          <w:tcPr>
            <w:tcW w:w="379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Чернушинский</w:t>
            </w:r>
          </w:p>
        </w:tc>
        <w:tc>
          <w:tcPr>
            <w:tcW w:w="1984"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1327,50</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1381,06</w:t>
            </w:r>
          </w:p>
        </w:tc>
        <w:tc>
          <w:tcPr>
            <w:tcW w:w="1843" w:type="dxa"/>
          </w:tcPr>
          <w:p w:rsidR="00153E07" w:rsidRPr="00E3313E" w:rsidRDefault="00153E07" w:rsidP="006D2568">
            <w:pPr>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1334,65</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Таким образом, Бардымский муниципальный район занимает среднее место среди районов Пермского края, уступая более развитым в экономическом отношении районам, таким как Пермский, Чайковский районы. Наличие производственных, социальных связей с г. Пермь, оказывают влияние на социально-экономическое развитие муниципального района, что находит отражение в оживлении ряда экономических процессов – небольшого роста инвестиционных потоков, увеличения расходов и доходов местного бюджета, роста ввода нового жилья и др.</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Опосредованный положительный экономический эффект на развитие и освоение территории оказывает добыча и переработка нефти, однако основная доля налоговых поступлений аккумулируется в федеральном бюджете.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Наличие социально-демографических, инфраструктурных и производственных проблем сдерживает развитие территории.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 условиях современных требований к уровню социальных услуг и производственного процесса сохраняются кадровые проблемы по количеству трудовых ресурсов.</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Сохранятся проблемы, касаемо инфраструктурного обеспечения и развития сельской местности, характеризующееся высоким уровнем износа инженерных коммуникаций, жилого фонда, дорожной инфраструктуры.</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В целом необходимо отметить, что среди территорий сельскохозяйственной направленности Пермского края Бардымский муниципальный район играет важное место в развитии субъекта РФ.</w:t>
      </w:r>
    </w:p>
    <w:p w:rsidR="006D2568" w:rsidRDefault="006D2568" w:rsidP="006D2568">
      <w:pPr>
        <w:spacing w:after="0" w:line="240" w:lineRule="auto"/>
        <w:ind w:firstLine="709"/>
        <w:jc w:val="both"/>
        <w:rPr>
          <w:rFonts w:ascii="Times New Roman" w:eastAsia="Times New Roman" w:hAnsi="Times New Roman" w:cs="Times New Roman"/>
          <w:sz w:val="28"/>
          <w:szCs w:val="28"/>
        </w:rPr>
      </w:pPr>
    </w:p>
    <w:p w:rsidR="00E3313E" w:rsidRPr="00E3313E" w:rsidRDefault="00E3313E" w:rsidP="006D2568">
      <w:pPr>
        <w:spacing w:after="0" w:line="240" w:lineRule="auto"/>
        <w:ind w:firstLine="709"/>
        <w:jc w:val="both"/>
        <w:rPr>
          <w:rFonts w:ascii="Times New Roman" w:hAnsi="Times New Roman" w:cs="Times New Roman"/>
          <w:sz w:val="28"/>
          <w:szCs w:val="28"/>
        </w:rPr>
      </w:pPr>
    </w:p>
    <w:p w:rsidR="00153E07" w:rsidRDefault="00153E07" w:rsidP="006D2568">
      <w:pPr>
        <w:pStyle w:val="1"/>
        <w:numPr>
          <w:ilvl w:val="1"/>
          <w:numId w:val="17"/>
        </w:numPr>
        <w:spacing w:line="240" w:lineRule="auto"/>
      </w:pPr>
      <w:r w:rsidRPr="00E3313E">
        <w:lastRenderedPageBreak/>
        <w:t>Типология городских и сельских поселений Бардымского муниципального района</w:t>
      </w:r>
    </w:p>
    <w:p w:rsidR="00E3313E" w:rsidRPr="00E3313E" w:rsidRDefault="00E3313E" w:rsidP="006D2568">
      <w:pPr>
        <w:spacing w:line="240" w:lineRule="auto"/>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Типология сельских поселений Бардымского муниципального района была проведена с использованием СП 42.13330.2016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СНиП 2.07.01-89. Градостроительство. Планировка и застройка городских и сельских поселений</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утвержденным Приказом Министерства строительства и жилищно-коммунального хозяйства Российской Федерации № 1034/прот 30.12.2016 г., введена в действие с 1.07.2017г.Городские и сельские поселения подразделяются на группы в соответствии с таблицей 1.32.</w:t>
      </w: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1</w:t>
      </w:r>
    </w:p>
    <w:p w:rsidR="00153E07" w:rsidRPr="00E3313E" w:rsidRDefault="00153E07" w:rsidP="006D2568">
      <w:pPr>
        <w:spacing w:after="0" w:line="240" w:lineRule="auto"/>
        <w:jc w:val="center"/>
        <w:rPr>
          <w:rFonts w:ascii="Times New Roman" w:eastAsia="Times New Roman" w:hAnsi="Times New Roman" w:cs="Times New Roman"/>
          <w:b/>
          <w:sz w:val="28"/>
          <w:szCs w:val="28"/>
        </w:rPr>
      </w:pPr>
      <w:r w:rsidRPr="00E3313E">
        <w:rPr>
          <w:rFonts w:ascii="Times New Roman" w:eastAsia="Times New Roman" w:hAnsi="Times New Roman" w:cs="Times New Roman"/>
          <w:b/>
          <w:sz w:val="28"/>
          <w:szCs w:val="28"/>
        </w:rPr>
        <w:t>Классификация городских и сельских поселений в соответствии с численностью населения</w:t>
      </w:r>
      <w:r w:rsidRPr="00E3313E">
        <w:rPr>
          <w:rStyle w:val="aff2"/>
          <w:rFonts w:ascii="Times New Roman" w:eastAsia="Times New Roman" w:hAnsi="Times New Roman" w:cs="Times New Roman"/>
          <w:b/>
          <w:sz w:val="28"/>
          <w:szCs w:val="28"/>
        </w:rPr>
        <w:footnoteReference w:id="4"/>
      </w:r>
    </w:p>
    <w:tbl>
      <w:tblPr>
        <w:tblW w:w="5000" w:type="pct"/>
        <w:jc w:val="center"/>
        <w:tblLook w:val="04A0"/>
      </w:tblPr>
      <w:tblGrid>
        <w:gridCol w:w="2819"/>
        <w:gridCol w:w="3659"/>
        <w:gridCol w:w="3659"/>
      </w:tblGrid>
      <w:tr w:rsidR="00153E07" w:rsidRPr="00E3313E" w:rsidTr="00153E07">
        <w:trPr>
          <w:trHeight w:val="315"/>
          <w:jc w:val="center"/>
        </w:trPr>
        <w:tc>
          <w:tcPr>
            <w:tcW w:w="13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Группы</w:t>
            </w:r>
          </w:p>
        </w:tc>
        <w:tc>
          <w:tcPr>
            <w:tcW w:w="3610"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Население, тыс. чел.</w:t>
            </w:r>
          </w:p>
        </w:tc>
      </w:tr>
      <w:tr w:rsidR="00153E07" w:rsidRPr="00E3313E" w:rsidTr="00153E07">
        <w:trPr>
          <w:trHeight w:val="300"/>
          <w:jc w:val="center"/>
        </w:trPr>
        <w:tc>
          <w:tcPr>
            <w:tcW w:w="1390" w:type="pct"/>
            <w:vMerge/>
            <w:tcBorders>
              <w:top w:val="single" w:sz="4" w:space="0" w:color="auto"/>
              <w:left w:val="single" w:sz="4" w:space="0" w:color="auto"/>
              <w:bottom w:val="single" w:sz="4" w:space="0" w:color="auto"/>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8"/>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Города</w:t>
            </w:r>
          </w:p>
        </w:tc>
        <w:tc>
          <w:tcPr>
            <w:tcW w:w="1805"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Сельские поселения</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Крупнейшие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Свыше 1000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w:t>
            </w:r>
          </w:p>
        </w:tc>
      </w:tr>
      <w:tr w:rsidR="00153E07" w:rsidRPr="00E3313E" w:rsidTr="00153E07">
        <w:trPr>
          <w:trHeight w:val="300"/>
          <w:jc w:val="center"/>
        </w:trPr>
        <w:tc>
          <w:tcPr>
            <w:tcW w:w="1390"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Крупные</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500-1000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Свыше 5</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250-500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3-5</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Большие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100-250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1-3</w:t>
            </w:r>
          </w:p>
        </w:tc>
      </w:tr>
      <w:tr w:rsidR="00153E07" w:rsidRPr="00E3313E" w:rsidTr="00153E07">
        <w:trPr>
          <w:trHeight w:val="300"/>
          <w:jc w:val="center"/>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Средние</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50-100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0,2-1</w:t>
            </w:r>
          </w:p>
        </w:tc>
      </w:tr>
      <w:tr w:rsidR="00153E07" w:rsidRPr="00E3313E" w:rsidTr="00153E07">
        <w:trPr>
          <w:trHeight w:val="300"/>
          <w:jc w:val="center"/>
        </w:trPr>
        <w:tc>
          <w:tcPr>
            <w:tcW w:w="1390"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Малые*</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20-50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0,05-0,2</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10-20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0,05</w:t>
            </w:r>
          </w:p>
        </w:tc>
      </w:tr>
      <w:tr w:rsidR="00153E07" w:rsidRPr="00E3313E" w:rsidTr="00153E07">
        <w:trPr>
          <w:trHeight w:val="300"/>
          <w:jc w:val="center"/>
        </w:trPr>
        <w:tc>
          <w:tcPr>
            <w:tcW w:w="1390" w:type="pct"/>
            <w:vMerge/>
            <w:tcBorders>
              <w:top w:val="nil"/>
              <w:left w:val="single" w:sz="4" w:space="0" w:color="auto"/>
              <w:bottom w:val="single" w:sz="4" w:space="0" w:color="000000"/>
              <w:right w:val="single" w:sz="4" w:space="0" w:color="auto"/>
            </w:tcBorders>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10</w:t>
            </w:r>
          </w:p>
        </w:tc>
        <w:tc>
          <w:tcPr>
            <w:tcW w:w="1805"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p>
        </w:tc>
      </w:tr>
      <w:tr w:rsidR="00153E07" w:rsidRPr="00E3313E" w:rsidTr="00153E07">
        <w:trPr>
          <w:trHeight w:val="30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8"/>
                <w:szCs w:val="28"/>
              </w:rPr>
            </w:pPr>
            <w:r w:rsidRPr="00E3313E">
              <w:rPr>
                <w:rFonts w:ascii="Times New Roman" w:eastAsia="Times New Roman" w:hAnsi="Times New Roman" w:cs="Times New Roman"/>
                <w:color w:val="000000"/>
                <w:sz w:val="28"/>
                <w:szCs w:val="28"/>
              </w:rPr>
              <w:t>* В группу малых городов включаются поселки городского типа</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Структура численности населения Бардымского муниципального района в разрезе сельских поселений представлена в таблице 1.3</w:t>
      </w:r>
      <w:r w:rsidR="00127DAF">
        <w:rPr>
          <w:rFonts w:ascii="Times New Roman" w:eastAsia="Times New Roman" w:hAnsi="Times New Roman" w:cs="Times New Roman"/>
          <w:sz w:val="28"/>
          <w:szCs w:val="28"/>
        </w:rPr>
        <w:t>2</w:t>
      </w:r>
      <w:r w:rsidRPr="00E3313E">
        <w:rPr>
          <w:rFonts w:ascii="Times New Roman" w:eastAsia="Times New Roman" w:hAnsi="Times New Roman" w:cs="Times New Roman"/>
          <w:sz w:val="28"/>
          <w:szCs w:val="28"/>
        </w:rPr>
        <w:t>.</w:t>
      </w:r>
    </w:p>
    <w:p w:rsidR="00E3313E" w:rsidRDefault="00E3313E" w:rsidP="006D2568">
      <w:pPr>
        <w:spacing w:after="0" w:line="240" w:lineRule="auto"/>
        <w:ind w:firstLine="709"/>
        <w:jc w:val="right"/>
        <w:rPr>
          <w:rFonts w:ascii="Times New Roman" w:eastAsia="Times New Roman" w:hAnsi="Times New Roman" w:cs="Times New Roman"/>
          <w:sz w:val="28"/>
          <w:szCs w:val="28"/>
        </w:rPr>
      </w:pPr>
    </w:p>
    <w:p w:rsidR="00153E07" w:rsidRPr="00E3313E" w:rsidRDefault="00153E07" w:rsidP="006D2568">
      <w:pPr>
        <w:spacing w:after="0" w:line="240" w:lineRule="auto"/>
        <w:ind w:firstLine="709"/>
        <w:jc w:val="right"/>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2</w:t>
      </w:r>
    </w:p>
    <w:p w:rsidR="00153E07" w:rsidRPr="00E3313E" w:rsidRDefault="00153E07" w:rsidP="006D2568">
      <w:pPr>
        <w:spacing w:after="0" w:line="240" w:lineRule="auto"/>
        <w:jc w:val="center"/>
        <w:rPr>
          <w:rFonts w:ascii="Times New Roman" w:eastAsia="Times New Roman" w:hAnsi="Times New Roman" w:cs="Times New Roman"/>
          <w:b/>
          <w:color w:val="000000"/>
          <w:sz w:val="28"/>
          <w:szCs w:val="28"/>
        </w:rPr>
      </w:pPr>
      <w:r w:rsidRPr="00E3313E">
        <w:rPr>
          <w:rFonts w:ascii="Times New Roman" w:eastAsia="Times New Roman" w:hAnsi="Times New Roman" w:cs="Times New Roman"/>
          <w:b/>
          <w:sz w:val="28"/>
          <w:szCs w:val="28"/>
        </w:rPr>
        <w:t>Структура численности населения в разрезе сельских поселений Бардымского муниципального района на 01.01.2017</w:t>
      </w:r>
      <w:r w:rsidR="00127DAF">
        <w:rPr>
          <w:rFonts w:ascii="Times New Roman" w:eastAsia="Times New Roman" w:hAnsi="Times New Roman" w:cs="Times New Roman"/>
          <w:b/>
          <w:sz w:val="28"/>
          <w:szCs w:val="28"/>
        </w:rPr>
        <w:t xml:space="preserve"> </w:t>
      </w:r>
      <w:r w:rsidRPr="00E3313E">
        <w:rPr>
          <w:rFonts w:ascii="Times New Roman" w:eastAsia="Times New Roman" w:hAnsi="Times New Roman" w:cs="Times New Roman"/>
          <w:b/>
          <w:sz w:val="28"/>
          <w:szCs w:val="28"/>
        </w:rPr>
        <w:t>г.</w:t>
      </w:r>
      <w:r w:rsidRPr="00E3313E">
        <w:rPr>
          <w:rStyle w:val="aff2"/>
          <w:rFonts w:ascii="Times New Roman" w:eastAsia="Times New Roman" w:hAnsi="Times New Roman" w:cs="Times New Roman"/>
          <w:b/>
          <w:color w:val="000000"/>
          <w:sz w:val="28"/>
          <w:szCs w:val="28"/>
        </w:rPr>
        <w:footnoteReference w:id="5"/>
      </w:r>
    </w:p>
    <w:tbl>
      <w:tblPr>
        <w:tblW w:w="5000" w:type="pct"/>
        <w:tblLayout w:type="fixed"/>
        <w:tblLook w:val="04A0"/>
      </w:tblPr>
      <w:tblGrid>
        <w:gridCol w:w="3718"/>
        <w:gridCol w:w="3455"/>
        <w:gridCol w:w="1504"/>
        <w:gridCol w:w="1460"/>
      </w:tblGrid>
      <w:tr w:rsidR="00153E07" w:rsidRPr="00E3313E" w:rsidTr="00153E07">
        <w:trPr>
          <w:trHeight w:val="300"/>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Сельское поселение</w:t>
            </w:r>
          </w:p>
        </w:tc>
        <w:tc>
          <w:tcPr>
            <w:tcW w:w="17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Группа</w:t>
            </w:r>
          </w:p>
        </w:tc>
        <w:tc>
          <w:tcPr>
            <w:tcW w:w="1462" w:type="pct"/>
            <w:gridSpan w:val="2"/>
            <w:tcBorders>
              <w:top w:val="single" w:sz="4" w:space="0" w:color="auto"/>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Население на 01.01.2017г.</w:t>
            </w:r>
          </w:p>
        </w:tc>
      </w:tr>
      <w:tr w:rsidR="00153E07" w:rsidRPr="00E3313E" w:rsidTr="00153E07">
        <w:trPr>
          <w:trHeight w:val="300"/>
        </w:trPr>
        <w:tc>
          <w:tcPr>
            <w:tcW w:w="1834"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p>
        </w:tc>
        <w:tc>
          <w:tcPr>
            <w:tcW w:w="1704" w:type="pct"/>
            <w:vMerge/>
            <w:tcBorders>
              <w:top w:val="single" w:sz="4" w:space="0" w:color="auto"/>
              <w:left w:val="single" w:sz="4" w:space="0" w:color="auto"/>
              <w:bottom w:val="single" w:sz="4" w:space="0" w:color="000000"/>
              <w:right w:val="single" w:sz="4" w:space="0" w:color="auto"/>
            </w:tcBorders>
            <w:vAlign w:val="center"/>
            <w:hideMark/>
          </w:tcPr>
          <w:p w:rsidR="00153E07" w:rsidRPr="00D922B3" w:rsidRDefault="00153E07" w:rsidP="006D2568">
            <w:pPr>
              <w:spacing w:after="0" w:line="240" w:lineRule="auto"/>
              <w:jc w:val="both"/>
              <w:rPr>
                <w:rFonts w:ascii="Times New Roman" w:eastAsia="Times New Roman" w:hAnsi="Times New Roman" w:cs="Times New Roman"/>
                <w:b/>
                <w:color w:val="000000"/>
                <w:sz w:val="24"/>
                <w:szCs w:val="28"/>
              </w:rPr>
            </w:pPr>
          </w:p>
        </w:tc>
        <w:tc>
          <w:tcPr>
            <w:tcW w:w="742"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человек</w:t>
            </w:r>
          </w:p>
        </w:tc>
        <w:tc>
          <w:tcPr>
            <w:tcW w:w="720" w:type="pct"/>
            <w:tcBorders>
              <w:top w:val="nil"/>
              <w:left w:val="nil"/>
              <w:bottom w:val="single" w:sz="4" w:space="0" w:color="auto"/>
              <w:right w:val="single" w:sz="4" w:space="0" w:color="auto"/>
            </w:tcBorders>
            <w:shd w:val="clear" w:color="auto" w:fill="auto"/>
            <w:vAlign w:val="center"/>
            <w:hideMark/>
          </w:tcPr>
          <w:p w:rsidR="00153E07" w:rsidRPr="00D922B3" w:rsidRDefault="00153E07" w:rsidP="006D2568">
            <w:pPr>
              <w:spacing w:after="0" w:line="240" w:lineRule="auto"/>
              <w:jc w:val="center"/>
              <w:rPr>
                <w:rFonts w:ascii="Times New Roman" w:eastAsia="Times New Roman" w:hAnsi="Times New Roman" w:cs="Times New Roman"/>
                <w:b/>
                <w:color w:val="000000"/>
                <w:sz w:val="24"/>
                <w:szCs w:val="28"/>
              </w:rPr>
            </w:pPr>
            <w:r w:rsidRPr="00D922B3">
              <w:rPr>
                <w:rFonts w:ascii="Times New Roman" w:eastAsia="Times New Roman" w:hAnsi="Times New Roman" w:cs="Times New Roman"/>
                <w:b/>
                <w:color w:val="000000"/>
                <w:sz w:val="24"/>
                <w:szCs w:val="28"/>
              </w:rPr>
              <w:t>Удельный вес, %</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Бардымское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Крупное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9827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38,9%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Красноярское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2249</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8,9%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Елпачихинское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1916</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7,6%</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Березниковское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1364</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5,4%</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lastRenderedPageBreak/>
              <w:t>Сарашевское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2487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9,8%</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Тюндюковское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1312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5,2%</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Бичуринское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1652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6,5%</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Брюзлинское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792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3,1%</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Федорковское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1184</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4,7%</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Печменское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Большое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1607</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6,4%</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Новоашапское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422</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1,7%</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Шермейское сельское поселение</w:t>
            </w:r>
          </w:p>
        </w:tc>
        <w:tc>
          <w:tcPr>
            <w:tcW w:w="1704" w:type="pct"/>
            <w:tcBorders>
              <w:top w:val="nil"/>
              <w:left w:val="nil"/>
              <w:bottom w:val="single" w:sz="4" w:space="0" w:color="auto"/>
              <w:right w:val="single" w:sz="4" w:space="0" w:color="auto"/>
            </w:tcBorders>
            <w:shd w:val="clear" w:color="auto" w:fill="auto"/>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Среднее сельское поселение</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479</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1,9%</w:t>
            </w:r>
          </w:p>
        </w:tc>
      </w:tr>
      <w:tr w:rsidR="00153E07" w:rsidRPr="00E3313E" w:rsidTr="00153E07">
        <w:trPr>
          <w:trHeight w:val="300"/>
        </w:trPr>
        <w:tc>
          <w:tcPr>
            <w:tcW w:w="1834" w:type="pct"/>
            <w:tcBorders>
              <w:top w:val="nil"/>
              <w:left w:val="single" w:sz="4" w:space="0" w:color="auto"/>
              <w:bottom w:val="single" w:sz="4" w:space="0" w:color="auto"/>
              <w:right w:val="single" w:sz="4" w:space="0" w:color="auto"/>
            </w:tcBorders>
            <w:shd w:val="clear" w:color="auto" w:fill="auto"/>
            <w:noWrap/>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Итого</w:t>
            </w:r>
          </w:p>
        </w:tc>
        <w:tc>
          <w:tcPr>
            <w:tcW w:w="1704" w:type="pct"/>
            <w:tcBorders>
              <w:top w:val="nil"/>
              <w:left w:val="nil"/>
              <w:bottom w:val="single" w:sz="4" w:space="0" w:color="auto"/>
              <w:right w:val="single" w:sz="4" w:space="0" w:color="auto"/>
            </w:tcBorders>
            <w:shd w:val="clear" w:color="auto" w:fill="auto"/>
            <w:noWrap/>
            <w:vAlign w:val="bottom"/>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w:t>
            </w:r>
          </w:p>
        </w:tc>
        <w:tc>
          <w:tcPr>
            <w:tcW w:w="742"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25291</w:t>
            </w:r>
          </w:p>
        </w:tc>
        <w:tc>
          <w:tcPr>
            <w:tcW w:w="720" w:type="pct"/>
            <w:tcBorders>
              <w:top w:val="nil"/>
              <w:left w:val="nil"/>
              <w:bottom w:val="single" w:sz="4" w:space="0" w:color="auto"/>
              <w:right w:val="single" w:sz="4" w:space="0" w:color="auto"/>
            </w:tcBorders>
            <w:shd w:val="clear" w:color="auto" w:fill="auto"/>
            <w:vAlign w:val="center"/>
            <w:hideMark/>
          </w:tcPr>
          <w:p w:rsidR="00153E07" w:rsidRPr="00E3313E" w:rsidRDefault="00153E07" w:rsidP="006D2568">
            <w:pPr>
              <w:spacing w:after="0" w:line="240" w:lineRule="auto"/>
              <w:jc w:val="both"/>
              <w:rPr>
                <w:rFonts w:ascii="Times New Roman" w:eastAsia="Times New Roman" w:hAnsi="Times New Roman" w:cs="Times New Roman"/>
                <w:color w:val="000000"/>
                <w:sz w:val="24"/>
                <w:szCs w:val="28"/>
              </w:rPr>
            </w:pPr>
            <w:r w:rsidRPr="00E3313E">
              <w:rPr>
                <w:rFonts w:ascii="Times New Roman" w:eastAsia="Times New Roman" w:hAnsi="Times New Roman" w:cs="Times New Roman"/>
                <w:color w:val="000000"/>
                <w:sz w:val="24"/>
                <w:szCs w:val="28"/>
              </w:rPr>
              <w:t>100%</w:t>
            </w:r>
          </w:p>
        </w:tc>
      </w:tr>
    </w:tbl>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p>
    <w:p w:rsidR="00140697" w:rsidRPr="00127DAF" w:rsidRDefault="00140697" w:rsidP="006D2568">
      <w:pPr>
        <w:spacing w:after="0" w:line="240" w:lineRule="auto"/>
        <w:ind w:firstLine="709"/>
        <w:jc w:val="both"/>
        <w:rPr>
          <w:rFonts w:ascii="Times New Roman" w:eastAsia="Times New Roman" w:hAnsi="Times New Roman" w:cs="Times New Roman"/>
          <w:b/>
          <w:sz w:val="28"/>
          <w:szCs w:val="28"/>
        </w:rPr>
      </w:pPr>
      <w:r w:rsidRPr="00127DAF">
        <w:rPr>
          <w:rFonts w:ascii="Times New Roman" w:eastAsia="Times New Roman" w:hAnsi="Times New Roman" w:cs="Times New Roman"/>
          <w:b/>
          <w:sz w:val="28"/>
          <w:szCs w:val="28"/>
        </w:rPr>
        <w:t>1.4.1 Типология населенных пунктов Бардымского муниципального района</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Бардымском муниципальном районе расположен 61 населенный пункт. В соответствии с численностью населения в данных населенных пунктах их можно подразделить на 3 группы: развиваемые, сохраняемые и неперспективные населенные пункты.</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развиваемым населенным пунктам можно отнести те, в которых численность населения составляет от 300 до 10000 человек.</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Сохраняемыми населенными пунктами выступают села и деревни с численностью населения от 10 до 300 человек.</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Неперспективными считаются те, населенные пункты, в которых проживает до 10 человек, так называемые однодворки.</w:t>
      </w:r>
    </w:p>
    <w:p w:rsidR="00EE309F" w:rsidRDefault="00EE309F"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1.3</w:t>
      </w:r>
      <w:r w:rsidR="00127DAF">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представлены населенные пункты Бардымского муниципального района в разрезе данной группировки.</w:t>
      </w:r>
    </w:p>
    <w:p w:rsidR="00EE309F" w:rsidRDefault="00EE309F" w:rsidP="006D2568">
      <w:pPr>
        <w:spacing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1.3</w:t>
      </w:r>
      <w:r w:rsidR="00127DAF">
        <w:rPr>
          <w:rFonts w:ascii="Times New Roman" w:eastAsia="Times New Roman" w:hAnsi="Times New Roman" w:cs="Times New Roman"/>
          <w:sz w:val="28"/>
          <w:szCs w:val="28"/>
        </w:rPr>
        <w:t>3</w:t>
      </w:r>
    </w:p>
    <w:p w:rsidR="00EE309F" w:rsidRPr="00EF6379" w:rsidRDefault="00EE309F" w:rsidP="006D2568">
      <w:pPr>
        <w:spacing w:after="0" w:line="240" w:lineRule="auto"/>
        <w:ind w:firstLine="709"/>
        <w:jc w:val="center"/>
        <w:rPr>
          <w:rFonts w:ascii="Times New Roman" w:eastAsia="Times New Roman" w:hAnsi="Times New Roman" w:cs="Times New Roman"/>
          <w:b/>
          <w:sz w:val="28"/>
          <w:szCs w:val="28"/>
        </w:rPr>
      </w:pPr>
      <w:r w:rsidRPr="00EF6379">
        <w:rPr>
          <w:rFonts w:ascii="Times New Roman" w:eastAsia="Times New Roman" w:hAnsi="Times New Roman" w:cs="Times New Roman"/>
          <w:b/>
          <w:sz w:val="28"/>
          <w:szCs w:val="28"/>
        </w:rPr>
        <w:t xml:space="preserve">Населенные пункты Бардымского муниципального района </w:t>
      </w:r>
    </w:p>
    <w:p w:rsidR="00EE309F" w:rsidRPr="00EF6379" w:rsidRDefault="00EE309F" w:rsidP="006D2568">
      <w:pPr>
        <w:spacing w:after="0" w:line="240" w:lineRule="auto"/>
        <w:ind w:firstLine="709"/>
        <w:jc w:val="center"/>
        <w:rPr>
          <w:rFonts w:ascii="Times New Roman" w:eastAsia="Times New Roman" w:hAnsi="Times New Roman" w:cs="Times New Roman"/>
          <w:b/>
          <w:sz w:val="28"/>
          <w:szCs w:val="28"/>
        </w:rPr>
      </w:pPr>
      <w:r w:rsidRPr="00EF6379">
        <w:rPr>
          <w:rFonts w:ascii="Times New Roman" w:eastAsia="Times New Roman" w:hAnsi="Times New Roman" w:cs="Times New Roman"/>
          <w:b/>
          <w:sz w:val="28"/>
          <w:szCs w:val="28"/>
        </w:rPr>
        <w:t>по категориям развития</w:t>
      </w:r>
    </w:p>
    <w:tbl>
      <w:tblPr>
        <w:tblW w:w="5000" w:type="pct"/>
        <w:jc w:val="center"/>
        <w:tblLook w:val="04A0"/>
      </w:tblPr>
      <w:tblGrid>
        <w:gridCol w:w="2794"/>
        <w:gridCol w:w="2313"/>
        <w:gridCol w:w="2226"/>
        <w:gridCol w:w="2804"/>
      </w:tblGrid>
      <w:tr w:rsidR="00EE309F" w:rsidRPr="00EE309F" w:rsidTr="00EE309F">
        <w:trPr>
          <w:trHeight w:val="900"/>
          <w:jc w:val="center"/>
        </w:trPr>
        <w:tc>
          <w:tcPr>
            <w:tcW w:w="1378"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Сельское поселение / Населенный пункт</w:t>
            </w:r>
          </w:p>
        </w:tc>
        <w:tc>
          <w:tcPr>
            <w:tcW w:w="1141"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Развиваемый</w:t>
            </w:r>
          </w:p>
        </w:tc>
        <w:tc>
          <w:tcPr>
            <w:tcW w:w="1098"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Сохраняемый</w:t>
            </w:r>
          </w:p>
        </w:tc>
        <w:tc>
          <w:tcPr>
            <w:tcW w:w="1383" w:type="pct"/>
            <w:tcBorders>
              <w:top w:val="single" w:sz="4" w:space="0" w:color="auto"/>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Неперспективный</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Бардымское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Барда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Мостовая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Старый Чад</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Чалково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Березниковское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Березники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Ишимово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Кудаш</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Чувашаево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Куземьярово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Бичуринское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Бичурино</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lastRenderedPageBreak/>
              <w:t>д. Бардабашка-I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Бардабашка-II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Учкул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Брюзлинское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Брюзли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Батырбай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Сюзянь</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Елпачихинское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Елпачиха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Искирь</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Конюково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Усть-Тунтор</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Красноярское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Краснояр-I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Краснояр-II</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Утяй</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Новоашапское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4</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Новый Ашап</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Верхний 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Никольск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Талканка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Усть-Шлык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Печменское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5</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Печмень</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Амировка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Асюл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Зязелга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Кармановка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75"/>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Нижняя Искильда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Константиновка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Сарашевское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Сараши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3A4F1A" w:rsidP="006D2568">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w:t>
            </w:r>
            <w:r w:rsidR="00EE309F" w:rsidRPr="00EE309F">
              <w:rPr>
                <w:rFonts w:ascii="Times New Roman" w:eastAsia="Times New Roman" w:hAnsi="Times New Roman" w:cs="Times New Roman"/>
                <w:color w:val="000000"/>
              </w:rPr>
              <w:t xml:space="preserve"> Игатка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Нарадка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Усаклы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Усть-Ашап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Султанай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Танып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Тюндюковское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4</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Тюндюк</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Новая Казанка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Верх-Шлык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 xml:space="preserve">д. Новый Чад  </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Старый Ашап</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Аклуши</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Федорковское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Федорки</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lastRenderedPageBreak/>
              <w:t>д. Юкшур</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Акбаш</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Уймуж</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Шермейское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7</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w:t>
            </w:r>
          </w:p>
        </w:tc>
      </w:tr>
      <w:tr w:rsidR="003A4F1A" w:rsidRPr="00EE309F" w:rsidTr="003A4F1A">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с. Шермейка</w:t>
            </w:r>
          </w:p>
        </w:tc>
        <w:tc>
          <w:tcPr>
            <w:tcW w:w="1141"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3A4F1A" w:rsidRPr="00EE309F" w:rsidRDefault="003A4F1A"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Антуфьево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Зайцево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Караул</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Низовское</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Шабарка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Шермеинск</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д. Щипа</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color w:val="000000"/>
              </w:rPr>
            </w:pPr>
            <w:r w:rsidRPr="00EE309F">
              <w:rPr>
                <w:rFonts w:ascii="Times New Roman" w:eastAsia="Times New Roman" w:hAnsi="Times New Roman" w:cs="Times New Roman"/>
                <w:color w:val="000000"/>
              </w:rPr>
              <w:t>п. Искирский</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color w:val="000000"/>
              </w:rPr>
            </w:pPr>
            <w:r w:rsidRPr="00EE309F">
              <w:rPr>
                <w:rFonts w:ascii="Times New Roman" w:eastAsia="Times New Roman" w:hAnsi="Times New Roman" w:cs="Times New Roman"/>
                <w:color w:val="000000"/>
              </w:rPr>
              <w:t>1</w:t>
            </w:r>
          </w:p>
        </w:tc>
      </w:tr>
      <w:tr w:rsidR="00EE309F" w:rsidRPr="00EE309F" w:rsidTr="00EE309F">
        <w:trPr>
          <w:trHeight w:val="300"/>
          <w:jc w:val="center"/>
        </w:trPr>
        <w:tc>
          <w:tcPr>
            <w:tcW w:w="1378" w:type="pct"/>
            <w:tcBorders>
              <w:top w:val="nil"/>
              <w:left w:val="single" w:sz="4" w:space="0" w:color="auto"/>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Итого</w:t>
            </w:r>
          </w:p>
        </w:tc>
        <w:tc>
          <w:tcPr>
            <w:tcW w:w="1141"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23</w:t>
            </w:r>
          </w:p>
        </w:tc>
        <w:tc>
          <w:tcPr>
            <w:tcW w:w="1098"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33</w:t>
            </w:r>
          </w:p>
        </w:tc>
        <w:tc>
          <w:tcPr>
            <w:tcW w:w="1383" w:type="pct"/>
            <w:tcBorders>
              <w:top w:val="nil"/>
              <w:left w:val="nil"/>
              <w:bottom w:val="single" w:sz="4" w:space="0" w:color="auto"/>
              <w:right w:val="single" w:sz="4" w:space="0" w:color="auto"/>
            </w:tcBorders>
            <w:shd w:val="clear" w:color="auto" w:fill="auto"/>
            <w:vAlign w:val="bottom"/>
            <w:hideMark/>
          </w:tcPr>
          <w:p w:rsidR="00EE309F" w:rsidRPr="00EE309F" w:rsidRDefault="00EE309F" w:rsidP="006D2568">
            <w:pPr>
              <w:spacing w:after="0" w:line="240" w:lineRule="auto"/>
              <w:jc w:val="center"/>
              <w:rPr>
                <w:rFonts w:ascii="Times New Roman" w:eastAsia="Times New Roman" w:hAnsi="Times New Roman" w:cs="Times New Roman"/>
                <w:b/>
                <w:bCs/>
                <w:color w:val="000000"/>
              </w:rPr>
            </w:pPr>
            <w:r w:rsidRPr="00EE309F">
              <w:rPr>
                <w:rFonts w:ascii="Times New Roman" w:eastAsia="Times New Roman" w:hAnsi="Times New Roman" w:cs="Times New Roman"/>
                <w:b/>
                <w:bCs/>
                <w:color w:val="000000"/>
              </w:rPr>
              <w:t>5</w:t>
            </w:r>
          </w:p>
        </w:tc>
      </w:tr>
    </w:tbl>
    <w:p w:rsidR="00140697" w:rsidRDefault="00DE336E"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Таким образом, к категории развиваемых относится 23 населенных пункта, из них </w:t>
      </w:r>
      <w:r w:rsidR="001B40D6">
        <w:rPr>
          <w:rFonts w:ascii="Times New Roman" w:eastAsia="Times New Roman" w:hAnsi="Times New Roman" w:cs="Times New Roman"/>
          <w:sz w:val="28"/>
          <w:szCs w:val="28"/>
        </w:rPr>
        <w:t xml:space="preserve">наибольшая доля располагается в Бардымском, Березниковском, Брюзлинском, Красноярском, </w:t>
      </w:r>
      <w:r w:rsidR="00592655">
        <w:rPr>
          <w:rFonts w:ascii="Times New Roman" w:eastAsia="Times New Roman" w:hAnsi="Times New Roman" w:cs="Times New Roman"/>
          <w:sz w:val="28"/>
          <w:szCs w:val="28"/>
        </w:rPr>
        <w:t xml:space="preserve">Елпачихинском и Федорковском сельских поселениях. При этом, по доле численности населения, приходящегося на </w:t>
      </w:r>
      <w:r w:rsidR="006034AD">
        <w:rPr>
          <w:rFonts w:ascii="Times New Roman" w:eastAsia="Times New Roman" w:hAnsi="Times New Roman" w:cs="Times New Roman"/>
          <w:sz w:val="28"/>
          <w:szCs w:val="28"/>
        </w:rPr>
        <w:t>развиваемые населенные пункты сюда также можно также добавить Сарашевское сельское поселение. В целом в развиваемых населенных пунктах проживает 87,2% всего населения Бардымского муниципального района.</w:t>
      </w:r>
    </w:p>
    <w:p w:rsidR="006034AD" w:rsidRDefault="006034AD"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сохраняемым населенным пунктам можно отнести</w:t>
      </w:r>
      <w:r w:rsidR="00FF0C59">
        <w:rPr>
          <w:rFonts w:ascii="Times New Roman" w:eastAsia="Times New Roman" w:hAnsi="Times New Roman" w:cs="Times New Roman"/>
          <w:sz w:val="28"/>
          <w:szCs w:val="28"/>
        </w:rPr>
        <w:t xml:space="preserve"> 33 населенных пункта, в которых проживает 12,7% населения всего Бардымского района. Наибольшая </w:t>
      </w:r>
      <w:r w:rsidR="008B4C8B">
        <w:rPr>
          <w:rFonts w:ascii="Times New Roman" w:eastAsia="Times New Roman" w:hAnsi="Times New Roman" w:cs="Times New Roman"/>
          <w:sz w:val="28"/>
          <w:szCs w:val="28"/>
        </w:rPr>
        <w:t>доля сохраняемых населенных пунктов располагается в Бичуринском, Новоашапском, Печменском, Тюндюковском и Шермейском населенных пунктах.</w:t>
      </w:r>
    </w:p>
    <w:p w:rsidR="008B4C8B" w:rsidRDefault="008B4C8B"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неперспективным (однодворкам) относится </w:t>
      </w:r>
      <w:r w:rsidR="003A4F1A">
        <w:rPr>
          <w:rFonts w:ascii="Times New Roman" w:eastAsia="Times New Roman" w:hAnsi="Times New Roman" w:cs="Times New Roman"/>
          <w:sz w:val="28"/>
          <w:szCs w:val="28"/>
        </w:rPr>
        <w:t xml:space="preserve">5 населенных пунктов. Доля населения, проживающего в них составляет 0,1% от всего сельского населения Бардымского муниципального района. </w:t>
      </w:r>
    </w:p>
    <w:p w:rsidR="003A4F1A" w:rsidRDefault="003A4F1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Неперспективными населенными пунктами являются деревня Утяй, в которой проживает 2 человека Красноярского сельского поселения, д. Усаклы (5 чел) и д. </w:t>
      </w:r>
      <w:r w:rsidR="00E36F81">
        <w:rPr>
          <w:rFonts w:ascii="Times New Roman" w:eastAsia="Times New Roman" w:hAnsi="Times New Roman" w:cs="Times New Roman"/>
          <w:sz w:val="28"/>
          <w:szCs w:val="28"/>
        </w:rPr>
        <w:t>Игатка (8 чел) С</w:t>
      </w:r>
      <w:r>
        <w:rPr>
          <w:rFonts w:ascii="Times New Roman" w:eastAsia="Times New Roman" w:hAnsi="Times New Roman" w:cs="Times New Roman"/>
          <w:sz w:val="28"/>
          <w:szCs w:val="28"/>
        </w:rPr>
        <w:t>арашевского сельского поселения, п. Искирский (3 чел.) и д. Шермеинск (3 чел.) Шермейского сельского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Формирование территорий сельских поселений Бардымского муниципального района, в соответствии с действующим законодательством, произведено на основе закрепления их границ, путем разработки соответствующих картографических описаний, состав и содержание которых, а также порядок их утверждения определен органами государственной власти Пермского края.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Федеральным законом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xml:space="preserve"> установлены требования к формированию территорий сельских поселений. В соответствии с данным законом: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 Границы территорий муниципальных образований устанавливаются и изменяются законами субъектов Российской Федерации;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2. Территория субъекта Российской Федерации, за исключением территорий с низкой плотностью населения, разграничиваются между поселениями;</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 xml:space="preserve">3.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рекреационные земли, земли для развития поселения;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4. Границы сельского поселения, в состав которого входят два и более населенных пункта устанавливаются с учетом пешеходной доступности до административного центра сельского поселения, туда и обратно в течение рабочего дня для жителей всех населенных пунктов, входящих в состав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5. Границы поселения не могут пересекаться границами населенного пункта;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6. Территория поселения не может находиться внутри территории другого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7. Границы муниципального района не могут пересекаться границами поселения.</w:t>
      </w:r>
      <w:r w:rsidRPr="00E3313E">
        <w:rPr>
          <w:rStyle w:val="aff2"/>
          <w:rFonts w:ascii="Times New Roman" w:eastAsia="Times New Roman" w:hAnsi="Times New Roman" w:cs="Times New Roman"/>
          <w:sz w:val="28"/>
          <w:szCs w:val="28"/>
        </w:rPr>
        <w:footnoteReference w:id="6"/>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В связи с тем, что законом предусматриваются особые условия установления границ на территориях с низкой плотностью населения, Правительством РФ установлены территории, относящиеся к территориям с низкой плотностью населения. На таких территориях формируются так называемые межселенные территории, не относящиеся к территории сельских поселений.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Бардымский муниципальный район включает в себя 12 сельских поселений, из них 1 сельское поселение относится к группе крупных поселений, 8 – к группе больших сельских поселений и 3 классифицируются как средние сельские поселения (таблица </w:t>
      </w:r>
      <w:r w:rsidR="0044735E">
        <w:rPr>
          <w:rFonts w:ascii="Times New Roman" w:eastAsia="Times New Roman" w:hAnsi="Times New Roman" w:cs="Times New Roman"/>
          <w:sz w:val="28"/>
          <w:szCs w:val="28"/>
        </w:rPr>
        <w:t>1.33</w:t>
      </w:r>
      <w:r w:rsidRPr="00E3313E">
        <w:rPr>
          <w:rFonts w:ascii="Times New Roman" w:eastAsia="Times New Roman" w:hAnsi="Times New Roman" w:cs="Times New Roman"/>
          <w:sz w:val="28"/>
          <w:szCs w:val="28"/>
        </w:rPr>
        <w:t xml:space="preserve">). Городских поселений и межселенных территорий Бардымский муниципальный район не имеет.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При установлении в 2004 году границ муниципальных образований Бардымского района Пермского края – сельских поселений учитывалось существующее кадастровое деление территории муниципального района, а также предложения органов местного самоуправления и населения района (картографическое описание) границ муниципальных образований Бардымского муниципального района Пермской области, Закона Пермской области № 1715-347 от 10.11.2004 г. </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Об утверждении границ и о наделении статусом муниципальных образований Бардымского района Пермского края</w:t>
      </w:r>
      <w:r w:rsidR="00DE2D0E">
        <w:rPr>
          <w:rFonts w:ascii="Times New Roman" w:eastAsia="Times New Roman" w:hAnsi="Times New Roman" w:cs="Times New Roman"/>
          <w:sz w:val="28"/>
          <w:szCs w:val="28"/>
        </w:rPr>
        <w:t>»</w:t>
      </w:r>
      <w:r w:rsidRPr="00E3313E">
        <w:rPr>
          <w:rFonts w:ascii="Times New Roman" w:eastAsia="Times New Roman" w:hAnsi="Times New Roman" w:cs="Times New Roman"/>
          <w:sz w:val="28"/>
          <w:szCs w:val="28"/>
        </w:rPr>
        <w:t xml:space="preserve"> (в ред. от 14.12.2013г.).</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При установлении границ муниципальных образований Бардымского района соблюдались следующие требования: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1. Сельские поселения агрегировались, как правило, из двух-пяти населенных пунктов и прилегающих к ним территорий. Населенный пункт с наибольшей численностью населения определялся административным центром сельского поселения. При этом соблюдалось условие о максимально возможной удаленности населенных пунктов от административного центра поселения.</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lastRenderedPageBreak/>
        <w:t xml:space="preserve">2. К территориям традиционного природопользования были отнесены земли сельскохозяйственного назначения, которые использовались хозяйствующими субъектами, расположенными в соответствующих населенных пунктах. Границы сельскохозяйственных угодий за последние годы существенно не изменились, в том числе и в результате преобразования отношений собственности на землю. </w:t>
      </w:r>
    </w:p>
    <w:p w:rsidR="00153E07" w:rsidRPr="00E3313E" w:rsidRDefault="00153E07"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Фактическое сокращение вовлечения сельхозугодий в хозяйственную деятельность в течение последних десяти лет, также не привело к изменению юридических границ землепользований. Поэтому на первом этапе эти границы рассматривались как базовые. Таким образом, формирование границ поселений осуществлялось в соответствии с ранее утвержденной землеустроительной документацией, что позволяет учесть интересы землепользователей. </w:t>
      </w:r>
    </w:p>
    <w:p w:rsidR="00153E07" w:rsidRPr="00E3313E" w:rsidRDefault="00153E07" w:rsidP="006D2568">
      <w:pPr>
        <w:spacing w:line="240" w:lineRule="auto"/>
        <w:ind w:firstLine="708"/>
        <w:jc w:val="both"/>
        <w:rPr>
          <w:rFonts w:ascii="Times New Roman" w:hAnsi="Times New Roman" w:cs="Times New Roman"/>
          <w:sz w:val="28"/>
          <w:szCs w:val="28"/>
        </w:rPr>
      </w:pPr>
      <w:r w:rsidRPr="00E3313E">
        <w:rPr>
          <w:rFonts w:ascii="Times New Roman" w:eastAsia="Times New Roman" w:hAnsi="Times New Roman" w:cs="Times New Roman"/>
          <w:sz w:val="28"/>
          <w:szCs w:val="28"/>
        </w:rPr>
        <w:t>3. Разграничение между поселениями земель лесного фонда осуществлено по принципу максимального их тяготения к сопредельным населенным пунктам. Деление таких территорий на части произведено по естественным и искусственным рубежам (линиям электропередачи, автодорогам, лесным и полевым дорогам и тропам, руслам рек).</w:t>
      </w:r>
    </w:p>
    <w:bookmarkEnd w:id="2"/>
    <w:bookmarkEnd w:id="3"/>
    <w:p w:rsidR="00E36F81" w:rsidRDefault="00E36F81" w:rsidP="006D2568">
      <w:pPr>
        <w:spacing w:line="240" w:lineRule="auto"/>
        <w:rPr>
          <w:rFonts w:ascii="Times New Roman" w:eastAsiaTheme="majorEastAsia" w:hAnsi="Times New Roman" w:cs="Times New Roman"/>
          <w:b/>
          <w:bCs/>
          <w:sz w:val="28"/>
          <w:szCs w:val="28"/>
        </w:rPr>
      </w:pPr>
      <w:r>
        <w:br w:type="page"/>
      </w:r>
    </w:p>
    <w:p w:rsidR="005E327B" w:rsidRPr="00E3313E" w:rsidRDefault="005E327B" w:rsidP="006D2568">
      <w:pPr>
        <w:pStyle w:val="1"/>
        <w:spacing w:line="240" w:lineRule="auto"/>
      </w:pPr>
      <w:r w:rsidRPr="00E3313E">
        <w:lastRenderedPageBreak/>
        <w:t xml:space="preserve">2 </w:t>
      </w:r>
      <w:bookmarkStart w:id="4" w:name="_Toc491943099"/>
      <w:r w:rsidRPr="00E3313E">
        <w:t>П</w:t>
      </w:r>
      <w:r w:rsidR="00E3313E">
        <w:t xml:space="preserve">редпосылки формирования Стратегии социально-экономического развития Бардымского муниципального района на </w:t>
      </w:r>
      <w:r w:rsidRPr="00E3313E">
        <w:t>2018-2030</w:t>
      </w:r>
      <w:r w:rsidR="00E3313E">
        <w:t xml:space="preserve"> годы в условиях современных угроз и ограничений</w:t>
      </w:r>
      <w:bookmarkEnd w:id="4"/>
    </w:p>
    <w:p w:rsidR="005E327B" w:rsidRPr="00E3313E" w:rsidRDefault="005E327B" w:rsidP="006D2568">
      <w:pPr>
        <w:spacing w:after="0" w:line="240" w:lineRule="auto"/>
        <w:ind w:firstLine="709"/>
        <w:jc w:val="both"/>
        <w:rPr>
          <w:rFonts w:ascii="Times New Roman" w:eastAsia="Times New Roman" w:hAnsi="Times New Roman" w:cs="Times New Roman"/>
          <w:sz w:val="28"/>
          <w:szCs w:val="28"/>
        </w:rPr>
      </w:pPr>
      <w:r w:rsidRPr="00E3313E">
        <w:rPr>
          <w:rFonts w:ascii="Times New Roman" w:eastAsia="Times New Roman" w:hAnsi="Times New Roman" w:cs="Times New Roman"/>
          <w:sz w:val="28"/>
          <w:szCs w:val="28"/>
        </w:rPr>
        <w:t xml:space="preserve">Общемировые тенденции, характеризующие ухудшение демографической ситуации, введение санкций в адрес России, замедление экономического роста, ухудшение экологической ситуации требуют планирования использования имеющихся ресурсов и поиска направлений по их восстановлению.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Предпосылками формирования стратегии социально-экономического развития Бардымского муниципального района выступают приоритетные направления социально-экономического развития Российской Федерации, а именно, развитие промышленного производства, развитие человеческого капитала, ориентир на импортозамещение, развитие агропромышленного сектора, увеличение производительности труда и объемов производства на фоне сокращений численности трудоспособного населения за счет достижений научно-технического прогресса.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Pr="00153E07" w:rsidRDefault="005E327B" w:rsidP="006D2568">
      <w:pPr>
        <w:pStyle w:val="1"/>
        <w:numPr>
          <w:ilvl w:val="1"/>
          <w:numId w:val="1"/>
        </w:numPr>
        <w:spacing w:line="240" w:lineRule="auto"/>
      </w:pPr>
      <w:bookmarkStart w:id="5" w:name="_Toc491943100"/>
      <w:r w:rsidRPr="00153E07">
        <w:t>Общемировые и общероссийские тенденции социально-экономического развития до 2030 года</w:t>
      </w:r>
      <w:bookmarkEnd w:id="5"/>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Период с 2011 по 2016 год характеризуется постепенным ослаблением динамики социально-экономического развития России. Основной спад макроэкономических показателей пришелся на 2014 год, на что повлияло усиление экономических санкций в отношении Российской Федерации в связи с обострением геополитической обстановки.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ведением санкций российские компании оказались ограничены в доступе к мировым финансовым ресурсам, что увеличило стоимость кредитования физических и юридических лиц и соответственно оказало негативное влияние на инвестиционную политику и потребительские настроения.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Дальнейший экономический спад был обусловлен падением цен на нефть и обострением ситуации на внешнем рынке. Данные факторы спровоцировали рост неопределенности и ухудшение предпринимательской уверенности.</w:t>
      </w:r>
    </w:p>
    <w:p w:rsidR="00D922B3" w:rsidRDefault="00D922B3" w:rsidP="006D2568">
      <w:pPr>
        <w:spacing w:after="0" w:line="240" w:lineRule="auto"/>
        <w:ind w:firstLine="709"/>
        <w:jc w:val="right"/>
        <w:rPr>
          <w:rFonts w:ascii="Times New Roman" w:eastAsia="Times New Roman" w:hAnsi="Times New Roman" w:cs="Times New Roman"/>
          <w:sz w:val="28"/>
          <w:szCs w:val="28"/>
        </w:rPr>
      </w:pPr>
    </w:p>
    <w:p w:rsidR="005E327B" w:rsidRPr="00153E07" w:rsidRDefault="00DE2D0E"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2.1</w:t>
      </w:r>
    </w:p>
    <w:p w:rsidR="005E327B" w:rsidRPr="002F6162" w:rsidRDefault="005E327B" w:rsidP="006D2568">
      <w:pPr>
        <w:spacing w:after="0" w:line="240" w:lineRule="auto"/>
        <w:jc w:val="center"/>
        <w:rPr>
          <w:rFonts w:ascii="Times New Roman" w:eastAsia="Times New Roman" w:hAnsi="Times New Roman" w:cs="Times New Roman"/>
          <w:b/>
          <w:sz w:val="28"/>
          <w:szCs w:val="28"/>
        </w:rPr>
      </w:pPr>
      <w:r w:rsidRPr="002F6162">
        <w:rPr>
          <w:rFonts w:ascii="Times New Roman" w:eastAsia="Times New Roman" w:hAnsi="Times New Roman" w:cs="Times New Roman"/>
          <w:b/>
          <w:sz w:val="28"/>
          <w:szCs w:val="28"/>
        </w:rPr>
        <w:t>Динамика основных показателей социально-экономического развития Российской Федерации в 2011 – 2016 годах, %</w:t>
      </w:r>
    </w:p>
    <w:tbl>
      <w:tblPr>
        <w:tblW w:w="5000" w:type="pct"/>
        <w:tblLook w:val="04A0"/>
      </w:tblPr>
      <w:tblGrid>
        <w:gridCol w:w="4327"/>
        <w:gridCol w:w="986"/>
        <w:gridCol w:w="966"/>
        <w:gridCol w:w="964"/>
        <w:gridCol w:w="966"/>
        <w:gridCol w:w="964"/>
        <w:gridCol w:w="964"/>
      </w:tblGrid>
      <w:tr w:rsidR="005E327B" w:rsidRPr="00153E07" w:rsidTr="005E327B">
        <w:trPr>
          <w:trHeight w:val="315"/>
        </w:trPr>
        <w:tc>
          <w:tcPr>
            <w:tcW w:w="2136"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Показатели</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2011</w:t>
            </w:r>
          </w:p>
        </w:tc>
        <w:tc>
          <w:tcPr>
            <w:tcW w:w="478" w:type="pct"/>
            <w:tcBorders>
              <w:top w:val="single" w:sz="4" w:space="0" w:color="auto"/>
              <w:left w:val="nil"/>
              <w:bottom w:val="single" w:sz="4" w:space="0" w:color="auto"/>
              <w:right w:val="single" w:sz="4" w:space="0" w:color="auto"/>
            </w:tcBorders>
            <w:shd w:val="clear" w:color="auto" w:fill="auto"/>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2012</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2013</w:t>
            </w:r>
          </w:p>
        </w:tc>
        <w:tc>
          <w:tcPr>
            <w:tcW w:w="478" w:type="pct"/>
            <w:tcBorders>
              <w:top w:val="single" w:sz="4" w:space="0" w:color="auto"/>
              <w:left w:val="nil"/>
              <w:bottom w:val="single" w:sz="4" w:space="0" w:color="auto"/>
              <w:right w:val="single" w:sz="4" w:space="0" w:color="auto"/>
            </w:tcBorders>
            <w:shd w:val="clear" w:color="auto" w:fill="auto"/>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2014</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2015</w:t>
            </w:r>
          </w:p>
        </w:tc>
        <w:tc>
          <w:tcPr>
            <w:tcW w:w="477" w:type="pct"/>
            <w:tcBorders>
              <w:top w:val="single" w:sz="4" w:space="0" w:color="auto"/>
              <w:left w:val="nil"/>
              <w:bottom w:val="single" w:sz="4" w:space="0" w:color="auto"/>
              <w:right w:val="single" w:sz="4" w:space="0" w:color="auto"/>
            </w:tcBorders>
            <w:shd w:val="clear" w:color="auto" w:fill="auto"/>
            <w:hideMark/>
          </w:tcPr>
          <w:p w:rsidR="005E327B" w:rsidRPr="00D922B3" w:rsidRDefault="005E327B" w:rsidP="006D2568">
            <w:pPr>
              <w:spacing w:after="0" w:line="240" w:lineRule="auto"/>
              <w:jc w:val="both"/>
              <w:rPr>
                <w:rFonts w:ascii="Times New Roman" w:eastAsia="Times New Roman" w:hAnsi="Times New Roman" w:cs="Times New Roman"/>
                <w:b/>
                <w:color w:val="000000"/>
                <w:sz w:val="28"/>
                <w:szCs w:val="28"/>
              </w:rPr>
            </w:pPr>
            <w:r w:rsidRPr="00D922B3">
              <w:rPr>
                <w:rFonts w:ascii="Times New Roman" w:eastAsia="Times New Roman" w:hAnsi="Times New Roman" w:cs="Times New Roman"/>
                <w:b/>
                <w:color w:val="000000"/>
                <w:sz w:val="28"/>
                <w:szCs w:val="28"/>
              </w:rPr>
              <w:t>2016</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ВВП</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113,07</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103,7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101,8</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97,2</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99,8</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 xml:space="preserve">Индекс  потребительских цен, на конец года </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106,1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106,6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106,5</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111,4</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112,9</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105,4</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Индекс промышленного производства</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105,0</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103,4</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100,4</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96,6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Индекс производства продукции сельского хозяйства</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94,9</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110,8</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102,7</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114,1</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108,5</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101,8</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Инвестиции в основной капитал</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110,8</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106,8</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100,8</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98,5</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89,9</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99,1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Доля инвестиций в основной капитал, в % к ВВП</w:t>
            </w:r>
          </w:p>
        </w:tc>
        <w:tc>
          <w:tcPr>
            <w:tcW w:w="477" w:type="pct"/>
            <w:tcBorders>
              <w:top w:val="nil"/>
              <w:left w:val="nil"/>
              <w:bottom w:val="single" w:sz="4" w:space="0" w:color="auto"/>
              <w:right w:val="nil"/>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20,7</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20,9</w:t>
            </w:r>
          </w:p>
        </w:tc>
        <w:tc>
          <w:tcPr>
            <w:tcW w:w="477" w:type="pct"/>
            <w:tcBorders>
              <w:top w:val="nil"/>
              <w:left w:val="nil"/>
              <w:bottom w:val="single" w:sz="4" w:space="0" w:color="auto"/>
              <w:right w:val="nil"/>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21,2</w:t>
            </w:r>
          </w:p>
        </w:tc>
        <w:tc>
          <w:tcPr>
            <w:tcW w:w="478" w:type="pct"/>
            <w:tcBorders>
              <w:top w:val="nil"/>
              <w:left w:val="single" w:sz="4" w:space="0" w:color="auto"/>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20,5</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19,6</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20,4</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lastRenderedPageBreak/>
              <w:t>Реальные располагаемые денежные доходы</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100,5</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104,6</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104</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99,3</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96,8</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94,1</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Реальная начисленная среднемесячная заработная плата</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102,8</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108,4</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104,8</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101,2</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91,0</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100,8</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Оборот розничной торговли</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107,1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106,3</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103,9</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102,7</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90,0</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95,4</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bCs/>
                <w:color w:val="000000"/>
                <w:sz w:val="28"/>
                <w:szCs w:val="28"/>
              </w:rPr>
            </w:pPr>
            <w:r w:rsidRPr="00153E07">
              <w:rPr>
                <w:rFonts w:ascii="Times New Roman" w:eastAsia="Times New Roman" w:hAnsi="Times New Roman" w:cs="Times New Roman"/>
                <w:color w:val="000000"/>
                <w:sz w:val="28"/>
                <w:szCs w:val="28"/>
              </w:rPr>
              <w:t>Объем платных услуг населению</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103,2</w:t>
            </w:r>
          </w:p>
        </w:tc>
        <w:tc>
          <w:tcPr>
            <w:tcW w:w="478"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103,5</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102,0</w:t>
            </w:r>
          </w:p>
        </w:tc>
        <w:tc>
          <w:tcPr>
            <w:tcW w:w="478"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101,0</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98,9</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100,7</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 xml:space="preserve">Экспорт товаров </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131,3</w:t>
            </w:r>
          </w:p>
        </w:tc>
        <w:tc>
          <w:tcPr>
            <w:tcW w:w="478"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102,3</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99,2</w:t>
            </w:r>
          </w:p>
        </w:tc>
        <w:tc>
          <w:tcPr>
            <w:tcW w:w="478"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95,1</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69,1</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83,1</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 xml:space="preserve">Импорт товаров </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129,7</w:t>
            </w:r>
          </w:p>
        </w:tc>
        <w:tc>
          <w:tcPr>
            <w:tcW w:w="478"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105,4</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101,7</w:t>
            </w:r>
          </w:p>
        </w:tc>
        <w:tc>
          <w:tcPr>
            <w:tcW w:w="478"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90,2</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63,7</w:t>
            </w:r>
          </w:p>
        </w:tc>
        <w:tc>
          <w:tcPr>
            <w:tcW w:w="477" w:type="pct"/>
            <w:tcBorders>
              <w:top w:val="nil"/>
              <w:left w:val="nil"/>
              <w:bottom w:val="single" w:sz="4" w:space="0" w:color="auto"/>
              <w:right w:val="single" w:sz="4" w:space="0" w:color="auto"/>
            </w:tcBorders>
            <w:shd w:val="clear" w:color="auto" w:fill="auto"/>
            <w:vAlign w:val="center"/>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99,7</w:t>
            </w:r>
          </w:p>
        </w:tc>
      </w:tr>
      <w:tr w:rsidR="005E327B" w:rsidRPr="00153E07" w:rsidTr="005E327B">
        <w:trPr>
          <w:trHeight w:val="315"/>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AE04C1" w:rsidP="006D2568">
            <w:pPr>
              <w:spacing w:after="0" w:line="240" w:lineRule="auto"/>
              <w:jc w:val="both"/>
              <w:rPr>
                <w:rFonts w:ascii="Times New Roman" w:eastAsia="Times New Roman" w:hAnsi="Times New Roman" w:cs="Times New Roman"/>
                <w:color w:val="000000"/>
                <w:sz w:val="28"/>
                <w:szCs w:val="28"/>
              </w:rPr>
            </w:pPr>
            <w:bookmarkStart w:id="6" w:name="_GoBack"/>
            <w:bookmarkEnd w:id="6"/>
            <w:r w:rsidRPr="00AE04C1">
              <w:rPr>
                <w:rFonts w:ascii="Times New Roman" w:eastAsia="Times New Roman" w:hAnsi="Times New Roman" w:cs="Times New Roman"/>
                <w:bCs/>
                <w:noProof/>
                <w:color w:val="000000"/>
                <w:sz w:val="28"/>
                <w:szCs w:val="28"/>
              </w:rPr>
              <w:pict>
                <v:shapetype id="_x0000_t202" coordsize="21600,21600" o:spt="202" path="m,l,21600r21600,l21600,xe">
                  <v:stroke joinstyle="miter"/>
                  <v:path gradientshapeok="t" o:connecttype="rect"/>
                </v:shapetype>
                <v:shape id="Текст 13" o:spid="_x0000_s1026" type="#_x0000_t202" style="position:absolute;left:0;text-align:left;margin-left:33.75pt;margin-top:5.25pt;width:0;height:0;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" stroked="f" strokeweight="3e-5mm">
                  <v:textbox style="mso-next-textbox:#Текст 13" inset="2.16pt,2.16pt,0,0">
                    <w:txbxContent>
                      <w:p w:rsidR="001D788E" w:rsidRDefault="001D788E" w:rsidP="005E327B">
                        <w:pPr>
                          <w:pStyle w:val="a8"/>
                          <w:spacing w:before="0" w:beforeAutospacing="0" w:after="0" w:afterAutospacing="0"/>
                        </w:pPr>
                        <w:r>
                          <w:rPr>
                            <w:color w:val="000000"/>
                          </w:rPr>
                          <w:t>1996 год</w:t>
                        </w:r>
                      </w:p>
                      <w:p w:rsidR="001D788E" w:rsidRDefault="001D788E" w:rsidP="005E327B">
                        <w:pPr>
                          <w:pStyle w:val="a8"/>
                          <w:spacing w:before="0" w:beforeAutospacing="0" w:after="0" w:afterAutospacing="0"/>
                        </w:pPr>
                        <w:r>
                          <w:rPr>
                            <w:color w:val="000000"/>
                          </w:rPr>
                          <w:t>1996 год</w:t>
                        </w:r>
                      </w:p>
                    </w:txbxContent>
                  </v:textbox>
                </v:shape>
              </w:pict>
            </w:r>
            <w:r w:rsidRPr="00AE04C1">
              <w:rPr>
                <w:rFonts w:ascii="Times New Roman" w:eastAsia="Times New Roman" w:hAnsi="Times New Roman" w:cs="Times New Roman"/>
                <w:bCs/>
                <w:noProof/>
                <w:color w:val="000000"/>
                <w:sz w:val="28"/>
                <w:szCs w:val="28"/>
              </w:rPr>
              <w:pict>
                <v:shape id="Текст 14" o:spid="_x0000_s1027" type="#_x0000_t202" style="position:absolute;left:0;text-align:left;margin-left:33.75pt;margin-top:5.25pt;width:0;height:0;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" stroked="f" strokeweight="3e-5mm">
                  <v:textbox style="mso-next-textbox:#Текст 14" inset="2.16pt,2.16pt,0,0">
                    <w:txbxContent>
                      <w:p w:rsidR="001D788E" w:rsidRDefault="001D788E" w:rsidP="005E327B">
                        <w:pPr>
                          <w:pStyle w:val="a8"/>
                          <w:spacing w:before="0" w:beforeAutospacing="0" w:after="0" w:afterAutospacing="0"/>
                        </w:pPr>
                        <w:r>
                          <w:rPr>
                            <w:color w:val="000000"/>
                            <w:lang w:val="en-US"/>
                          </w:rPr>
                          <w:t xml:space="preserve">I </w:t>
                        </w:r>
                        <w:r>
                          <w:rPr>
                            <w:color w:val="000000"/>
                          </w:rPr>
                          <w:t>квартал</w:t>
                        </w:r>
                      </w:p>
                    </w:txbxContent>
                  </v:textbox>
                </v:shape>
              </w:pict>
            </w:r>
            <w:r w:rsidR="005E327B" w:rsidRPr="00153E07">
              <w:rPr>
                <w:rFonts w:ascii="Times New Roman" w:eastAsia="Times New Roman" w:hAnsi="Times New Roman" w:cs="Times New Roman"/>
                <w:bCs/>
                <w:color w:val="000000"/>
                <w:sz w:val="28"/>
                <w:szCs w:val="28"/>
              </w:rPr>
              <w:t>Счет текущих операций, в % к ВВП</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5,2</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3,2</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1,5</w:t>
            </w:r>
          </w:p>
        </w:tc>
        <w:tc>
          <w:tcPr>
            <w:tcW w:w="478"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4,1</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6,0</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1,8</w:t>
            </w:r>
          </w:p>
        </w:tc>
      </w:tr>
      <w:tr w:rsidR="005E327B" w:rsidRPr="00153E07" w:rsidTr="005E327B">
        <w:trPr>
          <w:trHeight w:val="630"/>
        </w:trPr>
        <w:tc>
          <w:tcPr>
            <w:tcW w:w="2136" w:type="pct"/>
            <w:tcBorders>
              <w:top w:val="nil"/>
              <w:left w:val="single" w:sz="4" w:space="0" w:color="auto"/>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bCs/>
                <w:color w:val="000000"/>
                <w:sz w:val="28"/>
                <w:szCs w:val="28"/>
              </w:rPr>
              <w:t>Денежная масса в национальном определении (агрегат М2)</w:t>
            </w:r>
          </w:p>
        </w:tc>
        <w:tc>
          <w:tcPr>
            <w:tcW w:w="477" w:type="pct"/>
            <w:tcBorders>
              <w:top w:val="nil"/>
              <w:left w:val="nil"/>
              <w:bottom w:val="single" w:sz="4" w:space="0" w:color="auto"/>
              <w:right w:val="single" w:sz="4" w:space="0" w:color="auto"/>
            </w:tcBorders>
            <w:shd w:val="clear" w:color="auto" w:fill="auto"/>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121</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112,2</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114,7</w:t>
            </w:r>
          </w:p>
        </w:tc>
        <w:tc>
          <w:tcPr>
            <w:tcW w:w="478"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101,5</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111,3</w:t>
            </w:r>
          </w:p>
        </w:tc>
        <w:tc>
          <w:tcPr>
            <w:tcW w:w="477" w:type="pct"/>
            <w:tcBorders>
              <w:top w:val="nil"/>
              <w:left w:val="nil"/>
              <w:bottom w:val="single" w:sz="4" w:space="0" w:color="auto"/>
              <w:right w:val="single" w:sz="4" w:space="0" w:color="auto"/>
            </w:tcBorders>
            <w:shd w:val="clear" w:color="auto" w:fill="auto"/>
            <w:noWrap/>
            <w:vAlign w:val="bottom"/>
            <w:hideMark/>
          </w:tcPr>
          <w:p w:rsidR="005E327B" w:rsidRPr="00153E07" w:rsidRDefault="005E327B" w:rsidP="006D2568">
            <w:pPr>
              <w:spacing w:after="0" w:line="240" w:lineRule="auto"/>
              <w:jc w:val="both"/>
              <w:rPr>
                <w:rFonts w:ascii="Times New Roman" w:eastAsia="Times New Roman" w:hAnsi="Times New Roman" w:cs="Times New Roman"/>
                <w:color w:val="000000"/>
                <w:sz w:val="28"/>
                <w:szCs w:val="28"/>
              </w:rPr>
            </w:pPr>
            <w:r w:rsidRPr="00153E07">
              <w:rPr>
                <w:rFonts w:ascii="Times New Roman" w:eastAsia="Times New Roman" w:hAnsi="Times New Roman" w:cs="Times New Roman"/>
                <w:color w:val="000000"/>
                <w:sz w:val="28"/>
                <w:szCs w:val="28"/>
              </w:rPr>
              <w:t>109,2</w:t>
            </w:r>
          </w:p>
        </w:tc>
      </w:tr>
    </w:tbl>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Отток капитала и сокращение инвестиционной активности в первую очередь был обусловлен ростом стоимости кредитования, которое в свою очередь произошло благодаря увеличению ставки рефинансирования. По той же причине снизилась потребительская активность, о чем свидетельствует</w:t>
      </w:r>
      <w:r w:rsidR="00F405EC">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снижение показателей оборота розничной торговли.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Однако, основным фактором, оказывающим влияние на потребительский спрос, является сокращение реальных располагаемых доходов населения и резкое снижение реальной номинальной начисленной заработной платы.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Показатель денежной массы в национальном определении имеет скачкообразную динамику. Резкий спад прироста агрегата М2 наблюдался в 2014 году, на что повлияло сокращение наличных денег в обращении, отток переводных депозитов (вкладов до востребования), принадлежащих как населению, так и организациям, отток срочных депозитов в банках, размещенных населением.</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2015 году на прирост денежной массы преимущественно оказало население страны: прирост переводных депозитов от населения составил 18,4%, срочных вкладов и вкладов в иностранной валюте – 19,7% к уровню 2014 года.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структуре денежной массы произошло сокращение доли наличных денег в обращении с 25% в 2011 году до 20% в 2016 году, на что повлияло несколько факторов: общая политика банков на постепенный переход в сторону интернет-услуг, и осуществление безналичных операций, решение населения размещать деньги в долгосрочном аспекте и в иностранной валюте.</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снижение экспорта и импорта в течение анализируемого периода времени помимо санкций повлияло изменение политики государства в пользу импортозамещения, что в свою очередь привело к оседанию экспорт-ориентированных товаров в России.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Общемировые и общероссийские тенденции в долгосрочной перспективе определяются возможностями использования капитальных и человеческих ресурсов, темпами развития научно-технического прогресса.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настоящее время имеют место экологические и демографические ограничения, что предопределяет приоритетные направления развития такие как инновационные технологии, экономика знаний, что позволит увеличить производительность труда при недостатке трудоспособного населения.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Приоритетными направлениями социально-экономического развития России являются образование, здравоохранение, физическое развитие, улучшение условий жизни населения, т.е. создание, воспитание и поддержание на высоком уровне человеческого капитала как ресурса.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Еще одним немаловажным приоритетом в развитии государства является государственная поддержка предпринимательства, так как малый бизнес играет немаловажную роль в экономике России.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долгосрочном периоде главными тенденциями развития мировой экономики станут: </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восстановление экономического баланса и удержание на высоких позициях темпов научно-технического прогресса и производительности труда;</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увеличение продолжительности жизни населения с целью сохранения экономической активности населения;</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динамики потребления в странах с высокой сберегательной способностью, снижение излишних трудовых ресурсов в странах с развивающейся экономикой;</w:t>
      </w:r>
    </w:p>
    <w:p w:rsidR="005E327B" w:rsidRPr="00153E07" w:rsidRDefault="005E327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выход на торговую арену рынков Африки, Азии и Латинской Америки.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факторами замедления мирового экономического роста в ближайшие годы могут стать сокращение численности трудоспособного населения, сокращение производительности труда, увеличение экологических ограничений.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Проблема демографических ограничений заключается в изменении структуры возрастного состава населения в сторону пожилого возраста, что увеличит демографическую нагрузку в большинстве стран. С целью поддержания и увеличения доли экономически активного населения возможен пересмотр миграционной политики в сторону сокращения ограничений для мигрантов.</w:t>
      </w:r>
    </w:p>
    <w:p w:rsidR="00E21B77" w:rsidRDefault="00E21B77" w:rsidP="006D2568">
      <w:pPr>
        <w:spacing w:after="160" w:line="240" w:lineRule="auto"/>
        <w:jc w:val="both"/>
        <w:rPr>
          <w:rFonts w:ascii="Times New Roman" w:hAnsi="Times New Roman" w:cs="Times New Roman"/>
          <w:sz w:val="28"/>
          <w:szCs w:val="28"/>
        </w:rPr>
      </w:pPr>
    </w:p>
    <w:p w:rsidR="005E327B" w:rsidRDefault="005E327B" w:rsidP="006D2568">
      <w:pPr>
        <w:pStyle w:val="1"/>
        <w:numPr>
          <w:ilvl w:val="1"/>
          <w:numId w:val="1"/>
        </w:numPr>
        <w:spacing w:line="240" w:lineRule="auto"/>
      </w:pPr>
      <w:bookmarkStart w:id="7" w:name="_Toc491943101"/>
      <w:r w:rsidRPr="00153E07">
        <w:t>Основные принципы формирования Стратегии социально-экономического развития Бардымского муниципального района на период 2018-2030 годы</w:t>
      </w:r>
      <w:bookmarkEnd w:id="7"/>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и реализация агломерационных подходов при формировании системы пространственной организации Стратегии строится с учетом следующих принципов:</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ограниченности ресурсов</w:t>
      </w:r>
      <w:r w:rsidRPr="00153E07">
        <w:rPr>
          <w:rFonts w:ascii="Times New Roman" w:eastAsia="Times New Roman" w:hAnsi="Times New Roman" w:cs="Times New Roman"/>
          <w:sz w:val="28"/>
          <w:szCs w:val="28"/>
        </w:rPr>
        <w:t xml:space="preserve"> позволяет концентрировать усилия на определении ключевых точек роста и формировании Стратегии исходя из существующего конкурентного потенциала территории с учетом прогноза социально-экономического роста на среднесрочную перспективу;</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перманентной взаимосвязи</w:t>
      </w:r>
      <w:r w:rsidRPr="00153E07">
        <w:rPr>
          <w:rFonts w:ascii="Times New Roman" w:eastAsia="Times New Roman" w:hAnsi="Times New Roman" w:cs="Times New Roman"/>
          <w:sz w:val="28"/>
          <w:szCs w:val="28"/>
        </w:rPr>
        <w:t xml:space="preserve"> основных участников процесса: власти, бизнеса и граждан, который позволяет генерировать общественно ценные идеи и обеспечить практическую реализацию этих идей в рамках реализации целевых проектов и программ.</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D922B3">
        <w:rPr>
          <w:rFonts w:ascii="Times New Roman" w:eastAsia="Times New Roman" w:hAnsi="Times New Roman" w:cs="Times New Roman"/>
          <w:sz w:val="28"/>
          <w:szCs w:val="28"/>
        </w:rPr>
        <w:t xml:space="preserve">- </w:t>
      </w:r>
      <w:r w:rsidRPr="00D922B3">
        <w:rPr>
          <w:rFonts w:ascii="Times New Roman" w:eastAsia="Times New Roman" w:hAnsi="Times New Roman" w:cs="Times New Roman"/>
          <w:b/>
          <w:sz w:val="28"/>
          <w:szCs w:val="28"/>
        </w:rPr>
        <w:t>Принцип синергетического эффекта</w:t>
      </w:r>
      <w:r w:rsidRPr="00153E07">
        <w:rPr>
          <w:rFonts w:ascii="Times New Roman" w:eastAsia="Times New Roman" w:hAnsi="Times New Roman" w:cs="Times New Roman"/>
          <w:sz w:val="28"/>
          <w:szCs w:val="28"/>
        </w:rPr>
        <w:t>, который определен в формировании системы пространственной организации с учетом местонахождения, природных, климатических, социально-экономических особенностей, уровне взаимодействия с соседними муниципальными районами.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Центральным районом, ядром агломерации, а также многофункциональным центром в агломерации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Бардымского муниципального района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является село Барда. Здесь находятся промышленные предприятия и организации, цех добычи нефти и газа, участок управления магистральных газопроводов, лесничество, а также объекты социальной, культурной, спортивной и медицинской сфер.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Интегрированность поселений в составе муниципального района и их взаимосвязь являются важным фактором определения агломерационных подходов.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 учетом муниципальных и региональных программ сформирована система пространственной организации Бардымского муниципального района на</w:t>
      </w:r>
      <w:r w:rsidR="007C405B">
        <w:rPr>
          <w:rFonts w:ascii="Times New Roman" w:eastAsia="Times New Roman" w:hAnsi="Times New Roman" w:cs="Times New Roman"/>
          <w:sz w:val="28"/>
          <w:szCs w:val="28"/>
        </w:rPr>
        <w:t xml:space="preserve"> период до 2030 г. </w:t>
      </w:r>
      <w:r w:rsidRPr="00153E07">
        <w:rPr>
          <w:rFonts w:ascii="Times New Roman" w:eastAsia="Times New Roman" w:hAnsi="Times New Roman" w:cs="Times New Roman"/>
          <w:sz w:val="28"/>
          <w:szCs w:val="28"/>
        </w:rPr>
        <w:t>При ее формировании учтены пространственное месторасположение сельских поселений муниципального района, функциональная специализация, уровень инноваций, а также взаимодействия района с другими муниципальными образованиями Пермского края.</w:t>
      </w:r>
    </w:p>
    <w:p w:rsidR="00E21B77" w:rsidRDefault="00E21B77" w:rsidP="006D2568">
      <w:pPr>
        <w:spacing w:after="160" w:line="240" w:lineRule="auto"/>
        <w:jc w:val="both"/>
        <w:rPr>
          <w:rFonts w:ascii="Times New Roman" w:hAnsi="Times New Roman" w:cs="Times New Roman"/>
          <w:sz w:val="28"/>
          <w:szCs w:val="28"/>
        </w:rPr>
      </w:pPr>
    </w:p>
    <w:p w:rsidR="005E327B" w:rsidRDefault="005E327B" w:rsidP="006D2568">
      <w:pPr>
        <w:pStyle w:val="1"/>
        <w:numPr>
          <w:ilvl w:val="2"/>
          <w:numId w:val="1"/>
        </w:numPr>
        <w:spacing w:line="240" w:lineRule="auto"/>
      </w:pPr>
      <w:bookmarkStart w:id="8" w:name="_Toc491943102"/>
      <w:r w:rsidRPr="00153E07">
        <w:t>Агломерационный подход при формировании системы пространственной организации и Стратегии социально-экономического развития Бардымского муниципального района</w:t>
      </w:r>
      <w:bookmarkEnd w:id="8"/>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представляет собой административно-территориальную единицу муниципального образования в составе Пермского края Российской Федерации.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документами субъекта РФ, направленными на формирование пространственной организации Бардымского муниципального района Пермского края, являются:</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Градостроительный кодекс Российской Федерации № 190-ФЗ от 29.12.2004 (ред. от 29.07.2017).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Данный документ регулирует градостроительные отношения, связанные с планированием развития территорий городов и поселений, градостроительным зонированием, архитектурно-строительным проектированием, строительством, реконструкцией объектов капитального строительства, капитального ремонта, эксплуатацией зданий и сооружений.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Обязательным условием градостроительной деятельности выступает устойчивое развитие территорий, т.е. обеспечение при ее осуществлении благоприятных условий и безопасности жизнедеятельности человека, ограничение негативного воздействия деятельности человека на окружающую среду, а также обеспечение охраны и рационального использования природных ресурсов в интересах поколений.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bookmarkStart w:id="9" w:name="dst100011"/>
      <w:bookmarkEnd w:id="9"/>
      <w:r w:rsidRPr="00153E07">
        <w:rPr>
          <w:rFonts w:ascii="Times New Roman" w:eastAsia="Times New Roman" w:hAnsi="Times New Roman" w:cs="Times New Roman"/>
          <w:sz w:val="28"/>
          <w:szCs w:val="28"/>
        </w:rPr>
        <w:t xml:space="preserve">Градостроительный кодекс Российской Федерации устанавливает полномочия органов государственной власти в области градостроительной деятельности на федеральном, региональном уровнях, а также для органов местного самоуправления муниципальных районов и поселений. </w:t>
      </w:r>
    </w:p>
    <w:p w:rsidR="005E327B" w:rsidRPr="00153E07" w:rsidRDefault="005E327B" w:rsidP="006D2568">
      <w:pPr>
        <w:pStyle w:val="af1"/>
        <w:numPr>
          <w:ilvl w:val="0"/>
          <w:numId w:val="4"/>
        </w:numPr>
        <w:spacing w:after="0" w:line="240" w:lineRule="auto"/>
        <w:ind w:left="714" w:hanging="357"/>
        <w:jc w:val="both"/>
        <w:rPr>
          <w:rFonts w:ascii="Times New Roman" w:hAnsi="Times New Roman" w:cs="Times New Roman"/>
          <w:sz w:val="28"/>
          <w:szCs w:val="28"/>
        </w:rPr>
      </w:pPr>
      <w:r w:rsidRPr="00153E07">
        <w:rPr>
          <w:rFonts w:ascii="Times New Roman" w:hAnsi="Times New Roman" w:cs="Times New Roman"/>
          <w:sz w:val="28"/>
          <w:szCs w:val="28"/>
        </w:rPr>
        <w:t xml:space="preserve">Федеральный закон № 172-ФЗ от 28.06.2014 </w:t>
      </w:r>
      <w:r w:rsidR="00DE2D0E">
        <w:rPr>
          <w:rFonts w:ascii="Times New Roman" w:hAnsi="Times New Roman" w:cs="Times New Roman"/>
          <w:sz w:val="28"/>
          <w:szCs w:val="28"/>
        </w:rPr>
        <w:t>«</w:t>
      </w:r>
      <w:r w:rsidRPr="00153E07">
        <w:rPr>
          <w:rFonts w:ascii="Times New Roman" w:hAnsi="Times New Roman" w:cs="Times New Roman"/>
          <w:sz w:val="28"/>
          <w:szCs w:val="28"/>
        </w:rPr>
        <w:t>О стратегическом планировании в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предусматривает разработку кардинально нового для России документа, сочетающего в себе элементы </w:t>
      </w:r>
      <w:r w:rsidRPr="00153E07">
        <w:rPr>
          <w:rFonts w:ascii="Times New Roman" w:hAnsi="Times New Roman" w:cs="Times New Roman"/>
          <w:sz w:val="28"/>
          <w:szCs w:val="28"/>
        </w:rPr>
        <w:lastRenderedPageBreak/>
        <w:t xml:space="preserve">стратегического и территориального планирования – </w:t>
      </w:r>
      <w:r w:rsidR="00DE2D0E">
        <w:rPr>
          <w:rFonts w:ascii="Times New Roman" w:hAnsi="Times New Roman" w:cs="Times New Roman"/>
          <w:sz w:val="28"/>
          <w:szCs w:val="28"/>
        </w:rPr>
        <w:t>«</w:t>
      </w:r>
      <w:r w:rsidRPr="00153E07">
        <w:rPr>
          <w:rFonts w:ascii="Times New Roman" w:hAnsi="Times New Roman" w:cs="Times New Roman"/>
          <w:sz w:val="28"/>
          <w:szCs w:val="28"/>
        </w:rPr>
        <w:t>Стратегия пространственного развития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пространственного развития Российской Федерации определяет приоритеты, цели и задачи регионального развития территорий Российской Федерации и направлена на поддержание устойчивости системы расселения на территории Российской Федерации, исходя из социально-экономических приоритетов развития с целью гармонизации размещения производительных сил.</w:t>
      </w:r>
    </w:p>
    <w:p w:rsidR="005E327B" w:rsidRPr="00153E07" w:rsidRDefault="005E327B" w:rsidP="006D2568">
      <w:pPr>
        <w:pStyle w:val="af1"/>
        <w:numPr>
          <w:ilvl w:val="0"/>
          <w:numId w:val="4"/>
        </w:numPr>
        <w:spacing w:line="240" w:lineRule="auto"/>
        <w:jc w:val="both"/>
        <w:rPr>
          <w:rFonts w:ascii="Times New Roman" w:hAnsi="Times New Roman" w:cs="Times New Roman"/>
          <w:color w:val="000000"/>
          <w:sz w:val="28"/>
          <w:szCs w:val="28"/>
          <w:shd w:val="clear" w:color="auto" w:fill="FFFFFF"/>
        </w:rPr>
      </w:pPr>
      <w:r w:rsidRPr="00153E07">
        <w:rPr>
          <w:rFonts w:ascii="Times New Roman" w:hAnsi="Times New Roman" w:cs="Times New Roman"/>
          <w:sz w:val="28"/>
          <w:szCs w:val="28"/>
        </w:rPr>
        <w:t xml:space="preserve">Федеральный закон № 131-ФЗ от 06.10.2003 </w:t>
      </w:r>
      <w:r w:rsidR="00DE2D0E">
        <w:rPr>
          <w:rFonts w:ascii="Times New Roman" w:hAnsi="Times New Roman" w:cs="Times New Roman"/>
          <w:sz w:val="28"/>
          <w:szCs w:val="28"/>
        </w:rPr>
        <w:t>«</w:t>
      </w:r>
      <w:r w:rsidRPr="00153E07">
        <w:rPr>
          <w:rFonts w:ascii="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позволяет устанавливать общие правовые, территориальные, организационные и экономические принципы организации местного самоуправления в Российской Федерации, а также определяет государственные гарантии его осуществления</w:t>
      </w:r>
      <w:r w:rsidRPr="00153E07">
        <w:rPr>
          <w:rFonts w:ascii="Times New Roman" w:hAnsi="Times New Roman" w:cs="Times New Roman"/>
          <w:color w:val="000000"/>
          <w:sz w:val="28"/>
          <w:szCs w:val="28"/>
          <w:shd w:val="clear" w:color="auto" w:fill="FFFFFF"/>
        </w:rPr>
        <w:t>. Положениями данного закона определено, что границы и территории муниципальных районов устанавливаются, изменяются, преобразуются законами субъектов Российской Федерации по инициативе населения и местного самоуправления муниципальных образований, а также органов региональной и федеральной государственной власти. Закон наделяет муниципальные районы и сельские поселениями по утверждению схем территориального планирования муниципального района, документации по планировке территории, ведению информационной системы обеспечения градостроительной деятельности, осуществляемой на территории муниципального района, резервирования и изъятия земельных участков в границах муниципального района для муниципальных нужд. Федеральный закон</w:t>
      </w:r>
      <w:r w:rsidRPr="00153E07">
        <w:rPr>
          <w:rFonts w:ascii="Times New Roman" w:hAnsi="Times New Roman" w:cs="Times New Roman"/>
          <w:sz w:val="28"/>
          <w:szCs w:val="28"/>
        </w:rPr>
        <w:t>устанавливает требования к системам расселения и формированию территорий сельских поселений.</w:t>
      </w:r>
    </w:p>
    <w:p w:rsidR="005E327B" w:rsidRPr="00153E07" w:rsidRDefault="005E327B" w:rsidP="006D2568">
      <w:pPr>
        <w:pStyle w:val="af1"/>
        <w:numPr>
          <w:ilvl w:val="0"/>
          <w:numId w:val="4"/>
        </w:numPr>
        <w:spacing w:after="0" w:line="240" w:lineRule="auto"/>
        <w:ind w:left="851"/>
        <w:jc w:val="both"/>
        <w:rPr>
          <w:rFonts w:ascii="Times New Roman" w:hAnsi="Times New Roman" w:cs="Times New Roman"/>
          <w:color w:val="000000"/>
          <w:sz w:val="28"/>
          <w:szCs w:val="28"/>
          <w:shd w:val="clear" w:color="auto" w:fill="FFFFFF"/>
        </w:rPr>
      </w:pPr>
      <w:r w:rsidRPr="00153E07">
        <w:rPr>
          <w:rFonts w:ascii="Times New Roman" w:hAnsi="Times New Roman" w:cs="Times New Roman"/>
          <w:sz w:val="28"/>
          <w:szCs w:val="28"/>
        </w:rPr>
        <w:t xml:space="preserve">Указ Президента РФ № 13 от 16.01.2017г.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Основ государственной политики регионального развития Российской Федерации на период до 2025 года</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который определяет </w:t>
      </w:r>
      <w:r w:rsidRPr="00153E07">
        <w:rPr>
          <w:rFonts w:ascii="Times New Roman" w:eastAsia="Times New Roman" w:hAnsi="Times New Roman" w:cs="Times New Roman"/>
          <w:sz w:val="28"/>
          <w:szCs w:val="28"/>
        </w:rPr>
        <w:t>приоритеты, цели, задачи, принципы и механизмы реализации политики регионального развития Российской Федерации.</w:t>
      </w:r>
    </w:p>
    <w:p w:rsidR="005E327B" w:rsidRPr="00153E07" w:rsidRDefault="005E327B" w:rsidP="006D2568">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Основными задачами государственной политики регионального развития являются выявление перспективных конкурентных преимуществ регионов и муниципальных образований с учетом территориального разделения труда; определение основных направлений изменения пространственной структуры экономики, утверждения планируемого размещения инженерной, транспортной, энергетической и социальной инфраструктуры на территориях; совершенствование механизмов регулирования внутренней и внешней миграции; совершенствование механизмов стимулирования регионов и муниципальных образований к наращиванию собственного экономического потенциала.</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Распоряжение Правительства Российской Федерации от 07.02.2011 № 165-р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Стратегии социально-экономического развития Приволжского федерального округа на период до 2020 года</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Стратегия направлена на реализацию конкурентных преимуществ (географических, технологических, интеллектуальных) Приволжского </w:t>
      </w:r>
      <w:r w:rsidRPr="00153E07">
        <w:rPr>
          <w:rFonts w:ascii="Times New Roman" w:eastAsia="Times New Roman" w:hAnsi="Times New Roman" w:cs="Times New Roman"/>
          <w:sz w:val="28"/>
          <w:szCs w:val="28"/>
        </w:rPr>
        <w:lastRenderedPageBreak/>
        <w:t>федерального округа для обеспечения развития экономики и улучшения жизни людей.</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Стандарт деятельности органов местного самоуправления Пермского края по обеспечению благоприятного инвестиционного климата, утвержденный Протоколом Совета Пермского краевого регионального отделения Общероссийской общественной организации </w:t>
      </w:r>
      <w:r w:rsidR="00DE2D0E">
        <w:rPr>
          <w:rFonts w:ascii="Times New Roman" w:hAnsi="Times New Roman" w:cs="Times New Roman"/>
          <w:sz w:val="28"/>
          <w:szCs w:val="28"/>
        </w:rPr>
        <w:t>«</w:t>
      </w:r>
      <w:r w:rsidRPr="00153E07">
        <w:rPr>
          <w:rFonts w:ascii="Times New Roman" w:hAnsi="Times New Roman" w:cs="Times New Roman"/>
          <w:sz w:val="28"/>
          <w:szCs w:val="28"/>
        </w:rPr>
        <w:t>Деловая Россия</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от 21.03.2014 № 3/14;</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Стандарт деятельности органов местного самоуправления Пермского края</w:t>
      </w:r>
      <w:r w:rsidR="002625F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направлен на обеспечение благоприятного инвестиционного климата, а именно улучшение инвестиционного климата, как в отдельных муниципальных образованиях, так и в Пермском крае в целом. Данная стратегия предполагает определение инвестиционных приоритетов муниципального образования, таких как, территории, отрасли, технологии, осваиваемые виды продукции, работ и услуг, планируемые к реализации проекты. Также предполагается формирование плана создания инвестиционных объектов и необходимой транспортной, энергетической, социальной, инженерной, коммунальной и телекоммуникационной инфраструктуры.</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Постановление Законодательного собрания Пермского края </w:t>
      </w:r>
      <w:r w:rsidR="00DE2D0E">
        <w:rPr>
          <w:rFonts w:ascii="Times New Roman" w:hAnsi="Times New Roman" w:cs="Times New Roman"/>
          <w:sz w:val="28"/>
          <w:szCs w:val="28"/>
        </w:rPr>
        <w:t>«</w:t>
      </w:r>
      <w:r w:rsidRPr="00153E07">
        <w:rPr>
          <w:rFonts w:ascii="Times New Roman" w:hAnsi="Times New Roman" w:cs="Times New Roman"/>
          <w:sz w:val="28"/>
          <w:szCs w:val="28"/>
        </w:rPr>
        <w:t>Об утверждении Стратегии социально-экономического развития Пермского края до 2026 года</w:t>
      </w:r>
      <w:r w:rsidR="00DE2D0E">
        <w:rPr>
          <w:rFonts w:ascii="Times New Roman" w:hAnsi="Times New Roman" w:cs="Times New Roman"/>
          <w:sz w:val="28"/>
          <w:szCs w:val="28"/>
        </w:rPr>
        <w:t>»</w:t>
      </w:r>
      <w:r w:rsidRPr="00153E07">
        <w:rPr>
          <w:rFonts w:ascii="Times New Roman" w:hAnsi="Times New Roman" w:cs="Times New Roman"/>
          <w:sz w:val="28"/>
          <w:szCs w:val="28"/>
        </w:rPr>
        <w:t xml:space="preserve"> от 01.12.2011 № 3046;</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развития Пермского края имеет своей целью повышение численности постоянного населения Пермского края, рост числа вовлеченных в экономическую деятельность на территории края, а также увеличение количества людей, временно находящихся на территории края с личными, деловыми и общественными целями, как отражение привлекательности Пермского края для жизни, труда и отдыха людей.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числе целей и задач социально-экономического</w:t>
      </w:r>
      <w:r w:rsidR="002625F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развития Пермского края, относящихся к пространственному развитию территорий, относятся: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Природопользование и инфраструктура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Управление земельными ресурсами и имуществом</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Территориальное развитие</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5E327B" w:rsidRPr="00153E07" w:rsidRDefault="005E327B" w:rsidP="006D2568">
      <w:pPr>
        <w:pStyle w:val="af1"/>
        <w:numPr>
          <w:ilvl w:val="0"/>
          <w:numId w:val="4"/>
        </w:numPr>
        <w:spacing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Устав Бардымского муниципального района Пермского края гласит: </w:t>
      </w:r>
      <w:r w:rsidR="00DE2D0E">
        <w:rPr>
          <w:rFonts w:ascii="Times New Roman" w:hAnsi="Times New Roman" w:cs="Times New Roman"/>
          <w:sz w:val="28"/>
          <w:szCs w:val="28"/>
        </w:rPr>
        <w:t>«</w:t>
      </w:r>
      <w:r w:rsidRPr="00153E07">
        <w:rPr>
          <w:rFonts w:ascii="Times New Roman" w:hAnsi="Times New Roman" w:cs="Times New Roman"/>
          <w:sz w:val="28"/>
          <w:szCs w:val="28"/>
        </w:rPr>
        <w:t>Бардымский муниципальный район - муниципальное образование в составе Пермского края, состоящее из сельских поселений, объединенных общей территорией, в границах которой осуществляется местное самоуправление в целях решения вопросов местного значения межпоселенческого характера населением непосредственно и через выборные и иные органы местного самоуправления</w:t>
      </w:r>
      <w:r w:rsidR="00DE2D0E">
        <w:rPr>
          <w:rFonts w:ascii="Times New Roman" w:hAnsi="Times New Roman" w:cs="Times New Roman"/>
          <w:sz w:val="28"/>
          <w:szCs w:val="28"/>
        </w:rPr>
        <w:t>»</w:t>
      </w:r>
      <w:r w:rsidRPr="00153E07">
        <w:rPr>
          <w:rFonts w:ascii="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Устав муниципального района регулирует экономические основы местного самоуправления, характеристики и полномочия района в управлении муниципальным имуществом.</w:t>
      </w:r>
    </w:p>
    <w:p w:rsidR="005E327B" w:rsidRPr="00153E07" w:rsidRDefault="005E327B" w:rsidP="006D2568">
      <w:pPr>
        <w:pStyle w:val="af1"/>
        <w:numPr>
          <w:ilvl w:val="0"/>
          <w:numId w:val="4"/>
        </w:numPr>
        <w:spacing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Схема территориального планирования Бардымского муниципального района определяет </w:t>
      </w:r>
      <w:r w:rsidRPr="00153E07">
        <w:rPr>
          <w:rFonts w:ascii="Times New Roman" w:eastAsia="Times New Roman" w:hAnsi="Times New Roman" w:cs="Times New Roman"/>
          <w:sz w:val="28"/>
          <w:szCs w:val="28"/>
        </w:rPr>
        <w:t>назначения территорий на основе анализа социальных, экономических, экологических и иных факторов в целях обеспечения</w:t>
      </w:r>
      <w:hyperlink w:anchor="sub_103" w:history="1">
        <w:r w:rsidRPr="00153E07">
          <w:rPr>
            <w:rFonts w:ascii="Times New Roman" w:eastAsia="Times New Roman" w:hAnsi="Times New Roman" w:cs="Times New Roman"/>
            <w:sz w:val="28"/>
            <w:szCs w:val="28"/>
          </w:rPr>
          <w:t xml:space="preserve"> устойчивого развития территорий</w:t>
        </w:r>
      </w:hyperlink>
      <w:r w:rsidRPr="00153E07">
        <w:rPr>
          <w:rFonts w:ascii="Times New Roman" w:eastAsia="Times New Roman" w:hAnsi="Times New Roman" w:cs="Times New Roman"/>
          <w:sz w:val="28"/>
          <w:szCs w:val="28"/>
        </w:rPr>
        <w:t>, инженерной, транспортной и социальной инфраструктур с обеспечением учета интересов граждан;</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lastRenderedPageBreak/>
        <w:t>Генеральные планы поселений, входящих в состав Бардымского муниципального района, включают в себя характеристики территории сельских поселений, природные условия и ресурсы, минерально-сырьевые, лесосырьевые и рекреационные ресурсы, сведения о численности населения, описание социальной инфраструктуры, экономического потенциала с использованием программно-целевого программирования, жилищного строительства, инженерной и транспортной инфраструктуры, схемы озеленения территории и перечень основных факторов риска возникновения чрезвычайных ситуаций природного и техногенного характера. Территориально-планировочная организация территории содержит сведения об оптимизации системы расселения, обоснование территориального развития поселения, проектную организацию территории, архитектурно-планировочное решение.</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Муниципальные целевые программы Бардымского муниципального района;</w:t>
      </w:r>
    </w:p>
    <w:p w:rsidR="005E327B" w:rsidRPr="00153E07" w:rsidRDefault="005E327B" w:rsidP="006D2568">
      <w:pPr>
        <w:pStyle w:val="af1"/>
        <w:numPr>
          <w:ilvl w:val="0"/>
          <w:numId w:val="4"/>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Инвестиционные муниципальные проекты (программы) Бардымского муниципального района.</w:t>
      </w:r>
    </w:p>
    <w:p w:rsidR="005E327B" w:rsidRPr="00153E07" w:rsidRDefault="005E327B" w:rsidP="006D2568">
      <w:pPr>
        <w:spacing w:after="0" w:line="240" w:lineRule="auto"/>
        <w:ind w:firstLine="709"/>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Перечисленные документы направлены на развитие муниципального района, а именно: </w:t>
      </w:r>
      <w:r w:rsidRPr="00153E07">
        <w:rPr>
          <w:rFonts w:ascii="Times New Roman" w:hAnsi="Times New Roman" w:cs="Times New Roman"/>
          <w:sz w:val="28"/>
          <w:szCs w:val="28"/>
          <w:shd w:val="clear" w:color="auto" w:fill="FFFFFF"/>
        </w:rPr>
        <w:t xml:space="preserve">на повышение численности постоянного населения Пермского края, рост числа вовлеченных в экономическую деятельность на территории края, а также увеличение количества людей, временно находящихся на территории края с личными, деловыми и общественными целями. </w:t>
      </w:r>
    </w:p>
    <w:p w:rsidR="005E327B" w:rsidRPr="00153E07" w:rsidRDefault="005E327B" w:rsidP="006D2568">
      <w:pPr>
        <w:spacing w:after="0" w:line="240" w:lineRule="auto"/>
        <w:ind w:firstLine="709"/>
        <w:contextualSpacing/>
        <w:jc w:val="both"/>
        <w:rPr>
          <w:rFonts w:ascii="Times New Roman" w:hAnsi="Times New Roman" w:cs="Times New Roman"/>
          <w:sz w:val="28"/>
          <w:szCs w:val="28"/>
        </w:rPr>
      </w:pPr>
      <w:r w:rsidRPr="00153E07">
        <w:rPr>
          <w:rFonts w:ascii="Times New Roman" w:hAnsi="Times New Roman" w:cs="Times New Roman"/>
          <w:sz w:val="28"/>
          <w:szCs w:val="28"/>
        </w:rPr>
        <w:t xml:space="preserve">Согласно схеме территориального планирования Пермского края, утвержденной 27 октября 2009 года Постановлением Правительства Пермского края № </w:t>
      </w:r>
      <w:r w:rsidRPr="00153E07">
        <w:rPr>
          <w:rFonts w:ascii="Times New Roman" w:hAnsi="Times New Roman" w:cs="Times New Roman"/>
          <w:bCs/>
          <w:sz w:val="28"/>
          <w:szCs w:val="28"/>
        </w:rPr>
        <w:t xml:space="preserve">780-п, пространственная структура Пермского края формируется как планировочная система, основой которой являются урбанизированный, природно-экологический и историко-культурный каркасы.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представленных документов показал, что на текущий период времени в Бардымском муниципальном районе определены следующие агломерационные направления формирования пространственной организации муниципального образования:</w:t>
      </w:r>
    </w:p>
    <w:p w:rsidR="005E327B" w:rsidRPr="00153E07" w:rsidRDefault="005E327B" w:rsidP="006D2568">
      <w:pPr>
        <w:pStyle w:val="af1"/>
        <w:numPr>
          <w:ilvl w:val="0"/>
          <w:numId w:val="6"/>
        </w:numPr>
        <w:spacing w:after="0" w:line="240" w:lineRule="auto"/>
        <w:ind w:left="709" w:hanging="425"/>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сохранение существующих границ сельских поселений, с сохранением действующего статуса населенных пунктов;</w:t>
      </w:r>
    </w:p>
    <w:p w:rsidR="005E327B" w:rsidRPr="00153E07" w:rsidRDefault="005E327B" w:rsidP="006D2568">
      <w:pPr>
        <w:pStyle w:val="af1"/>
        <w:numPr>
          <w:ilvl w:val="0"/>
          <w:numId w:val="6"/>
        </w:numPr>
        <w:spacing w:after="0" w:line="240" w:lineRule="auto"/>
        <w:ind w:left="709" w:hanging="425"/>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отвод земель под новые микрорайоны, предназначенные под объекты социально-культурного значения и индивидуальное жилищное строительство.</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153E07">
        <w:rPr>
          <w:rFonts w:ascii="Times New Roman" w:eastAsia="Times New Roman" w:hAnsi="Times New Roman" w:cs="Times New Roman"/>
          <w:sz w:val="28"/>
          <w:szCs w:val="28"/>
        </w:rPr>
        <w:t xml:space="preserve">Так, в </w:t>
      </w:r>
      <w:r w:rsidRPr="00681E8B">
        <w:rPr>
          <w:rFonts w:ascii="Times New Roman" w:eastAsia="Times New Roman" w:hAnsi="Times New Roman" w:cs="Times New Roman"/>
          <w:b/>
          <w:sz w:val="28"/>
          <w:szCs w:val="28"/>
        </w:rPr>
        <w:t>Бардымском сельском поселении в с. Барда</w:t>
      </w:r>
      <w:r w:rsidRPr="00153E07">
        <w:rPr>
          <w:rFonts w:ascii="Times New Roman" w:eastAsia="Times New Roman" w:hAnsi="Times New Roman" w:cs="Times New Roman"/>
          <w:sz w:val="28"/>
          <w:szCs w:val="28"/>
        </w:rPr>
        <w:t xml:space="preserve"> предусматривается размещение на новых территориях 2-х новых </w:t>
      </w:r>
      <w:r w:rsidRPr="00153E07">
        <w:rPr>
          <w:rFonts w:ascii="Times New Roman" w:hAnsi="Times New Roman" w:cs="Times New Roman"/>
          <w:sz w:val="28"/>
          <w:szCs w:val="28"/>
          <w:shd w:val="clear" w:color="auto" w:fill="FFFFFF"/>
        </w:rPr>
        <w:t xml:space="preserve">микрорайонов, которые отводятся под индивидуальное коттеджное строительство, площадью </w:t>
      </w:r>
      <w:r w:rsidR="007C405B">
        <w:rPr>
          <w:rFonts w:ascii="Times New Roman" w:hAnsi="Times New Roman" w:cs="Times New Roman"/>
          <w:sz w:val="28"/>
          <w:szCs w:val="28"/>
          <w:shd w:val="clear" w:color="auto" w:fill="FFFFFF"/>
        </w:rPr>
        <w:t>444,7</w:t>
      </w:r>
      <w:r w:rsidRPr="00153E07">
        <w:rPr>
          <w:rFonts w:ascii="Times New Roman" w:hAnsi="Times New Roman" w:cs="Times New Roman"/>
          <w:sz w:val="28"/>
          <w:szCs w:val="28"/>
          <w:shd w:val="clear" w:color="auto" w:fill="FFFFFF"/>
        </w:rPr>
        <w:t xml:space="preserve"> га. </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153E07">
        <w:rPr>
          <w:rFonts w:ascii="Times New Roman" w:hAnsi="Times New Roman" w:cs="Times New Roman"/>
          <w:sz w:val="28"/>
          <w:szCs w:val="28"/>
          <w:shd w:val="clear" w:color="auto" w:fill="FFFFFF"/>
        </w:rPr>
        <w:t xml:space="preserve">В </w:t>
      </w:r>
      <w:r w:rsidR="00681E8B" w:rsidRPr="00681E8B">
        <w:rPr>
          <w:rFonts w:ascii="Times New Roman" w:hAnsi="Times New Roman" w:cs="Times New Roman"/>
          <w:sz w:val="28"/>
          <w:szCs w:val="28"/>
          <w:shd w:val="clear" w:color="auto" w:fill="FFFFFF"/>
        </w:rPr>
        <w:t>д.</w:t>
      </w:r>
      <w:r w:rsidRPr="00681E8B">
        <w:rPr>
          <w:rFonts w:ascii="Times New Roman" w:hAnsi="Times New Roman" w:cs="Times New Roman"/>
          <w:sz w:val="28"/>
          <w:szCs w:val="28"/>
          <w:shd w:val="clear" w:color="auto" w:fill="FFFFFF"/>
        </w:rPr>
        <w:t>Мостовая</w:t>
      </w:r>
      <w:r w:rsidRPr="00153E07">
        <w:rPr>
          <w:rFonts w:ascii="Times New Roman" w:hAnsi="Times New Roman" w:cs="Times New Roman"/>
          <w:sz w:val="28"/>
          <w:szCs w:val="28"/>
          <w:shd w:val="clear" w:color="auto" w:fill="FFFFFF"/>
        </w:rPr>
        <w:t xml:space="preserve"> проектом предусмотрено расширение территории под индивидуальное жилищное строительство на юго-восток на 13,5</w:t>
      </w:r>
      <w:r w:rsidR="00681E8B">
        <w:rPr>
          <w:rFonts w:ascii="Times New Roman" w:hAnsi="Times New Roman" w:cs="Times New Roman"/>
          <w:sz w:val="28"/>
          <w:szCs w:val="28"/>
          <w:shd w:val="clear" w:color="auto" w:fill="FFFFFF"/>
        </w:rPr>
        <w:t xml:space="preserve"> га, в д.</w:t>
      </w:r>
      <w:r w:rsidRPr="00153E07">
        <w:rPr>
          <w:rFonts w:ascii="Times New Roman" w:hAnsi="Times New Roman" w:cs="Times New Roman"/>
          <w:sz w:val="28"/>
          <w:szCs w:val="28"/>
          <w:shd w:val="clear" w:color="auto" w:fill="FFFFFF"/>
        </w:rPr>
        <w:t>Старый Чад - на юго-запад для тех же целей на 10</w:t>
      </w:r>
      <w:r w:rsidR="00681E8B">
        <w:rPr>
          <w:rFonts w:ascii="Times New Roman" w:hAnsi="Times New Roman" w:cs="Times New Roman"/>
          <w:sz w:val="28"/>
          <w:szCs w:val="28"/>
          <w:shd w:val="clear" w:color="auto" w:fill="FFFFFF"/>
        </w:rPr>
        <w:t xml:space="preserve"> </w:t>
      </w:r>
      <w:r w:rsidRPr="00153E07">
        <w:rPr>
          <w:rFonts w:ascii="Times New Roman" w:hAnsi="Times New Roman" w:cs="Times New Roman"/>
          <w:sz w:val="28"/>
          <w:szCs w:val="28"/>
          <w:shd w:val="clear" w:color="auto" w:fill="FFFFFF"/>
        </w:rPr>
        <w:t xml:space="preserve">га. </w:t>
      </w:r>
    </w:p>
    <w:p w:rsidR="005E327B" w:rsidRPr="00153E07" w:rsidRDefault="00681E8B" w:rsidP="006D2568">
      <w:pPr>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681E8B">
        <w:rPr>
          <w:rFonts w:ascii="Times New Roman" w:hAnsi="Times New Roman" w:cs="Times New Roman"/>
          <w:sz w:val="28"/>
          <w:szCs w:val="28"/>
          <w:shd w:val="clear" w:color="auto" w:fill="FFFFFF"/>
        </w:rPr>
        <w:t>д.</w:t>
      </w:r>
      <w:r w:rsidR="005E327B" w:rsidRPr="00681E8B">
        <w:rPr>
          <w:rFonts w:ascii="Times New Roman" w:hAnsi="Times New Roman" w:cs="Times New Roman"/>
          <w:sz w:val="28"/>
          <w:szCs w:val="28"/>
          <w:shd w:val="clear" w:color="auto" w:fill="FFFFFF"/>
        </w:rPr>
        <w:t>Чалково</w:t>
      </w:r>
      <w:r w:rsidR="007C405B">
        <w:rPr>
          <w:rFonts w:ascii="Times New Roman" w:hAnsi="Times New Roman" w:cs="Times New Roman"/>
          <w:sz w:val="28"/>
          <w:szCs w:val="28"/>
          <w:shd w:val="clear" w:color="auto" w:fill="FFFFFF"/>
        </w:rPr>
        <w:t xml:space="preserve"> проектом предусмотрено </w:t>
      </w:r>
      <w:r w:rsidR="005E327B" w:rsidRPr="00153E07">
        <w:rPr>
          <w:rFonts w:ascii="Times New Roman" w:hAnsi="Times New Roman" w:cs="Times New Roman"/>
          <w:sz w:val="28"/>
          <w:szCs w:val="28"/>
          <w:shd w:val="clear" w:color="auto" w:fill="FFFFFF"/>
        </w:rPr>
        <w:t xml:space="preserve">расширение </w:t>
      </w:r>
      <w:r w:rsidR="007C405B">
        <w:rPr>
          <w:rFonts w:ascii="Times New Roman" w:hAnsi="Times New Roman" w:cs="Times New Roman"/>
          <w:sz w:val="28"/>
          <w:szCs w:val="28"/>
          <w:shd w:val="clear" w:color="auto" w:fill="FFFFFF"/>
        </w:rPr>
        <w:t xml:space="preserve">территории </w:t>
      </w:r>
      <w:r w:rsidR="005E327B" w:rsidRPr="00153E07">
        <w:rPr>
          <w:rFonts w:ascii="Times New Roman" w:hAnsi="Times New Roman" w:cs="Times New Roman"/>
          <w:sz w:val="28"/>
          <w:szCs w:val="28"/>
          <w:shd w:val="clear" w:color="auto" w:fill="FFFFFF"/>
        </w:rPr>
        <w:t xml:space="preserve">под индивидуальное жилищное строительство </w:t>
      </w:r>
      <w:r w:rsidR="007C405B">
        <w:rPr>
          <w:rFonts w:ascii="Times New Roman" w:hAnsi="Times New Roman" w:cs="Times New Roman"/>
          <w:sz w:val="28"/>
          <w:szCs w:val="28"/>
          <w:shd w:val="clear" w:color="auto" w:fill="FFFFFF"/>
        </w:rPr>
        <w:t>площадью 25,8</w:t>
      </w:r>
      <w:r>
        <w:rPr>
          <w:rFonts w:ascii="Times New Roman" w:hAnsi="Times New Roman" w:cs="Times New Roman"/>
          <w:sz w:val="28"/>
          <w:szCs w:val="28"/>
          <w:shd w:val="clear" w:color="auto" w:fill="FFFFFF"/>
        </w:rPr>
        <w:t xml:space="preserve"> </w:t>
      </w:r>
      <w:r w:rsidR="007C405B">
        <w:rPr>
          <w:rFonts w:ascii="Times New Roman" w:hAnsi="Times New Roman" w:cs="Times New Roman"/>
          <w:sz w:val="28"/>
          <w:szCs w:val="28"/>
          <w:shd w:val="clear" w:color="auto" w:fill="FFFFFF"/>
        </w:rPr>
        <w:t>га</w:t>
      </w:r>
      <w:r w:rsidR="005E327B" w:rsidRPr="00153E07">
        <w:rPr>
          <w:rFonts w:ascii="Times New Roman" w:hAnsi="Times New Roman" w:cs="Times New Roman"/>
          <w:sz w:val="28"/>
          <w:szCs w:val="28"/>
          <w:shd w:val="clear" w:color="auto" w:fill="FFFFFF"/>
        </w:rPr>
        <w:t>.</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Березниковском сельском поселении</w:t>
      </w:r>
      <w:r w:rsidRPr="00153E07">
        <w:rPr>
          <w:rFonts w:ascii="Times New Roman" w:hAnsi="Times New Roman" w:cs="Times New Roman"/>
          <w:sz w:val="28"/>
          <w:szCs w:val="28"/>
          <w:shd w:val="clear" w:color="auto" w:fill="FFFFFF"/>
        </w:rPr>
        <w:t xml:space="preserve"> проектом предусматривается расширение с. Березники на юго-восток и строительство нового микрорайона, </w:t>
      </w:r>
      <w:r w:rsidRPr="00153E07">
        <w:rPr>
          <w:rFonts w:ascii="Times New Roman" w:hAnsi="Times New Roman" w:cs="Times New Roman"/>
          <w:sz w:val="28"/>
          <w:szCs w:val="28"/>
          <w:shd w:val="clear" w:color="auto" w:fill="FFFFFF"/>
        </w:rPr>
        <w:lastRenderedPageBreak/>
        <w:t xml:space="preserve">застройка индивидуальными жилыми домами с участками для ведения личного подсобного хозяйства, площадью </w:t>
      </w:r>
      <w:r w:rsidR="007C405B">
        <w:rPr>
          <w:rFonts w:ascii="Times New Roman" w:hAnsi="Times New Roman" w:cs="Times New Roman"/>
          <w:sz w:val="28"/>
          <w:szCs w:val="28"/>
          <w:shd w:val="clear" w:color="auto" w:fill="FFFFFF"/>
        </w:rPr>
        <w:t>42,2</w:t>
      </w:r>
      <w:r w:rsidR="00681E8B">
        <w:rPr>
          <w:rFonts w:ascii="Times New Roman" w:hAnsi="Times New Roman" w:cs="Times New Roman"/>
          <w:sz w:val="28"/>
          <w:szCs w:val="28"/>
          <w:shd w:val="clear" w:color="auto" w:fill="FFFFFF"/>
        </w:rPr>
        <w:t xml:space="preserve"> га. В с.</w:t>
      </w:r>
      <w:r w:rsidRPr="00153E07">
        <w:rPr>
          <w:rFonts w:ascii="Times New Roman" w:hAnsi="Times New Roman" w:cs="Times New Roman"/>
          <w:sz w:val="28"/>
          <w:szCs w:val="28"/>
          <w:shd w:val="clear" w:color="auto" w:fill="FFFFFF"/>
        </w:rPr>
        <w:t xml:space="preserve">Куземьярово предусмотрено расширение под индивидуальное жилищное строительство на юго-запад на </w:t>
      </w:r>
      <w:r w:rsidR="003421C8">
        <w:rPr>
          <w:rFonts w:ascii="Times New Roman" w:hAnsi="Times New Roman" w:cs="Times New Roman"/>
          <w:sz w:val="28"/>
          <w:szCs w:val="28"/>
          <w:shd w:val="clear" w:color="auto" w:fill="FFFFFF"/>
        </w:rPr>
        <w:t>5</w:t>
      </w:r>
      <w:r w:rsidRPr="00153E07">
        <w:rPr>
          <w:rFonts w:ascii="Times New Roman" w:hAnsi="Times New Roman" w:cs="Times New Roman"/>
          <w:sz w:val="28"/>
          <w:szCs w:val="28"/>
          <w:shd w:val="clear" w:color="auto" w:fill="FFFFFF"/>
        </w:rPr>
        <w:t>6,</w:t>
      </w:r>
      <w:r w:rsidR="003421C8">
        <w:rPr>
          <w:rFonts w:ascii="Times New Roman" w:hAnsi="Times New Roman" w:cs="Times New Roman"/>
          <w:sz w:val="28"/>
          <w:szCs w:val="28"/>
          <w:shd w:val="clear" w:color="auto" w:fill="FFFFFF"/>
        </w:rPr>
        <w:t>8</w:t>
      </w:r>
      <w:r w:rsidRPr="00153E07">
        <w:rPr>
          <w:rFonts w:ascii="Times New Roman" w:hAnsi="Times New Roman" w:cs="Times New Roman"/>
          <w:sz w:val="28"/>
          <w:szCs w:val="28"/>
          <w:shd w:val="clear" w:color="auto" w:fill="FFFFFF"/>
        </w:rPr>
        <w:t xml:space="preserve"> га, в д. Ишимово - на север и юго-запад на </w:t>
      </w:r>
      <w:r w:rsidR="003421C8">
        <w:rPr>
          <w:rFonts w:ascii="Times New Roman" w:hAnsi="Times New Roman" w:cs="Times New Roman"/>
          <w:sz w:val="28"/>
          <w:szCs w:val="28"/>
          <w:shd w:val="clear" w:color="auto" w:fill="FFFFFF"/>
        </w:rPr>
        <w:t>43,1</w:t>
      </w:r>
      <w:r w:rsidRPr="00153E07">
        <w:rPr>
          <w:rFonts w:ascii="Times New Roman" w:hAnsi="Times New Roman" w:cs="Times New Roman"/>
          <w:sz w:val="28"/>
          <w:szCs w:val="28"/>
          <w:shd w:val="clear" w:color="auto" w:fill="FFFFFF"/>
        </w:rPr>
        <w:t xml:space="preserve"> га, в д.Кудаш - на юго-восток на 21,5 га, в д.Чувашаево - на север на </w:t>
      </w:r>
      <w:r w:rsidR="003421C8">
        <w:rPr>
          <w:rFonts w:ascii="Times New Roman" w:hAnsi="Times New Roman" w:cs="Times New Roman"/>
          <w:sz w:val="28"/>
          <w:szCs w:val="28"/>
          <w:shd w:val="clear" w:color="auto" w:fill="FFFFFF"/>
        </w:rPr>
        <w:t>8,1</w:t>
      </w:r>
      <w:r w:rsidRPr="00153E07">
        <w:rPr>
          <w:rFonts w:ascii="Times New Roman" w:hAnsi="Times New Roman" w:cs="Times New Roman"/>
          <w:sz w:val="28"/>
          <w:szCs w:val="28"/>
          <w:shd w:val="clear" w:color="auto" w:fill="FFFFFF"/>
        </w:rPr>
        <w:t xml:space="preserve"> га.</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Бичуринском сельском поселении</w:t>
      </w:r>
      <w:r w:rsidRPr="00153E07">
        <w:rPr>
          <w:rFonts w:ascii="Times New Roman" w:hAnsi="Times New Roman" w:cs="Times New Roman"/>
          <w:sz w:val="28"/>
          <w:szCs w:val="28"/>
          <w:shd w:val="clear" w:color="auto" w:fill="FFFFFF"/>
        </w:rPr>
        <w:t xml:space="preserve"> в с. Бичурино планируется расширение границ индивидуальной застройки на северо-запад на 53 га, в д.Бардабашка-1 - на юго-запад на 7,4</w:t>
      </w:r>
      <w:r w:rsidR="00681E8B">
        <w:rPr>
          <w:rFonts w:ascii="Times New Roman" w:hAnsi="Times New Roman" w:cs="Times New Roman"/>
          <w:sz w:val="28"/>
          <w:szCs w:val="28"/>
          <w:shd w:val="clear" w:color="auto" w:fill="FFFFFF"/>
        </w:rPr>
        <w:t xml:space="preserve"> </w:t>
      </w:r>
      <w:r w:rsidRPr="00153E07">
        <w:rPr>
          <w:rFonts w:ascii="Times New Roman" w:hAnsi="Times New Roman" w:cs="Times New Roman"/>
          <w:sz w:val="28"/>
          <w:szCs w:val="28"/>
          <w:shd w:val="clear" w:color="auto" w:fill="FFFFFF"/>
        </w:rPr>
        <w:t>га.</w:t>
      </w:r>
    </w:p>
    <w:p w:rsidR="005E327B" w:rsidRPr="00153E07" w:rsidRDefault="005E327B" w:rsidP="006D2568">
      <w:pPr>
        <w:spacing w:after="0" w:line="240" w:lineRule="auto"/>
        <w:ind w:firstLine="709"/>
        <w:jc w:val="both"/>
        <w:rPr>
          <w:rFonts w:ascii="Times New Roman" w:hAnsi="Times New Roman" w:cs="Times New Roman"/>
          <w:sz w:val="28"/>
          <w:szCs w:val="28"/>
          <w:shd w:val="clear" w:color="auto" w:fill="FFFFFF"/>
        </w:rPr>
      </w:pPr>
      <w:r w:rsidRPr="00681E8B">
        <w:rPr>
          <w:rFonts w:ascii="Times New Roman" w:hAnsi="Times New Roman" w:cs="Times New Roman"/>
          <w:b/>
          <w:sz w:val="28"/>
          <w:szCs w:val="28"/>
          <w:shd w:val="clear" w:color="auto" w:fill="FFFFFF"/>
        </w:rPr>
        <w:t>В Бюзлинском сельском поселении</w:t>
      </w:r>
      <w:r w:rsidRPr="00153E07">
        <w:rPr>
          <w:rFonts w:ascii="Times New Roman" w:hAnsi="Times New Roman" w:cs="Times New Roman"/>
          <w:sz w:val="28"/>
          <w:szCs w:val="28"/>
          <w:shd w:val="clear" w:color="auto" w:fill="FFFFFF"/>
        </w:rPr>
        <w:t xml:space="preserve"> планируется выделение 40,9 га на новую индивидуальную постройку: в с.Брюзли – на юго-запад на 2</w:t>
      </w:r>
      <w:r w:rsidR="003421C8">
        <w:rPr>
          <w:rFonts w:ascii="Times New Roman" w:hAnsi="Times New Roman" w:cs="Times New Roman"/>
          <w:sz w:val="28"/>
          <w:szCs w:val="28"/>
          <w:shd w:val="clear" w:color="auto" w:fill="FFFFFF"/>
        </w:rPr>
        <w:t>1,3</w:t>
      </w:r>
      <w:r w:rsidRPr="00153E07">
        <w:rPr>
          <w:rFonts w:ascii="Times New Roman" w:hAnsi="Times New Roman" w:cs="Times New Roman"/>
          <w:sz w:val="28"/>
          <w:szCs w:val="28"/>
          <w:shd w:val="clear" w:color="auto" w:fill="FFFFFF"/>
        </w:rPr>
        <w:t xml:space="preserve"> га, в д.Сюзянь – на северо-запад и юго-запад села на </w:t>
      </w:r>
      <w:r w:rsidR="003421C8">
        <w:rPr>
          <w:rFonts w:ascii="Times New Roman" w:hAnsi="Times New Roman" w:cs="Times New Roman"/>
          <w:sz w:val="28"/>
          <w:szCs w:val="28"/>
          <w:shd w:val="clear" w:color="auto" w:fill="FFFFFF"/>
        </w:rPr>
        <w:t>6,1 га, в</w:t>
      </w:r>
      <w:r w:rsidRPr="00153E07">
        <w:rPr>
          <w:rFonts w:ascii="Times New Roman" w:hAnsi="Times New Roman" w:cs="Times New Roman"/>
          <w:sz w:val="28"/>
          <w:szCs w:val="28"/>
          <w:shd w:val="clear" w:color="auto" w:fill="FFFFFF"/>
        </w:rPr>
        <w:t xml:space="preserve"> д.Батырбай </w:t>
      </w:r>
      <w:r w:rsidR="003421C8">
        <w:rPr>
          <w:rFonts w:ascii="Times New Roman" w:hAnsi="Times New Roman" w:cs="Times New Roman"/>
          <w:sz w:val="28"/>
          <w:szCs w:val="28"/>
          <w:shd w:val="clear" w:color="auto" w:fill="FFFFFF"/>
        </w:rPr>
        <w:t>-12,5 га</w:t>
      </w:r>
      <w:r w:rsidRPr="00153E07">
        <w:rPr>
          <w:rFonts w:ascii="Times New Roman" w:hAnsi="Times New Roman" w:cs="Times New Roman"/>
          <w:sz w:val="28"/>
          <w:szCs w:val="28"/>
          <w:shd w:val="clear" w:color="auto" w:fill="FFFFFF"/>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Елпачихинском сельском поселении</w:t>
      </w:r>
      <w:r w:rsidRPr="00153E07">
        <w:rPr>
          <w:rFonts w:ascii="Times New Roman" w:hAnsi="Times New Roman" w:cs="Times New Roman"/>
          <w:bCs/>
          <w:sz w:val="28"/>
          <w:szCs w:val="28"/>
        </w:rPr>
        <w:t xml:space="preserve"> для развития поселения предусматривается отвод земель под новые микрорайоны, предназначенные под индивидуальное жилищное строительство, площадь под строительство составит </w:t>
      </w:r>
      <w:r w:rsidR="003421C8">
        <w:rPr>
          <w:rFonts w:ascii="Times New Roman" w:hAnsi="Times New Roman" w:cs="Times New Roman"/>
          <w:bCs/>
          <w:sz w:val="28"/>
          <w:szCs w:val="28"/>
        </w:rPr>
        <w:t xml:space="preserve">91,5 </w:t>
      </w:r>
      <w:r w:rsidRPr="00153E07">
        <w:rPr>
          <w:rFonts w:ascii="Times New Roman" w:hAnsi="Times New Roman" w:cs="Times New Roman"/>
          <w:bCs/>
          <w:sz w:val="28"/>
          <w:szCs w:val="28"/>
        </w:rPr>
        <w:t xml:space="preserve">га. В с.Елпачиха планируется построить микрорайон в северной части села для целей индивидуальной застройки с участками для ведения личного подсобного хозяйства. В д.Искирь под расширение индивидуального строительства в северо-западной </w:t>
      </w:r>
      <w:r w:rsidR="00681E8B">
        <w:rPr>
          <w:rFonts w:ascii="Times New Roman" w:hAnsi="Times New Roman" w:cs="Times New Roman"/>
          <w:bCs/>
          <w:sz w:val="28"/>
          <w:szCs w:val="28"/>
        </w:rPr>
        <w:t>части села отводится 11га. В д.</w:t>
      </w:r>
      <w:r w:rsidRPr="00153E07">
        <w:rPr>
          <w:rFonts w:ascii="Times New Roman" w:hAnsi="Times New Roman" w:cs="Times New Roman"/>
          <w:bCs/>
          <w:sz w:val="28"/>
          <w:szCs w:val="28"/>
        </w:rPr>
        <w:t>Усть-Тунтор и д. Конюково отведение земель под расширение не предусмотрено.</w:t>
      </w:r>
    </w:p>
    <w:p w:rsidR="005E327B" w:rsidRPr="00153E07" w:rsidRDefault="00681E8B" w:rsidP="006D2568">
      <w:pPr>
        <w:spacing w:after="0" w:line="24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rPr>
        <w:t>В с.</w:t>
      </w:r>
      <w:r w:rsidR="005E327B" w:rsidRPr="00153E07">
        <w:rPr>
          <w:rFonts w:ascii="Times New Roman" w:hAnsi="Times New Roman" w:cs="Times New Roman"/>
          <w:bCs/>
          <w:sz w:val="28"/>
          <w:szCs w:val="28"/>
        </w:rPr>
        <w:t xml:space="preserve">Краснояр </w:t>
      </w:r>
      <w:r w:rsidR="00F72EA5">
        <w:rPr>
          <w:rFonts w:ascii="Times New Roman" w:hAnsi="Times New Roman" w:cs="Times New Roman"/>
          <w:bCs/>
          <w:sz w:val="28"/>
          <w:szCs w:val="28"/>
          <w:lang w:val="en-US"/>
        </w:rPr>
        <w:t>I</w:t>
      </w:r>
      <w:r w:rsidR="005E327B" w:rsidRPr="00153E07">
        <w:rPr>
          <w:rFonts w:ascii="Times New Roman" w:hAnsi="Times New Roman" w:cs="Times New Roman"/>
          <w:bCs/>
          <w:sz w:val="28"/>
          <w:szCs w:val="28"/>
        </w:rPr>
        <w:t xml:space="preserve"> </w:t>
      </w:r>
      <w:r w:rsidR="005E327B" w:rsidRPr="00681E8B">
        <w:rPr>
          <w:rFonts w:ascii="Times New Roman" w:hAnsi="Times New Roman" w:cs="Times New Roman"/>
          <w:b/>
          <w:bCs/>
          <w:sz w:val="28"/>
          <w:szCs w:val="28"/>
        </w:rPr>
        <w:t>Красноярского сельского поселения</w:t>
      </w:r>
      <w:r w:rsidR="005E327B" w:rsidRPr="00153E07">
        <w:rPr>
          <w:rFonts w:ascii="Times New Roman" w:hAnsi="Times New Roman" w:cs="Times New Roman"/>
          <w:bCs/>
          <w:sz w:val="28"/>
          <w:szCs w:val="28"/>
        </w:rPr>
        <w:t xml:space="preserve"> планируется размещен</w:t>
      </w:r>
      <w:r w:rsidR="00F72EA5">
        <w:rPr>
          <w:rFonts w:ascii="Times New Roman" w:hAnsi="Times New Roman" w:cs="Times New Roman"/>
          <w:bCs/>
          <w:sz w:val="28"/>
          <w:szCs w:val="28"/>
        </w:rPr>
        <w:t>ие нового микрорайона площадью 289,6</w:t>
      </w:r>
      <w:r>
        <w:rPr>
          <w:rFonts w:ascii="Times New Roman" w:hAnsi="Times New Roman" w:cs="Times New Roman"/>
          <w:bCs/>
          <w:sz w:val="28"/>
          <w:szCs w:val="28"/>
        </w:rPr>
        <w:t xml:space="preserve"> </w:t>
      </w:r>
      <w:r w:rsidR="005E327B" w:rsidRPr="00153E07">
        <w:rPr>
          <w:rFonts w:ascii="Times New Roman" w:hAnsi="Times New Roman" w:cs="Times New Roman"/>
          <w:bCs/>
          <w:sz w:val="28"/>
          <w:szCs w:val="28"/>
        </w:rPr>
        <w:t>га</w:t>
      </w:r>
      <w:r>
        <w:rPr>
          <w:rFonts w:ascii="Times New Roman" w:hAnsi="Times New Roman" w:cs="Times New Roman"/>
          <w:bCs/>
          <w:sz w:val="28"/>
          <w:szCs w:val="28"/>
        </w:rPr>
        <w:t>, в с.</w:t>
      </w:r>
      <w:r w:rsidR="00F72EA5">
        <w:rPr>
          <w:rFonts w:ascii="Times New Roman" w:hAnsi="Times New Roman" w:cs="Times New Roman"/>
          <w:bCs/>
          <w:sz w:val="28"/>
          <w:szCs w:val="28"/>
        </w:rPr>
        <w:t xml:space="preserve">Краснояр </w:t>
      </w:r>
      <w:r w:rsidR="00F72EA5">
        <w:rPr>
          <w:rFonts w:ascii="Times New Roman" w:hAnsi="Times New Roman" w:cs="Times New Roman"/>
          <w:bCs/>
          <w:sz w:val="28"/>
          <w:szCs w:val="28"/>
          <w:lang w:val="en-US"/>
        </w:rPr>
        <w:t>II</w:t>
      </w:r>
      <w:r>
        <w:rPr>
          <w:rFonts w:ascii="Times New Roman" w:hAnsi="Times New Roman" w:cs="Times New Roman"/>
          <w:bCs/>
          <w:sz w:val="28"/>
          <w:szCs w:val="28"/>
        </w:rPr>
        <w:t xml:space="preserve"> – 45,1 га, в д.</w:t>
      </w:r>
      <w:r w:rsidR="00F72EA5">
        <w:rPr>
          <w:rFonts w:ascii="Times New Roman" w:hAnsi="Times New Roman" w:cs="Times New Roman"/>
          <w:bCs/>
          <w:sz w:val="28"/>
          <w:szCs w:val="28"/>
        </w:rPr>
        <w:t>Утяй – 23,31 га под садоводство</w:t>
      </w:r>
      <w:r w:rsidR="005E327B"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Печменском сельском поселении</w:t>
      </w:r>
      <w:r w:rsidRPr="00153E07">
        <w:rPr>
          <w:rFonts w:ascii="Times New Roman" w:hAnsi="Times New Roman" w:cs="Times New Roman"/>
          <w:bCs/>
          <w:sz w:val="28"/>
          <w:szCs w:val="28"/>
        </w:rPr>
        <w:t xml:space="preserve">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Печмень – 20</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 с</w:t>
      </w:r>
      <w:r w:rsidR="00681E8B">
        <w:rPr>
          <w:rFonts w:ascii="Times New Roman" w:hAnsi="Times New Roman" w:cs="Times New Roman"/>
          <w:bCs/>
          <w:sz w:val="28"/>
          <w:szCs w:val="28"/>
        </w:rPr>
        <w:t>еверо-западной части села, в д.</w:t>
      </w:r>
      <w:r w:rsidRPr="00153E07">
        <w:rPr>
          <w:rFonts w:ascii="Times New Roman" w:hAnsi="Times New Roman" w:cs="Times New Roman"/>
          <w:bCs/>
          <w:sz w:val="28"/>
          <w:szCs w:val="28"/>
        </w:rPr>
        <w:t>Зязелга- 6,8га</w:t>
      </w:r>
      <w:r w:rsidR="00681E8B">
        <w:rPr>
          <w:rFonts w:ascii="Times New Roman" w:hAnsi="Times New Roman" w:cs="Times New Roman"/>
          <w:bCs/>
          <w:sz w:val="28"/>
          <w:szCs w:val="28"/>
        </w:rPr>
        <w:t xml:space="preserve"> в северной части деревни, в с.</w:t>
      </w:r>
      <w:r w:rsidRPr="00153E07">
        <w:rPr>
          <w:rFonts w:ascii="Times New Roman" w:hAnsi="Times New Roman" w:cs="Times New Roman"/>
          <w:bCs/>
          <w:sz w:val="28"/>
          <w:szCs w:val="28"/>
        </w:rPr>
        <w:t xml:space="preserve">Кармановка – </w:t>
      </w:r>
      <w:r w:rsidR="00681E8B">
        <w:rPr>
          <w:rFonts w:ascii="Times New Roman" w:hAnsi="Times New Roman" w:cs="Times New Roman"/>
          <w:bCs/>
          <w:sz w:val="28"/>
          <w:szCs w:val="28"/>
        </w:rPr>
        <w:t>18,2 га в южной части села, в с.</w:t>
      </w:r>
      <w:r w:rsidRPr="00153E07">
        <w:rPr>
          <w:rFonts w:ascii="Times New Roman" w:hAnsi="Times New Roman" w:cs="Times New Roman"/>
          <w:bCs/>
          <w:sz w:val="28"/>
          <w:szCs w:val="28"/>
        </w:rPr>
        <w:t>Константиновка – 21,4га в юго-западной части села.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Сарашевском сельском поселении</w:t>
      </w:r>
      <w:r w:rsidRPr="00153E07">
        <w:rPr>
          <w:rFonts w:ascii="Times New Roman" w:hAnsi="Times New Roman" w:cs="Times New Roman"/>
          <w:bCs/>
          <w:sz w:val="28"/>
          <w:szCs w:val="28"/>
        </w:rPr>
        <w:t xml:space="preserve"> для развития поселения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Сараши -</w:t>
      </w:r>
      <w:r w:rsidR="00681E8B">
        <w:rPr>
          <w:rFonts w:ascii="Times New Roman" w:hAnsi="Times New Roman" w:cs="Times New Roman"/>
          <w:bCs/>
          <w:sz w:val="28"/>
          <w:szCs w:val="28"/>
        </w:rPr>
        <w:t xml:space="preserve"> </w:t>
      </w:r>
      <w:r w:rsidR="003421C8">
        <w:rPr>
          <w:rFonts w:ascii="Times New Roman" w:hAnsi="Times New Roman" w:cs="Times New Roman"/>
          <w:bCs/>
          <w:sz w:val="28"/>
          <w:szCs w:val="28"/>
        </w:rPr>
        <w:t>399,2</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 западной, юго-западной, южной</w:t>
      </w:r>
      <w:r w:rsidR="00681E8B">
        <w:rPr>
          <w:rFonts w:ascii="Times New Roman" w:hAnsi="Times New Roman" w:cs="Times New Roman"/>
          <w:bCs/>
          <w:sz w:val="28"/>
          <w:szCs w:val="28"/>
        </w:rPr>
        <w:t xml:space="preserve"> и юго-восточной части села, д.</w:t>
      </w:r>
      <w:r w:rsidRPr="00153E07">
        <w:rPr>
          <w:rFonts w:ascii="Times New Roman" w:hAnsi="Times New Roman" w:cs="Times New Roman"/>
          <w:bCs/>
          <w:sz w:val="28"/>
          <w:szCs w:val="28"/>
        </w:rPr>
        <w:t>Усть-Ашап – 16</w:t>
      </w:r>
      <w:r w:rsidR="003421C8">
        <w:rPr>
          <w:rFonts w:ascii="Times New Roman" w:hAnsi="Times New Roman" w:cs="Times New Roman"/>
          <w:bCs/>
          <w:sz w:val="28"/>
          <w:szCs w:val="28"/>
        </w:rPr>
        <w:t>,2</w:t>
      </w:r>
      <w:r w:rsidR="00681E8B">
        <w:rPr>
          <w:rFonts w:ascii="Times New Roman" w:hAnsi="Times New Roman" w:cs="Times New Roman"/>
          <w:bCs/>
          <w:sz w:val="28"/>
          <w:szCs w:val="28"/>
        </w:rPr>
        <w:t xml:space="preserve"> </w:t>
      </w:r>
      <w:r w:rsidR="003421C8">
        <w:rPr>
          <w:rFonts w:ascii="Times New Roman" w:hAnsi="Times New Roman" w:cs="Times New Roman"/>
          <w:bCs/>
          <w:sz w:val="28"/>
          <w:szCs w:val="28"/>
        </w:rPr>
        <w:t>г</w:t>
      </w:r>
      <w:r w:rsidR="00681E8B">
        <w:rPr>
          <w:rFonts w:ascii="Times New Roman" w:hAnsi="Times New Roman" w:cs="Times New Roman"/>
          <w:bCs/>
          <w:sz w:val="28"/>
          <w:szCs w:val="28"/>
        </w:rPr>
        <w:t>а в юго-восточной части села, с.Танып – 21,1 га, с.</w:t>
      </w:r>
      <w:r w:rsidR="003421C8">
        <w:rPr>
          <w:rFonts w:ascii="Times New Roman" w:hAnsi="Times New Roman" w:cs="Times New Roman"/>
          <w:bCs/>
          <w:sz w:val="28"/>
          <w:szCs w:val="28"/>
        </w:rPr>
        <w:t>Султанай – 5,5 га.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Тюндюковском сельском поселении</w:t>
      </w:r>
      <w:r w:rsidRPr="00153E07">
        <w:rPr>
          <w:rFonts w:ascii="Times New Roman" w:hAnsi="Times New Roman" w:cs="Times New Roman"/>
          <w:bCs/>
          <w:sz w:val="28"/>
          <w:szCs w:val="28"/>
        </w:rPr>
        <w:t xml:space="preserve"> предусматривается отвод земель под новые микрорайоны, предназначенные под индивидуальн</w:t>
      </w:r>
      <w:r w:rsidR="00681E8B">
        <w:rPr>
          <w:rFonts w:ascii="Times New Roman" w:hAnsi="Times New Roman" w:cs="Times New Roman"/>
          <w:bCs/>
          <w:sz w:val="28"/>
          <w:szCs w:val="28"/>
        </w:rPr>
        <w:t>ое жилищное строительство. В с.</w:t>
      </w:r>
      <w:r w:rsidRPr="00153E07">
        <w:rPr>
          <w:rFonts w:ascii="Times New Roman" w:hAnsi="Times New Roman" w:cs="Times New Roman"/>
          <w:bCs/>
          <w:sz w:val="28"/>
          <w:szCs w:val="28"/>
        </w:rPr>
        <w:t xml:space="preserve">Тюндюк </w:t>
      </w:r>
      <w:r w:rsidR="003421C8">
        <w:rPr>
          <w:rFonts w:ascii="Times New Roman" w:hAnsi="Times New Roman" w:cs="Times New Roman"/>
          <w:bCs/>
          <w:sz w:val="28"/>
          <w:szCs w:val="28"/>
        </w:rPr>
        <w:t>–199,2</w:t>
      </w:r>
      <w:r w:rsidRPr="00153E07">
        <w:rPr>
          <w:rFonts w:ascii="Times New Roman" w:hAnsi="Times New Roman" w:cs="Times New Roman"/>
          <w:bCs/>
          <w:sz w:val="28"/>
          <w:szCs w:val="28"/>
        </w:rPr>
        <w:t>га в юго-восточной и западной части села</w:t>
      </w:r>
      <w:r w:rsidR="003421C8">
        <w:rPr>
          <w:rFonts w:ascii="Times New Roman" w:hAnsi="Times New Roman" w:cs="Times New Roman"/>
          <w:bCs/>
          <w:sz w:val="28"/>
          <w:szCs w:val="28"/>
        </w:rPr>
        <w:t>, в с.Аклуши – 60,8 га</w:t>
      </w:r>
      <w:r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Федорковском сельском поселении</w:t>
      </w:r>
      <w:r w:rsidRPr="00153E07">
        <w:rPr>
          <w:rFonts w:ascii="Times New Roman" w:hAnsi="Times New Roman" w:cs="Times New Roman"/>
          <w:bCs/>
          <w:sz w:val="28"/>
          <w:szCs w:val="28"/>
        </w:rPr>
        <w:t xml:space="preserve"> отвод земель под новые микрорайоны в с. Федорки составит </w:t>
      </w:r>
      <w:r w:rsidR="003421C8">
        <w:rPr>
          <w:rFonts w:ascii="Times New Roman" w:hAnsi="Times New Roman" w:cs="Times New Roman"/>
          <w:bCs/>
          <w:sz w:val="28"/>
          <w:szCs w:val="28"/>
        </w:rPr>
        <w:t>18,2</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га в</w:t>
      </w:r>
      <w:r w:rsidR="00681E8B">
        <w:rPr>
          <w:rFonts w:ascii="Times New Roman" w:hAnsi="Times New Roman" w:cs="Times New Roman"/>
          <w:bCs/>
          <w:sz w:val="28"/>
          <w:szCs w:val="28"/>
        </w:rPr>
        <w:t xml:space="preserve"> юго-восточной части села, в с.</w:t>
      </w:r>
      <w:r w:rsidRPr="00153E07">
        <w:rPr>
          <w:rFonts w:ascii="Times New Roman" w:hAnsi="Times New Roman" w:cs="Times New Roman"/>
          <w:bCs/>
          <w:sz w:val="28"/>
          <w:szCs w:val="28"/>
        </w:rPr>
        <w:t>Уймуж – 20,66</w:t>
      </w:r>
      <w:r w:rsidR="00681E8B">
        <w:rPr>
          <w:rFonts w:ascii="Times New Roman" w:hAnsi="Times New Roman" w:cs="Times New Roman"/>
          <w:bCs/>
          <w:sz w:val="28"/>
          <w:szCs w:val="28"/>
        </w:rPr>
        <w:t xml:space="preserve"> </w:t>
      </w:r>
      <w:r w:rsidRPr="00153E07">
        <w:rPr>
          <w:rFonts w:ascii="Times New Roman" w:hAnsi="Times New Roman" w:cs="Times New Roman"/>
          <w:bCs/>
          <w:sz w:val="28"/>
          <w:szCs w:val="28"/>
        </w:rPr>
        <w:t xml:space="preserve">га в юго-восточной части села, </w:t>
      </w:r>
      <w:r w:rsidR="003421C8">
        <w:rPr>
          <w:rFonts w:ascii="Times New Roman" w:hAnsi="Times New Roman" w:cs="Times New Roman"/>
          <w:bCs/>
          <w:sz w:val="28"/>
          <w:szCs w:val="28"/>
        </w:rPr>
        <w:t>в с. Акбаш – 7,1 га.</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681E8B">
        <w:rPr>
          <w:rFonts w:ascii="Times New Roman" w:hAnsi="Times New Roman" w:cs="Times New Roman"/>
          <w:b/>
          <w:bCs/>
          <w:sz w:val="28"/>
          <w:szCs w:val="28"/>
        </w:rPr>
        <w:t>В Шермейском сельском поселении</w:t>
      </w:r>
      <w:r w:rsidRPr="00153E07">
        <w:rPr>
          <w:rFonts w:ascii="Times New Roman" w:hAnsi="Times New Roman" w:cs="Times New Roman"/>
          <w:bCs/>
          <w:sz w:val="28"/>
          <w:szCs w:val="28"/>
        </w:rPr>
        <w:t xml:space="preserve"> </w:t>
      </w:r>
      <w:r w:rsidR="003421C8">
        <w:rPr>
          <w:rFonts w:ascii="Times New Roman" w:hAnsi="Times New Roman" w:cs="Times New Roman"/>
          <w:bCs/>
          <w:sz w:val="28"/>
          <w:szCs w:val="28"/>
        </w:rPr>
        <w:t xml:space="preserve">предусмотрено </w:t>
      </w:r>
      <w:r w:rsidRPr="00153E07">
        <w:rPr>
          <w:rFonts w:ascii="Times New Roman" w:hAnsi="Times New Roman" w:cs="Times New Roman"/>
          <w:bCs/>
          <w:sz w:val="28"/>
          <w:szCs w:val="28"/>
        </w:rPr>
        <w:t>расширени</w:t>
      </w:r>
      <w:r w:rsidR="003421C8">
        <w:rPr>
          <w:rFonts w:ascii="Times New Roman" w:hAnsi="Times New Roman" w:cs="Times New Roman"/>
          <w:bCs/>
          <w:sz w:val="28"/>
          <w:szCs w:val="28"/>
        </w:rPr>
        <w:t>е</w:t>
      </w:r>
      <w:r w:rsidRPr="00153E07">
        <w:rPr>
          <w:rFonts w:ascii="Times New Roman" w:hAnsi="Times New Roman" w:cs="Times New Roman"/>
          <w:bCs/>
          <w:sz w:val="28"/>
          <w:szCs w:val="28"/>
        </w:rPr>
        <w:t xml:space="preserve"> под развитие </w:t>
      </w:r>
      <w:r w:rsidR="00681E8B">
        <w:rPr>
          <w:rFonts w:ascii="Times New Roman" w:hAnsi="Times New Roman" w:cs="Times New Roman"/>
          <w:bCs/>
          <w:sz w:val="28"/>
          <w:szCs w:val="28"/>
        </w:rPr>
        <w:t>в с.</w:t>
      </w:r>
      <w:r w:rsidR="003421C8">
        <w:rPr>
          <w:rFonts w:ascii="Times New Roman" w:hAnsi="Times New Roman" w:cs="Times New Roman"/>
          <w:bCs/>
          <w:sz w:val="28"/>
          <w:szCs w:val="28"/>
        </w:rPr>
        <w:t>Шермейка – 14,6 га</w:t>
      </w:r>
      <w:r w:rsidRPr="00153E07">
        <w:rPr>
          <w:rFonts w:ascii="Times New Roman" w:hAnsi="Times New Roman" w:cs="Times New Roman"/>
          <w:bCs/>
          <w:sz w:val="28"/>
          <w:szCs w:val="28"/>
        </w:rPr>
        <w:t>.</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153E07">
        <w:rPr>
          <w:rFonts w:ascii="Times New Roman" w:hAnsi="Times New Roman" w:cs="Times New Roman"/>
          <w:bCs/>
          <w:sz w:val="28"/>
          <w:szCs w:val="28"/>
        </w:rPr>
        <w:t xml:space="preserve">Общий объем земель к расширению в Бардымском муниципальном районе составляет порядка </w:t>
      </w:r>
      <w:r w:rsidR="00F72EA5">
        <w:rPr>
          <w:rFonts w:ascii="Times New Roman" w:hAnsi="Times New Roman" w:cs="Times New Roman"/>
          <w:bCs/>
          <w:sz w:val="28"/>
          <w:szCs w:val="28"/>
        </w:rPr>
        <w:t>2056,47</w:t>
      </w:r>
      <w:r w:rsidRPr="00153E07">
        <w:rPr>
          <w:rFonts w:ascii="Times New Roman" w:hAnsi="Times New Roman" w:cs="Times New Roman"/>
          <w:bCs/>
          <w:sz w:val="28"/>
          <w:szCs w:val="28"/>
        </w:rPr>
        <w:t xml:space="preserve"> га, затрагивающие все сельские поселения за исключением Шермейское сельское поселение.</w:t>
      </w:r>
    </w:p>
    <w:p w:rsidR="005E327B" w:rsidRPr="00153E07" w:rsidRDefault="005E327B" w:rsidP="006D2568">
      <w:pPr>
        <w:spacing w:after="0" w:line="240" w:lineRule="auto"/>
        <w:ind w:firstLine="709"/>
        <w:contextualSpacing/>
        <w:jc w:val="both"/>
        <w:rPr>
          <w:rFonts w:ascii="Times New Roman" w:hAnsi="Times New Roman" w:cs="Times New Roman"/>
          <w:bCs/>
          <w:sz w:val="28"/>
          <w:szCs w:val="28"/>
        </w:rPr>
      </w:pPr>
      <w:r w:rsidRPr="00153E07">
        <w:rPr>
          <w:rFonts w:ascii="Times New Roman" w:hAnsi="Times New Roman" w:cs="Times New Roman"/>
          <w:bCs/>
          <w:sz w:val="28"/>
          <w:szCs w:val="28"/>
        </w:rPr>
        <w:lastRenderedPageBreak/>
        <w:t>В рамках развития промышленного комплекса, согласно схеме территориального планирования Пермского края, планируется сформировать шесть региональных промышленных кластеров: топливно-энергетический, горно-химический, лесопромышленный, машиностроительно-металлургический, строительный, агропромышленный. Село Барда Бардымского муниципального района рекомендовано к созданию и размещению научных организаций с перспективой их дальнейшего преобразования в технико-внедренческие зоны и технопарки. Подробнее о кластерном развитии представлено в последующих разделах Стратегии.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Default="005E327B" w:rsidP="006D2568">
      <w:pPr>
        <w:pStyle w:val="1"/>
        <w:numPr>
          <w:ilvl w:val="2"/>
          <w:numId w:val="1"/>
        </w:numPr>
        <w:spacing w:line="240" w:lineRule="auto"/>
      </w:pPr>
      <w:bookmarkStart w:id="10" w:name="_Toc491943103"/>
      <w:r w:rsidRPr="00153E07">
        <w:t>Факторы экономического роста</w:t>
      </w:r>
      <w:bookmarkEnd w:id="10"/>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Факторы экономического роста определяют возможности увеличения реального объема производства муниципального образования, повышения эффективности и качества роста.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определения ключевых направлений и факторов роста проведен анализ на основе информационных данных предшествующих периодов с использованием коэффициента корреляции Пирсона, для определения тесноты взаимосвязи применена шкала показателей Чеддока (Приложения </w:t>
      </w:r>
      <w:r w:rsidR="00E97C6A">
        <w:rPr>
          <w:rFonts w:ascii="Times New Roman" w:eastAsia="Times New Roman" w:hAnsi="Times New Roman" w:cs="Times New Roman"/>
          <w:sz w:val="28"/>
          <w:szCs w:val="28"/>
        </w:rPr>
        <w:t>2</w:t>
      </w:r>
      <w:r w:rsidRPr="00153E07">
        <w:rPr>
          <w:rFonts w:ascii="Times New Roman" w:eastAsia="Times New Roman" w:hAnsi="Times New Roman" w:cs="Times New Roman"/>
          <w:sz w:val="28"/>
          <w:szCs w:val="28"/>
        </w:rPr>
        <w:t xml:space="preserve">, </w:t>
      </w:r>
      <w:r w:rsidR="00E97C6A">
        <w:rPr>
          <w:rFonts w:ascii="Times New Roman" w:eastAsia="Times New Roman" w:hAnsi="Times New Roman" w:cs="Times New Roman"/>
          <w:sz w:val="28"/>
          <w:szCs w:val="28"/>
        </w:rPr>
        <w:t>3</w:t>
      </w:r>
      <w:r w:rsidRPr="00153E07">
        <w:rPr>
          <w:rFonts w:ascii="Times New Roman" w:eastAsia="Times New Roman" w:hAnsi="Times New Roman" w:cs="Times New Roman"/>
          <w:sz w:val="28"/>
          <w:szCs w:val="28"/>
        </w:rPr>
        <w:t>).</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ходе исследования были проанализированы следующие факторы:</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E327B" w:rsidRPr="00153E07">
        <w:rPr>
          <w:rFonts w:ascii="Times New Roman" w:eastAsia="Times New Roman" w:hAnsi="Times New Roman" w:cs="Times New Roman"/>
          <w:sz w:val="28"/>
          <w:szCs w:val="28"/>
        </w:rPr>
        <w:t>оличество зарегистрированных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5E327B" w:rsidRPr="00153E07">
        <w:rPr>
          <w:rFonts w:ascii="Times New Roman" w:eastAsia="Times New Roman" w:hAnsi="Times New Roman" w:cs="Times New Roman"/>
          <w:sz w:val="28"/>
          <w:szCs w:val="28"/>
        </w:rPr>
        <w:t>оличество ИП и КФХ</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работников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постоянного и трудоспособного населения;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E327B" w:rsidRPr="00153E07">
        <w:rPr>
          <w:rFonts w:ascii="Times New Roman" w:eastAsia="Times New Roman" w:hAnsi="Times New Roman" w:cs="Times New Roman"/>
          <w:sz w:val="28"/>
          <w:szCs w:val="28"/>
        </w:rPr>
        <w:t>роизводительность труда работников организаций;</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E327B" w:rsidRPr="00153E07">
        <w:rPr>
          <w:rFonts w:ascii="Times New Roman" w:eastAsia="Times New Roman" w:hAnsi="Times New Roman" w:cs="Times New Roman"/>
          <w:sz w:val="28"/>
          <w:szCs w:val="28"/>
        </w:rPr>
        <w:t>оходы бюджета Бардымского муниципального района;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5E327B" w:rsidRPr="00153E07">
        <w:rPr>
          <w:rFonts w:ascii="Times New Roman" w:eastAsia="Times New Roman" w:hAnsi="Times New Roman" w:cs="Times New Roman"/>
          <w:sz w:val="28"/>
          <w:szCs w:val="28"/>
        </w:rPr>
        <w:t>стественный прирост населения;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w:t>
      </w:r>
      <w:r w:rsidR="005E327B" w:rsidRPr="00153E07">
        <w:rPr>
          <w:rFonts w:ascii="Times New Roman" w:eastAsia="Times New Roman" w:hAnsi="Times New Roman" w:cs="Times New Roman"/>
          <w:sz w:val="28"/>
          <w:szCs w:val="28"/>
        </w:rPr>
        <w:t>исленность безработных.</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Факторами спроса, которые позволяют реализовать растущий объем производства, являются следующие:</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E327B" w:rsidRPr="00153E07">
        <w:rPr>
          <w:rFonts w:ascii="Times New Roman" w:eastAsia="Times New Roman" w:hAnsi="Times New Roman" w:cs="Times New Roman"/>
          <w:sz w:val="28"/>
          <w:szCs w:val="28"/>
        </w:rPr>
        <w:t>бъем отгруженных товаров собственного производства, работ, услуг.</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5E327B" w:rsidRPr="00153E07">
        <w:rPr>
          <w:rFonts w:ascii="Times New Roman" w:eastAsia="Times New Roman" w:hAnsi="Times New Roman" w:cs="Times New Roman"/>
          <w:sz w:val="28"/>
          <w:szCs w:val="28"/>
        </w:rPr>
        <w:t>тношения курса рубля к курсу доллара;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5E327B" w:rsidRPr="00153E07">
        <w:rPr>
          <w:rFonts w:ascii="Times New Roman" w:eastAsia="Times New Roman" w:hAnsi="Times New Roman" w:cs="Times New Roman"/>
          <w:sz w:val="28"/>
          <w:szCs w:val="28"/>
        </w:rPr>
        <w:t>асходы бюджета Бардымского муниципального района;</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5E327B" w:rsidRPr="00153E07">
        <w:rPr>
          <w:rFonts w:ascii="Times New Roman" w:eastAsia="Times New Roman" w:hAnsi="Times New Roman" w:cs="Times New Roman"/>
          <w:sz w:val="28"/>
          <w:szCs w:val="28"/>
        </w:rPr>
        <w:t>окупательная способность заработной платы по отношению к прожиточному минимуму;</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5E327B" w:rsidRPr="00153E07">
        <w:rPr>
          <w:rFonts w:ascii="Times New Roman" w:eastAsia="Times New Roman" w:hAnsi="Times New Roman" w:cs="Times New Roman"/>
          <w:sz w:val="28"/>
          <w:szCs w:val="28"/>
        </w:rPr>
        <w:t>нвестиции в основной капитал;</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E327B" w:rsidRPr="00153E07">
        <w:rPr>
          <w:rFonts w:ascii="Times New Roman" w:eastAsia="Times New Roman" w:hAnsi="Times New Roman" w:cs="Times New Roman"/>
          <w:sz w:val="28"/>
          <w:szCs w:val="28"/>
        </w:rPr>
        <w:t>ыбросы в атмосферу загрязняющих веществ от стационарных источников в расчете на 1 жителя;</w:t>
      </w:r>
    </w:p>
    <w:p w:rsidR="005E327B" w:rsidRPr="00153E07" w:rsidRDefault="00681E8B" w:rsidP="006D2568">
      <w:pPr>
        <w:pStyle w:val="af1"/>
        <w:numPr>
          <w:ilvl w:val="0"/>
          <w:numId w:val="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5E327B" w:rsidRPr="00153E07">
        <w:rPr>
          <w:rFonts w:ascii="Times New Roman" w:eastAsia="Times New Roman" w:hAnsi="Times New Roman" w:cs="Times New Roman"/>
          <w:sz w:val="28"/>
          <w:szCs w:val="28"/>
        </w:rPr>
        <w:t>аявленная предприятиями и организациями потребность в работниках.</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факторами, оказывающими прямое влияние на объем отгруженных товаров, являются увеличение производительности труда, рост курса доллара, увеличение числа индивидуальных предпринимателей и крестьянских фермерских хозяйств. Выбросы в атмосферу загрязняющих веществ имеют слабую взаимосвязь с объемом отгруженных товаров по причине сельскохозяйственной направленности Бардымского муниципального района, в </w:t>
      </w:r>
      <w:r w:rsidRPr="00153E07">
        <w:rPr>
          <w:rFonts w:ascii="Times New Roman" w:eastAsia="Times New Roman" w:hAnsi="Times New Roman" w:cs="Times New Roman"/>
          <w:sz w:val="28"/>
          <w:szCs w:val="28"/>
        </w:rPr>
        <w:lastRenderedPageBreak/>
        <w:t>объеме отгруженных товаров преобладает продукция сельскохозяйственного производства, где выбросы в атмосферу незначительны.</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Основными показателями, имеющими обратную взаимосвзяь с объемом отгруженных товаров собственного производства, являются доходы и расходы бюджета муниципального района. При сокращении объемов отгрузки продукции недобор налоговых платежей увеличивает доходы бюджета в части дотаций. Аналогично обстоит ситуация с расходами бюджета района: при сокращении объема отгруженной продукции собственного производства, которой преимущественно является сельскохозяйственная продукция, увеличиваются расходы бюджета на поддержание фермерских хозяйств.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курса доллара способствует росту числа крестьянских фермерских хозяйств (умеренная связь, r=0,405) и производительности труда (высокая связь, r=0,849), которая зависит от объема отгруженной продукции.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Негативное влияние роста курса доллара на экономику района выражается в сокращении числа предприятий и организаций (r=-0,811), что влечет за собой сокращение численности работников организаций (r=-0,746) и, соответственно, потребности организаций в работниках (r=-0,579). Численность зарегистрированных безработных граждан при этом имеет умеренную обратную зависимость (r=-0,472) от курса доллара, что позволяет предположить наличие желания граждан заниматься собственным бизнесом, данный факт подтверждается ростом числа КФХ. Высокая обратная взаимосвязь наблюдается относительно расходов бюджета района (r=-0,837)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рост курса доллара оказывает значительное негативное влияние и на демографическую ситуацию в районе. Это выражается в сокращении естественного прироста населения (r=-0,645) и, как следствие, численности постоянного населения (r=-0,577).</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количества зарегистрированных организаций имеет прямое высокое влияние на естественный прирост населения, что говорит об отсутствии уверенности граждан в будущем, о нестабильности социально-экономической ситуации в районе. Также значительное влияние данный показатель оказывает на сокращение инвестиций в основной капитал, учитывая, что преобладающую долю инвестиционного потока представляют собственные и привлеченные средства.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существует взаимосвязь численности трудоспособного населения с доходами и расходами бюджета. Так сокращение численности трудоспособного населения приводит к сокращению налоговых доходов от физических лиц (r=0,385) и сокращению расходов бюджета на социальную сферу (r=0,765).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численности трудоспособного населения оказывает значительное влияние на рост числа ИП и КФХ (r=-0,610), т.е. приводит к увеличению числа предпринимателей, и, как следствие, увеличивает производительность труда.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производительность труда в расчете на одного работника увеличивается не за счет прироста объема выпуска и отгрузки продукции, а за счет сокращения численности трудоспособного населения, и, как следствие, численности работников организаций.</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Такие показатели как число ИП и КФХ, выбросы в атмосферу загрязняющих веществ, естественный прирост населения, потребность предприятий в работниках, инвестиции в основной капитал оказывают прямое, но незначительное влияние на доходы бюджета района.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Расходы бюджета напрямую зависят от объема поступающих денежных средств (r=0,867). Также расходы бюджета района имеют высокую прямую взаимосвязь с естественным приростом населения (r=0,614), что говорит о значительной доле социальной составляющей в общем объеме расходов бюджета, в частности это расходы в сфере образования.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Рост покупательной способности заработной платы имеет прямую значительную связь с ростом числа ИП и КФХ (r=0,557). Высокое обратное влияние на рост покупательной способности заработной платы оказывает сокращение численности безработных (r=-0,890).</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Выбросы в атмосферу загрязняющих веществ от стационарных источников имеют прямую высокую связь с численностью постоянного населения (r=0,862).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можно сделать вывод, что на экономический рост в Бардымском муниципальном районе основное влияние оказывают демографические факторы, на которые в свою очередь оказывают влияние два фактора -  ситуация на рынке труда, и экологическая обстановка в районе.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Положительное влияние в Бардымском муниципальном районе на экономическое развитие оказывает развитие агропромышленного комплекса, благодаря которому создаются крестьянские фермерские хозяйства, новые рабочие места, что в свою очередь увеличивает производительность труда и объем отгруженных товаров собственного производства, который на уровне муниципального района приравнивается в валовому продукту. Все эти факторы в совокупности увеличивают налоговые и неналоговые доходы бюджета района, благодаря чему существует возможность сокращать межбюджетные трансферты в адрес района.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то же время в структуре доходов бюджета Бардымского муниципального района объем дотаций очень велик, что говорит о необходимости дальнейшего развития сельского хозяйства, а также диверсификации экономики муниципального района. </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таблице представлена информация о наличии производств и сырьевых месторождений на территории Бардымского муниципального района.</w:t>
      </w:r>
    </w:p>
    <w:p w:rsidR="005E327B" w:rsidRPr="00153E07" w:rsidRDefault="005E327B" w:rsidP="006D2568">
      <w:pPr>
        <w:spacing w:after="160" w:line="240" w:lineRule="auto"/>
        <w:jc w:val="right"/>
        <w:rPr>
          <w:rFonts w:ascii="Times New Roman" w:hAnsi="Times New Roman" w:cs="Times New Roman"/>
          <w:sz w:val="28"/>
          <w:szCs w:val="28"/>
        </w:rPr>
      </w:pPr>
      <w:r w:rsidRPr="00153E07">
        <w:rPr>
          <w:rFonts w:ascii="Times New Roman" w:hAnsi="Times New Roman" w:cs="Times New Roman"/>
          <w:sz w:val="28"/>
          <w:szCs w:val="28"/>
        </w:rPr>
        <w:t>Таблица</w:t>
      </w:r>
      <w:r w:rsidR="00DE2D0E">
        <w:rPr>
          <w:rFonts w:ascii="Times New Roman" w:hAnsi="Times New Roman" w:cs="Times New Roman"/>
          <w:sz w:val="28"/>
          <w:szCs w:val="28"/>
        </w:rPr>
        <w:t xml:space="preserve"> 2.2</w:t>
      </w:r>
    </w:p>
    <w:p w:rsidR="005E327B" w:rsidRPr="00681E8B" w:rsidRDefault="005E327B" w:rsidP="006D2568">
      <w:pPr>
        <w:spacing w:after="160" w:line="240" w:lineRule="auto"/>
        <w:jc w:val="center"/>
        <w:rPr>
          <w:rFonts w:ascii="Times New Roman" w:hAnsi="Times New Roman" w:cs="Times New Roman"/>
          <w:b/>
          <w:sz w:val="28"/>
          <w:szCs w:val="28"/>
        </w:rPr>
      </w:pPr>
      <w:r w:rsidRPr="00681E8B">
        <w:rPr>
          <w:rFonts w:ascii="Times New Roman" w:hAnsi="Times New Roman" w:cs="Times New Roman"/>
          <w:b/>
          <w:sz w:val="28"/>
          <w:szCs w:val="28"/>
        </w:rPr>
        <w:t>Наличие производств и сырьевых месторождений в Бардымском муниципальном районе</w:t>
      </w:r>
    </w:p>
    <w:tbl>
      <w:tblPr>
        <w:tblW w:w="4878" w:type="pct"/>
        <w:tblLayout w:type="fixed"/>
        <w:tblLook w:val="04A0"/>
      </w:tblPr>
      <w:tblGrid>
        <w:gridCol w:w="4079"/>
        <w:gridCol w:w="1984"/>
        <w:gridCol w:w="1984"/>
        <w:gridCol w:w="1843"/>
      </w:tblGrid>
      <w:tr w:rsidR="00E21B77" w:rsidRPr="00153E07" w:rsidTr="00E21B77">
        <w:trPr>
          <w:trHeight w:val="300"/>
        </w:trPr>
        <w:tc>
          <w:tcPr>
            <w:tcW w:w="2062" w:type="pct"/>
            <w:tcBorders>
              <w:top w:val="single" w:sz="4" w:space="0" w:color="auto"/>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p>
        </w:tc>
        <w:tc>
          <w:tcPr>
            <w:tcW w:w="1003" w:type="pct"/>
            <w:tcBorders>
              <w:top w:val="single" w:sz="4" w:space="0" w:color="auto"/>
              <w:left w:val="nil"/>
              <w:bottom w:val="single" w:sz="4" w:space="0" w:color="auto"/>
              <w:right w:val="single" w:sz="4" w:space="0" w:color="auto"/>
            </w:tcBorders>
            <w:noWrap/>
            <w:vAlign w:val="bottom"/>
            <w:hideMark/>
          </w:tcPr>
          <w:p w:rsidR="005E327B" w:rsidRPr="002F6162" w:rsidRDefault="005E327B" w:rsidP="006D2568">
            <w:pPr>
              <w:spacing w:after="160" w:line="240" w:lineRule="auto"/>
              <w:rPr>
                <w:rFonts w:ascii="Times New Roman" w:hAnsi="Times New Roman" w:cs="Times New Roman"/>
                <w:sz w:val="24"/>
                <w:szCs w:val="28"/>
              </w:rPr>
            </w:pPr>
            <w:r w:rsidRPr="002F6162">
              <w:rPr>
                <w:rFonts w:ascii="Times New Roman" w:hAnsi="Times New Roman" w:cs="Times New Roman"/>
                <w:sz w:val="24"/>
                <w:szCs w:val="28"/>
              </w:rPr>
              <w:t>Действует / Разрабатывается</w:t>
            </w:r>
          </w:p>
        </w:tc>
        <w:tc>
          <w:tcPr>
            <w:tcW w:w="1003" w:type="pct"/>
            <w:tcBorders>
              <w:top w:val="single" w:sz="4" w:space="0" w:color="auto"/>
              <w:left w:val="nil"/>
              <w:bottom w:val="single" w:sz="4" w:space="0" w:color="auto"/>
              <w:right w:val="single" w:sz="4" w:space="0" w:color="auto"/>
            </w:tcBorders>
            <w:noWrap/>
            <w:vAlign w:val="bottom"/>
            <w:hideMark/>
          </w:tcPr>
          <w:p w:rsidR="005E327B" w:rsidRPr="002F6162" w:rsidRDefault="005E327B" w:rsidP="00E21B77">
            <w:pPr>
              <w:spacing w:after="0" w:line="240" w:lineRule="auto"/>
              <w:rPr>
                <w:rFonts w:ascii="Times New Roman" w:hAnsi="Times New Roman" w:cs="Times New Roman"/>
                <w:sz w:val="24"/>
                <w:szCs w:val="28"/>
              </w:rPr>
            </w:pPr>
            <w:r w:rsidRPr="002F6162">
              <w:rPr>
                <w:rFonts w:ascii="Times New Roman" w:hAnsi="Times New Roman" w:cs="Times New Roman"/>
                <w:sz w:val="24"/>
                <w:szCs w:val="28"/>
              </w:rPr>
              <w:t xml:space="preserve">Не действует / </w:t>
            </w:r>
          </w:p>
          <w:p w:rsidR="005E327B" w:rsidRPr="002F6162" w:rsidRDefault="005E327B" w:rsidP="00E21B77">
            <w:pPr>
              <w:spacing w:after="0" w:line="240" w:lineRule="auto"/>
              <w:jc w:val="both"/>
              <w:rPr>
                <w:rFonts w:ascii="Times New Roman" w:hAnsi="Times New Roman" w:cs="Times New Roman"/>
                <w:sz w:val="24"/>
                <w:szCs w:val="28"/>
              </w:rPr>
            </w:pPr>
            <w:r w:rsidRPr="002F6162">
              <w:rPr>
                <w:rFonts w:ascii="Times New Roman" w:hAnsi="Times New Roman" w:cs="Times New Roman"/>
                <w:sz w:val="24"/>
                <w:szCs w:val="28"/>
              </w:rPr>
              <w:t>Не разрабатывается</w:t>
            </w:r>
          </w:p>
        </w:tc>
        <w:tc>
          <w:tcPr>
            <w:tcW w:w="932" w:type="pct"/>
            <w:tcBorders>
              <w:top w:val="single" w:sz="4" w:space="0" w:color="auto"/>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Ликвидирован</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добычи нефти и газа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красной глины</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ПГС</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5</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lastRenderedPageBreak/>
              <w:t>Месторождение строительного песка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Месторождение торфа</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Пищевое производство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Сельское хозяйство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Торговля</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12</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Производство строительных материалов</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r>
      <w:tr w:rsidR="00E21B77" w:rsidRPr="00153E07" w:rsidTr="00E21B77">
        <w:trPr>
          <w:trHeight w:val="300"/>
        </w:trPr>
        <w:tc>
          <w:tcPr>
            <w:tcW w:w="2062" w:type="pct"/>
            <w:tcBorders>
              <w:top w:val="nil"/>
              <w:left w:val="single" w:sz="4" w:space="0" w:color="auto"/>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Итого</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37</w:t>
            </w:r>
          </w:p>
        </w:tc>
        <w:tc>
          <w:tcPr>
            <w:tcW w:w="1003"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11</w:t>
            </w:r>
          </w:p>
        </w:tc>
        <w:tc>
          <w:tcPr>
            <w:tcW w:w="932" w:type="pct"/>
            <w:tcBorders>
              <w:top w:val="nil"/>
              <w:left w:val="nil"/>
              <w:bottom w:val="single" w:sz="4" w:space="0" w:color="auto"/>
              <w:right w:val="single" w:sz="4" w:space="0" w:color="auto"/>
            </w:tcBorders>
            <w:noWrap/>
            <w:vAlign w:val="bottom"/>
            <w:hideMark/>
          </w:tcPr>
          <w:p w:rsidR="005E327B" w:rsidRPr="002F6162" w:rsidRDefault="005E327B" w:rsidP="006D2568">
            <w:pPr>
              <w:spacing w:after="160" w:line="240" w:lineRule="auto"/>
              <w:jc w:val="both"/>
              <w:rPr>
                <w:rFonts w:ascii="Times New Roman" w:hAnsi="Times New Roman" w:cs="Times New Roman"/>
                <w:sz w:val="24"/>
                <w:szCs w:val="28"/>
              </w:rPr>
            </w:pPr>
            <w:r w:rsidRPr="002F6162">
              <w:rPr>
                <w:rFonts w:ascii="Times New Roman" w:hAnsi="Times New Roman" w:cs="Times New Roman"/>
                <w:sz w:val="24"/>
                <w:szCs w:val="28"/>
              </w:rPr>
              <w:t>1</w:t>
            </w:r>
          </w:p>
        </w:tc>
      </w:tr>
    </w:tbl>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 всех сельских поселениях активно представлено только сельское хозяйство и торговля. На территории Бардымского муниципального района действует 2 пищевых производства: хлебобулочное и кондитерское и 3 производства строительных материалов, в том числе деревообработка и лесозаготовка.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то же время на территории района существуют месторождения таких полезных ископаемых, песчано-гравийные смеси (ПГС), красная глина, известковый туф, строительный песок, торф и далеко не все из них разрабатываются. В настоящее время разрабатываемыми являются 5 месторождений ПГС, 2 месторождения нефти и 1 месторождение торфа.</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Месторождения красной глины не разрабатываются по причине отсутствия перерабатывающего производства (кирпичного завода). Месторождения строительного песка также не разрабатываются, используются, как правило, наносные ПГС в руслах рек.</w:t>
      </w:r>
    </w:p>
    <w:p w:rsidR="005E327B" w:rsidRPr="00153E07" w:rsidRDefault="005E327B" w:rsidP="002F6162">
      <w:pPr>
        <w:spacing w:after="160" w:line="240" w:lineRule="auto"/>
        <w:jc w:val="both"/>
        <w:rPr>
          <w:rFonts w:ascii="Times New Roman" w:hAnsi="Times New Roman" w:cs="Times New Roman"/>
          <w:sz w:val="28"/>
          <w:szCs w:val="28"/>
        </w:rPr>
      </w:pPr>
      <w:r w:rsidRPr="00153E07">
        <w:rPr>
          <w:rFonts w:ascii="Times New Roman" w:hAnsi="Times New Roman" w:cs="Times New Roman"/>
          <w:noProof/>
          <w:sz w:val="28"/>
          <w:szCs w:val="28"/>
        </w:rPr>
        <w:drawing>
          <wp:inline distT="0" distB="0" distL="0" distR="0">
            <wp:extent cx="6267450" cy="3152775"/>
            <wp:effectExtent l="19050" t="0" r="0" b="0"/>
            <wp:docPr id="9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 xml:space="preserve">Рисунок </w:t>
      </w:r>
      <w:r w:rsidR="00DE2D0E" w:rsidRPr="00681E8B">
        <w:rPr>
          <w:rFonts w:ascii="Times New Roman" w:eastAsia="Times New Roman" w:hAnsi="Times New Roman" w:cs="Times New Roman"/>
          <w:b/>
          <w:sz w:val="28"/>
          <w:szCs w:val="28"/>
        </w:rPr>
        <w:t>2.1</w:t>
      </w:r>
      <w:r w:rsidRPr="00681E8B">
        <w:rPr>
          <w:rFonts w:ascii="Times New Roman" w:eastAsia="Times New Roman" w:hAnsi="Times New Roman" w:cs="Times New Roman"/>
          <w:b/>
          <w:sz w:val="28"/>
          <w:szCs w:val="28"/>
        </w:rPr>
        <w:t>. Структура производств и сырьевых месторождений в Бардымском муниципальном районе</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Получение доходов бюджетом муниципального района от нефтяной и лесной отрасли ограничено по причине принадлежности данных сырьевых </w:t>
      </w:r>
      <w:r w:rsidRPr="00153E07">
        <w:rPr>
          <w:rFonts w:ascii="Times New Roman" w:eastAsia="Times New Roman" w:hAnsi="Times New Roman" w:cs="Times New Roman"/>
          <w:sz w:val="28"/>
          <w:szCs w:val="28"/>
        </w:rPr>
        <w:lastRenderedPageBreak/>
        <w:t>ресурсов, расположенных на территории района, к соседним районам: Куединскому, Осинскому, Чернушинскому.</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Однако, благодаря наличию на территории Бардымского муниципального района других минерально-сырьевых ресурсов возможно производство огнеупорной продукции, дорожно-строительных материалов, цемента, удобрений, облицовочного камня, гончарной продукции.</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Благодаря диверсификации экономических видов деятельности на территории Бардымского муниципального района, организации обрабатывающих и перерабатывающих производств увеличится количество предприятий, возрастет инвестиционная привлекательность района, что положительным образом отразится на доходах бюджета, и позволит обеспечить развитие социальной сферы и стабилизацию демографической ситуации в муниципальном районе. </w:t>
      </w:r>
    </w:p>
    <w:p w:rsidR="005E327B" w:rsidRPr="00153E07" w:rsidRDefault="005E327B" w:rsidP="006D2568">
      <w:pPr>
        <w:spacing w:after="0" w:line="240" w:lineRule="auto"/>
        <w:ind w:firstLine="709"/>
        <w:jc w:val="both"/>
        <w:rPr>
          <w:rFonts w:ascii="Times New Roman" w:eastAsiaTheme="majorEastAsia" w:hAnsi="Times New Roman" w:cs="Times New Roman"/>
          <w:b/>
          <w:bCs/>
          <w:sz w:val="28"/>
          <w:szCs w:val="28"/>
        </w:rPr>
      </w:pPr>
    </w:p>
    <w:p w:rsidR="005E327B" w:rsidRDefault="005E327B" w:rsidP="006D2568">
      <w:pPr>
        <w:pStyle w:val="1"/>
        <w:numPr>
          <w:ilvl w:val="2"/>
          <w:numId w:val="1"/>
        </w:numPr>
        <w:spacing w:line="240" w:lineRule="auto"/>
      </w:pPr>
      <w:bookmarkStart w:id="11" w:name="_Toc491943104"/>
      <w:r w:rsidRPr="00153E07">
        <w:t>Принципы формирования Стратегии социально-экономического развития Бардымского муниципального района на 2018-2030 годы</w:t>
      </w:r>
      <w:bookmarkEnd w:id="11"/>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Стратегия социально-экономического развития Бардымского муниципального района Пермского края на 2018-2030 годы носит характер публичных обязательств органов муниципальной власти, которые стремятся соответствовать принципам прозрачности и предсказуемости, установленным Правительством Пермского края и Правительством Российской Федерации.</w:t>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Основные задачи Стратегии:</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анализ существующего социально-экономического положения экономики и социальной сферы;</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целей, задач и миссии Бардымского муниципального района на период до 20</w:t>
      </w:r>
      <w:r w:rsidR="00055C85">
        <w:rPr>
          <w:rFonts w:ascii="Times New Roman" w:eastAsia="Times New Roman" w:hAnsi="Times New Roman" w:cs="Times New Roman"/>
          <w:sz w:val="28"/>
          <w:szCs w:val="28"/>
        </w:rPr>
        <w:t>30</w:t>
      </w:r>
      <w:r w:rsidRPr="00153E07">
        <w:rPr>
          <w:rFonts w:ascii="Times New Roman" w:eastAsia="Times New Roman" w:hAnsi="Times New Roman" w:cs="Times New Roman"/>
          <w:sz w:val="28"/>
          <w:szCs w:val="28"/>
        </w:rPr>
        <w:t xml:space="preserve"> года;</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оценка возможных направлений развития экономики в увязке со стратегией развития Пермского края;</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комплекса программных мероприятий по достижению поставленных целей;</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этапы реализации выбранной стратегии;</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механизмов реализации программы и решение задач ее ресурсного обеспечения;</w:t>
      </w:r>
    </w:p>
    <w:p w:rsidR="005E327B" w:rsidRPr="00153E07" w:rsidRDefault="005E327B" w:rsidP="006D2568">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определение механизмов мониторинга и контроля за выполнением программы;</w:t>
      </w:r>
    </w:p>
    <w:p w:rsidR="00055C85" w:rsidRDefault="005E327B" w:rsidP="00055C85">
      <w:pPr>
        <w:pStyle w:val="af1"/>
        <w:numPr>
          <w:ilvl w:val="0"/>
          <w:numId w:val="2"/>
        </w:numPr>
        <w:spacing w:after="0" w:line="240" w:lineRule="auto"/>
        <w:ind w:left="709" w:hanging="283"/>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оценка социально-экономических последствий реализации стратегии</w:t>
      </w:r>
      <w:r w:rsidR="00055C85">
        <w:rPr>
          <w:rFonts w:ascii="Times New Roman" w:eastAsia="Times New Roman" w:hAnsi="Times New Roman" w:cs="Times New Roman"/>
          <w:sz w:val="28"/>
          <w:szCs w:val="28"/>
        </w:rPr>
        <w:t>.</w:t>
      </w:r>
    </w:p>
    <w:p w:rsidR="005E327B" w:rsidRPr="00055C85" w:rsidRDefault="00055C85" w:rsidP="00055C85">
      <w:pPr>
        <w:pStyle w:val="af1"/>
        <w:spacing w:after="0" w:line="240" w:lineRule="auto"/>
        <w:ind w:left="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5E327B" w:rsidRPr="00055C85">
        <w:rPr>
          <w:rFonts w:ascii="Times New Roman" w:eastAsia="Times New Roman" w:hAnsi="Times New Roman" w:cs="Times New Roman"/>
          <w:sz w:val="28"/>
          <w:szCs w:val="28"/>
        </w:rPr>
        <w:t>ействия по реализации Стратегии должны соответствовать принципам, ценностям и приоритетам заложенным в Стратегии.</w:t>
      </w:r>
    </w:p>
    <w:p w:rsidR="002F6162" w:rsidRDefault="002F6162" w:rsidP="006D2568">
      <w:pPr>
        <w:spacing w:after="0" w:line="240" w:lineRule="auto"/>
        <w:ind w:firstLine="709"/>
        <w:jc w:val="both"/>
        <w:rPr>
          <w:rFonts w:ascii="Times New Roman" w:eastAsia="Times New Roman" w:hAnsi="Times New Roman" w:cs="Times New Roman"/>
          <w:sz w:val="28"/>
          <w:szCs w:val="28"/>
        </w:rPr>
      </w:pP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Основные принципы Стратегии:</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программно-целевого планирования и управления, означающий, что планирование и управление должно осуществляться на основе и в соответствии со стратегическими целями, установленными в Стратегии;</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системности, означающий, что все элементы Стратегии должны представлять целостную систему взаимоувязанных и сбалансированных задач и целей;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lastRenderedPageBreak/>
        <w:t>принцип приоритетности, означающий, что время и объем реализации целей и задач, представленных в Стратегии определены приоритетностью развития направлений и их вкладом в достижение стратегических целей;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единства целей и средств их достижения, означающий, что для каждой цели должны существовать и быть приведены и описаны средства ее достижения;</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равноправия и баланса интересов, означающий, что реализация Стратегии в максимальной степени учитывает интересы всех хозяйствующих субъектов муниципального района;</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открытости планирования Стратегии, означающий, что весь процесс планирования является открытой процедурой;</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адресности, означающий, что реализация Стратегии нацелена на конкретизацию действий и объекта, на который данные действия направлены;</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единства реализации Стратегии, означающий, что реализация Стратегии осуществляется с участием всего населения муниципального района;</w:t>
      </w:r>
    </w:p>
    <w:p w:rsidR="005E327B" w:rsidRPr="00DE2D0E" w:rsidRDefault="005E327B" w:rsidP="006D2568">
      <w:pPr>
        <w:pStyle w:val="af1"/>
        <w:numPr>
          <w:ilvl w:val="0"/>
          <w:numId w:val="18"/>
        </w:numPr>
        <w:spacing w:after="0" w:line="240" w:lineRule="auto"/>
        <w:ind w:left="0" w:firstLine="0"/>
        <w:jc w:val="both"/>
        <w:rPr>
          <w:rFonts w:ascii="Times New Roman" w:eastAsia="Times New Roman" w:hAnsi="Times New Roman" w:cs="Times New Roman"/>
          <w:sz w:val="28"/>
          <w:szCs w:val="28"/>
        </w:rPr>
      </w:pPr>
      <w:r w:rsidRPr="00DE2D0E">
        <w:rPr>
          <w:rFonts w:ascii="Times New Roman" w:eastAsia="Times New Roman" w:hAnsi="Times New Roman" w:cs="Times New Roman"/>
          <w:sz w:val="28"/>
          <w:szCs w:val="28"/>
        </w:rPr>
        <w:t>принцип подотчетности, означающий, что реализация Стратегии должна контролироваться и осуществляться согласно механизмам реализации и контроля.</w:t>
      </w:r>
    </w:p>
    <w:p w:rsidR="005E327B" w:rsidRPr="00153E07" w:rsidRDefault="005E327B"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Основная ценность Стратегии заключается в том, что планомерная и четкая реализация стратегии позволяет ежедневно приближать муниципальный район к поставленным целям.</w:t>
      </w:r>
    </w:p>
    <w:p w:rsidR="005E327B" w:rsidRPr="00681E8B" w:rsidRDefault="005E327B" w:rsidP="006D2568">
      <w:pPr>
        <w:spacing w:after="0" w:line="240" w:lineRule="auto"/>
        <w:ind w:firstLine="709"/>
        <w:jc w:val="both"/>
        <w:rPr>
          <w:rFonts w:ascii="Times New Roman" w:eastAsia="Times New Roman" w:hAnsi="Times New Roman" w:cs="Times New Roman"/>
          <w:b/>
          <w:sz w:val="28"/>
          <w:szCs w:val="28"/>
        </w:rPr>
      </w:pPr>
      <w:r w:rsidRPr="00681E8B">
        <w:rPr>
          <w:rFonts w:ascii="Times New Roman" w:eastAsia="Times New Roman" w:hAnsi="Times New Roman" w:cs="Times New Roman"/>
          <w:b/>
          <w:sz w:val="28"/>
          <w:szCs w:val="28"/>
        </w:rPr>
        <w:t xml:space="preserve">Стратегия социально-экономического развития Бардымского муниципального района определяет основные направления развития района на долгосрочный период, является стратегическим документом района, определяющим основные ценности и приоритеты развития, цели и задачи развития, план действий по реализации поставленных целей, контроль по выполнению поставленных целей, оцифровку полученных результатов.   </w:t>
      </w:r>
    </w:p>
    <w:p w:rsidR="005E327B" w:rsidRPr="00153E07" w:rsidRDefault="005E327B" w:rsidP="00153E07">
      <w:pPr>
        <w:spacing w:after="0"/>
        <w:ind w:firstLine="709"/>
        <w:jc w:val="both"/>
        <w:rPr>
          <w:rFonts w:ascii="Times New Roman" w:eastAsia="Times New Roman" w:hAnsi="Times New Roman" w:cs="Times New Roman"/>
          <w:sz w:val="28"/>
          <w:szCs w:val="28"/>
        </w:rPr>
      </w:pPr>
    </w:p>
    <w:p w:rsidR="005E327B" w:rsidRPr="00153E07" w:rsidRDefault="005E327B" w:rsidP="00153E07">
      <w:pPr>
        <w:spacing w:after="0"/>
        <w:ind w:firstLine="709"/>
        <w:jc w:val="both"/>
        <w:rPr>
          <w:rFonts w:ascii="Times New Roman" w:eastAsia="Times New Roman" w:hAnsi="Times New Roman" w:cs="Times New Roman"/>
          <w:sz w:val="28"/>
          <w:szCs w:val="28"/>
        </w:rPr>
      </w:pPr>
    </w:p>
    <w:p w:rsidR="00DE2D0E" w:rsidRDefault="00DE2D0E">
      <w:pPr>
        <w:rPr>
          <w:rFonts w:ascii="Times New Roman" w:eastAsiaTheme="majorEastAsia" w:hAnsi="Times New Roman" w:cs="Times New Roman"/>
          <w:b/>
          <w:bCs/>
          <w:sz w:val="28"/>
          <w:szCs w:val="28"/>
        </w:rPr>
      </w:pPr>
      <w:bookmarkStart w:id="12" w:name="_Toc494124311"/>
      <w:r>
        <w:br w:type="page"/>
      </w:r>
    </w:p>
    <w:p w:rsidR="00153E07" w:rsidRDefault="00153E07" w:rsidP="006D2568">
      <w:pPr>
        <w:pStyle w:val="1"/>
        <w:spacing w:line="240" w:lineRule="auto"/>
      </w:pPr>
      <w:r w:rsidRPr="00153E07">
        <w:lastRenderedPageBreak/>
        <w:t>3 С</w:t>
      </w:r>
      <w:r w:rsidR="002F6162">
        <w:t xml:space="preserve">тратегия социально-экономического развития Бардымского муниципального района </w:t>
      </w:r>
    </w:p>
    <w:p w:rsidR="002F6162" w:rsidRPr="002F6162" w:rsidRDefault="002F6162" w:rsidP="006D2568">
      <w:pPr>
        <w:spacing w:line="240" w:lineRule="auto"/>
      </w:pPr>
    </w:p>
    <w:p w:rsidR="00153E07" w:rsidRDefault="00153E07" w:rsidP="006D2568">
      <w:pPr>
        <w:pStyle w:val="1"/>
        <w:numPr>
          <w:ilvl w:val="1"/>
          <w:numId w:val="7"/>
        </w:numPr>
        <w:spacing w:line="240" w:lineRule="auto"/>
      </w:pPr>
      <w:r w:rsidRPr="00153E07">
        <w:t>Анализ сложившихся тенденций и проблем в экономике и социальной и демографической сфере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включает в себя 12 сельских поселений, из них 1 сельское поселение относится к группе крупных поселений, 8 – к группе больших сельских поселений и 3 классифицируются как средние сельские поселения. Городские поселения в муниципальном районе отсутствуют.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Проблемами развития пространственной территории являются высокая доля мелких населенных пунктов, труднодоступность некоторых из них, и, как следствие, высокие затраты на проведение коммуникаций (водо- и газоснабжение, телефонную связь и интернет) в населенные пункты и поддержание необходимого в них уровня инфраструктуры. Также, большое значение для пространственного развития территорий имеет развитие дорожной сети местного значения. На текущий период времени плотность дорог Бардымского муниципального района на 56% лучше среднерегионального значения.</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Протяженность автодорог общего пользования в Бардымском районе, находящихся в собственности муниципального образования в 2016 году составляла 649,5 км. из них с твердым покрытием 603,3 км., что составляет 93% от общей протяженности автодорог.</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градостроительства и инженерной инфраструктуры также наблюдаются положительные тенденции. Так, увеличивается ввод жилья на территории района. Генеральными планами сельских поселений предусмотрен отвод земель под селитебные территории.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Программами социально-экономического развития сельских поселений предусмотрена газификация населенных пунктов, обеспечение телефонной связью и интернетом. Проблемой медленного развития инженерной инфраструктуры в Бардымском муниципальном районе выступает невысокий объем доходов бюджета для обеспечения программ развития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Бардымском муниципальном районе в течение анализируемого периода времени социально-экономическая ситуация характеризуется как стабильная.</w:t>
      </w:r>
      <w:r w:rsidRPr="00153E07">
        <w:rPr>
          <w:rStyle w:val="aff2"/>
          <w:rFonts w:ascii="Times New Roman" w:eastAsia="Times New Roman" w:hAnsi="Times New Roman" w:cs="Times New Roman"/>
          <w:sz w:val="28"/>
          <w:szCs w:val="28"/>
        </w:rPr>
        <w:footnoteReference w:id="7"/>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 этом, сокращение численности трудоспособного населения оказывает большее влияние на производительность труда, чем прирост объема производства.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социальной сферы Бардымского муниципального района характерно ухудшение демографической ситуации.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Факторами, определяющими сокращения численности населения района, являются показатели сферы здравоохранения, а именно: смертности от заболеваний и от внешних причин; а также</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миграционный отток населения по социальным причинам.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Сравнивая значения статистического и похозяйственного учета, были выявлены показатели маятниковой миграции по причинам работы и учебы за пределами района, благодаря чему можно сделать вывод, что критическими </w:t>
      </w:r>
      <w:r w:rsidRPr="00153E07">
        <w:rPr>
          <w:rFonts w:ascii="Times New Roman" w:eastAsia="Times New Roman" w:hAnsi="Times New Roman" w:cs="Times New Roman"/>
          <w:sz w:val="28"/>
          <w:szCs w:val="28"/>
        </w:rPr>
        <w:lastRenderedPageBreak/>
        <w:t>годами были 2012-2013 годы. В последующие годы ситуация незначительно стабилизировалась, сократился отток населения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hAnsi="Times New Roman" w:cs="Times New Roman"/>
          <w:sz w:val="28"/>
          <w:szCs w:val="28"/>
        </w:rPr>
        <w:t>В сфере образования наблюдается недостаточность квалифицированных кадров в малокомплектных высокозатратных основных школах (учителей русского языка и литературы, начальных классов, физической культуры, английского языка, физики). Крупные средние школы района нуждаются в специалистах узкого профиля – в хореографах, музыкальных руководителях. Бардымская СОШ №2 обучает детей в две смены; требуется строительство новых школ в с.Тюндюк и с.Брюзли.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здравоохранения общая заболеваемость населения имеет динамику роста при сокращении общей численности населения в течение 2011- 2016 годов.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Основной прирост произошел по следующим группам заболеваний: онкология, заболевания кожи и подкожной клетчатки, органов дыхания, травмы, отравления и последствия внешних причин, в числе которых большую долю составляют суициды в состоянии алкогольного опьянения.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расположение на территории Бардымского муниципального района сибиреязвенных скотомогильников, даже при условии соблюдения санитарных норм при их содержании, не дает уверенности в том, что они не приносят вреда здоровью населения района, так как невозможно достигнуть 100% изоляцию от жизнедеятельности человека.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Споры сибирской язвы жизнеспособны в течение нескольких сотен лет, а наличие на территории района большого количества водных объектов может способствовать заражению населения.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Одной из основных проблем в экологической сфере района является неграмотность населения в данном направлении, так как существует проблема ограничения населения района от сбора ягод, грибов и отдыха в районе скотомогильников, соблюдения санитарных норм и требований и др.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Помимо невысокого уровня экологической грамотности населения, в сфере экологии крупной проблемой являются выбросы в атмосферу загрязняющих веществ от стационарных источников, в частности нефтедобывающих и нефтеперерабатывающих предприятий.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Еще одной проблемой в сфере экологии выступает отсутствие предприятий по переработке и утилизации бытовых отходов. В Бардымском муниципальном районе запланировано строительство мусороперегрузочной станции в районе села Барда, однако до настоящего времени данный объект не построен по причине отсутствия денежных средств в бюджете.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сфере культуры Бардымского муниципального района отмечены следующие проблемы:</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устаревание библиотечного фонда, низкая скорость его обновления.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Развитию спорта в районе и вовлеченности молодежи</w:t>
      </w:r>
      <w:r w:rsidR="008B24F0">
        <w:rPr>
          <w:rFonts w:ascii="Times New Roman" w:eastAsia="Times New Roman" w:hAnsi="Times New Roman" w:cs="Times New Roman"/>
          <w:sz w:val="28"/>
          <w:szCs w:val="28"/>
        </w:rPr>
        <w:t xml:space="preserve"> в спортивные мероприятия </w:t>
      </w:r>
      <w:r w:rsidRPr="00153E07">
        <w:rPr>
          <w:rFonts w:ascii="Times New Roman" w:eastAsia="Times New Roman" w:hAnsi="Times New Roman" w:cs="Times New Roman"/>
          <w:sz w:val="28"/>
          <w:szCs w:val="28"/>
        </w:rPr>
        <w:t>в настоящее время препятствует</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недостаток спортивных залов и сооружений.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Туризм в Бардымском муниципальном районе развит недостаточно. Наиболее популярными видами туризма в районе выступают спортивный туризм и рекреационный.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Основными проблемами в сфере развития туризма являются недостаточно развитая туристская инфраструктура, отсутствие разработанных туристических маршрутов, недостаток информационных материалов об объектах показа.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социальной защиты населения свидетельствуют о приросте пенсионеров и увеличении их доли в общей численности населения района, и, как следствие, росте демографической нагрузки на трудоспособное население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Средний размер пенсий ежегодно увеличивается, однако индексация пенсий не превышает среднегодового уровня инфляции за тот же период времени.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Доход Бардымского муниципального района в 2016 году составил 696,57 млн. руб., показав поступательную динамику и увеличив капитализацию доходной части на 3,5% по сравнению с годом ранее.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Наибольшая доля основного капитала в Бардымском районе была проинвестирована частными инвесторами в 2013 году (90,9%). Однако, в последующие годы доля частных инвестиций в основной капитал сократилась из-за увеличения притока вложений за счет бюджетных средств. На конец 2016 года доля инвестиций за счет бюджетных средств увеличилась до 36,2% с 9,1% в 2013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Бюджет по расходам муниципального района не был исполнен в сфере жилищно-коммунального хозяйства, национальной экономики, образования, спорта и физической культуры, общих вопросов, социальной политики, здравоохранения в течение всего анализируемого периода. Расходы по статье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Средства массовой информации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не были исполнены только в 2012 году.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Исполненные расходы бюджета являются наиболее близкими к плановым показателям в сфере национальной безопасности и абсолютно исполненными в сфере СМИ.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видами деятельности в Бардымском муниципальном районе выступают сельское хозяйство, предпринимательство, торговля и общественное питание, добыча и переработка нефти, строительство. Дифференциация производства практически отсутствует. В Бардымском муниципальном районе недостаточное количество предприятий по переработке продукции сельского хозяйства.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преобладающей отрасли – сельском хозяйстве - наблюдается положительная тенденция роста объемов продукции собственного производства благодаря стимулированию производителей сельскохозяйственной продукции.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производственных, социальных связей с г. Пермь, оказывают влияние на социально-экономическое развитие муниципального района, что отражается на повышении уровня инвестиционной привлекательности территории и развитии градостроительной сферы. Развитие социально-экономического комплекса Бардымского муниципального района неразрывно связано с развитием Перми. Влияние данного фактора носит комплексное влияние на развитие и хозяйственное освоение территории.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условиях современных требований к уровню социальных услуг и производственному процессу сохраняются кадровые проблемы по количеству и качеству трудовых ресурсов.</w:t>
      </w:r>
    </w:p>
    <w:p w:rsidR="00153E07" w:rsidRPr="00153E07" w:rsidRDefault="00153E07" w:rsidP="006D2568">
      <w:pPr>
        <w:spacing w:line="240" w:lineRule="auto"/>
        <w:jc w:val="both"/>
        <w:rPr>
          <w:rFonts w:ascii="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lastRenderedPageBreak/>
        <w:t>Риски и ограничения развития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Существенным фактором, ограничивающим производственный потенциал Бардымского муниципального района, является принадлежность ресурсов, расположенных на территории района соседним муниципальным образованиям. Так, лесные ресурсы, закрепленные за Бардымским, Крыловским и Сарашевским лесничествами принадлежат Куединскому и Осинскомумежлесхозам.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Нефтяные месторождения, расположенные на территории Бардымского района разрабатываются предприятиями соседних муниципальных районов. Таким образом, доходы от данной</w:t>
      </w:r>
      <w:r w:rsidR="008B24F0">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деятельности пополняют их бюджет. Большая доля сельскохозяйственной продукции также перерабатывается в соседних муниципальных районах.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компенсирующих отраслей народного хозяйства в Бардымском районе ведет к риску недополучения прибыли. Природные явления, например, засуха, приводят к убыткам в сфере сельского хозяйства, которое наиболее развито в Бардымском муниципальном районе. При этом недостаток промышленных и обрабатывающих производств и предприятий в других отраслях экономики ведет к невозможности формирования резерва для финансирования дотационных отраслей.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Отдаленность от железнодорожных сообщений увеличивает затраты на доставку отсутствующих в районе ресурсов, сырья, а также сбыт продукции собственного производства, что провоцирует увеличение себестоимости производимых товаров.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в районе недостаточно развита система продвижения сельскохозяйственной продукции ЛПХ и КФХ на товарные рынки региона и соседних областей.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Низкий уровень производительности труда связан с отсутствием в Бардымском муниципальном районе опытных высококвалифицированных специалистов для села. Также на производительность труда и объем производства продукции большое влияние оказывает изношенность основных производственных фондов, низкий уровень внедрения инновационных технологий в сельскохозяйственном производстве.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крупных проектов приводит к недостатку инвестиций в экономику Бардымского муниципального района и нивелированию существующего социально-экономического потенциала муниципального образования.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Важной социальной проблемой является проблема строительства водопроводных сетей, дорог, линий электропередач, уличного освещения, газификации вследствие отсутствия свободных бюджетных ресурсов для реализации мероприятий по территориальному развитию.</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Одним из главных факторов, влияющих на развитие экономики муниципального района, является ухудшение демографической ситуации: наличие естественного оттока населения, старение населения и, как следствие, сокращение населения трудоспособного возраста.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Слабое развитие социальной инфраструктуры в большей части территории Бардымского муниципального района сдерживает инвестирование и создание новых рабочих мест.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Наличие на территории Бардымского муниципального района месторождений добычи нефти и газа несет в себе экологические риски, так как в нефтеперерабатывающей отрасли 80% выбросов в атмосферу составляют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парниковые</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газы: метан и другие летучие органические соединения, имеющие 1-4 классы опасности, что в свою очередь влияет на заболеваемость населения.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Ограничивающим фактором для развития туристической отрасли является недостаточно развитая туристская инфраструктура для приема гостей и туристов, отсутствие разработанных туров и маршрутов, недостаток информации о туристических объектах.</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основные риски и ограничения Бардымского муниципального района аккумулируются в следующих формациях: ухудшение демографических показателей, слабое финансирование предприятий реального сектора экономики и муниципальных финансов, отсутствие компенсирующих отраслей народного хозяйства района.</w:t>
      </w:r>
    </w:p>
    <w:p w:rsidR="00153E07" w:rsidRPr="00153E07" w:rsidRDefault="00153E07" w:rsidP="006D2568">
      <w:pPr>
        <w:spacing w:line="240" w:lineRule="auto"/>
        <w:jc w:val="both"/>
        <w:rPr>
          <w:rFonts w:ascii="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t>Факторы, определяющие развитие экономики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развитие социально-экономической ситуации в Бардымском муниципальном районе оказывают влияние внешние и внутренние факторы.</w:t>
      </w:r>
    </w:p>
    <w:p w:rsidR="00153E07" w:rsidRPr="008B24F0" w:rsidRDefault="00153E07" w:rsidP="006D2568">
      <w:pPr>
        <w:spacing w:after="0" w:line="240" w:lineRule="auto"/>
        <w:ind w:firstLine="709"/>
        <w:jc w:val="both"/>
        <w:rPr>
          <w:rFonts w:ascii="Times New Roman" w:eastAsia="Times New Roman" w:hAnsi="Times New Roman" w:cs="Times New Roman"/>
          <w:b/>
          <w:sz w:val="28"/>
          <w:szCs w:val="28"/>
        </w:rPr>
      </w:pPr>
      <w:r w:rsidRPr="008B24F0">
        <w:rPr>
          <w:rFonts w:ascii="Times New Roman" w:eastAsia="Times New Roman" w:hAnsi="Times New Roman" w:cs="Times New Roman"/>
          <w:b/>
          <w:sz w:val="28"/>
          <w:szCs w:val="28"/>
        </w:rPr>
        <w:t>К внешним факторам относятся:</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153E07" w:rsidRPr="00153E07">
        <w:rPr>
          <w:rFonts w:ascii="Times New Roman" w:eastAsia="Times New Roman" w:hAnsi="Times New Roman" w:cs="Times New Roman"/>
          <w:sz w:val="28"/>
          <w:szCs w:val="28"/>
        </w:rPr>
        <w:t>риродно-климатические условия;</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53E07" w:rsidRPr="00153E07">
        <w:rPr>
          <w:rFonts w:ascii="Times New Roman" w:eastAsia="Times New Roman" w:hAnsi="Times New Roman" w:cs="Times New Roman"/>
          <w:sz w:val="28"/>
          <w:szCs w:val="28"/>
        </w:rPr>
        <w:t>ранспортная доступность муниципального района;</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w:t>
      </w:r>
      <w:r w:rsidR="00153E07" w:rsidRPr="00153E07">
        <w:rPr>
          <w:rFonts w:ascii="Times New Roman" w:eastAsia="Times New Roman" w:hAnsi="Times New Roman" w:cs="Times New Roman"/>
          <w:sz w:val="28"/>
          <w:szCs w:val="28"/>
        </w:rPr>
        <w:t>лизость к региональному центру – г. Пермь.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8B24F0">
        <w:rPr>
          <w:rFonts w:ascii="Times New Roman" w:eastAsia="Times New Roman" w:hAnsi="Times New Roman" w:cs="Times New Roman"/>
          <w:b/>
          <w:sz w:val="28"/>
          <w:szCs w:val="28"/>
        </w:rPr>
        <w:t>Внутренними факторами</w:t>
      </w:r>
      <w:r w:rsidRPr="00153E07">
        <w:rPr>
          <w:rFonts w:ascii="Times New Roman" w:eastAsia="Times New Roman" w:hAnsi="Times New Roman" w:cs="Times New Roman"/>
          <w:sz w:val="28"/>
          <w:szCs w:val="28"/>
        </w:rPr>
        <w:t xml:space="preserve">, определяющими развитие Бардымского муниципального района, являются: </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153E07" w:rsidRPr="00153E07">
        <w:rPr>
          <w:rFonts w:ascii="Times New Roman" w:eastAsia="Times New Roman" w:hAnsi="Times New Roman" w:cs="Times New Roman"/>
          <w:sz w:val="28"/>
          <w:szCs w:val="28"/>
        </w:rPr>
        <w:t>емографическое положение в муниципальном районе;</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53E07" w:rsidRPr="00153E07">
        <w:rPr>
          <w:rFonts w:ascii="Times New Roman" w:eastAsia="Times New Roman" w:hAnsi="Times New Roman" w:cs="Times New Roman"/>
          <w:sz w:val="28"/>
          <w:szCs w:val="28"/>
        </w:rPr>
        <w:t>аличие производственных предприятий;</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53E07" w:rsidRPr="00153E07">
        <w:rPr>
          <w:rFonts w:ascii="Times New Roman" w:eastAsia="Times New Roman" w:hAnsi="Times New Roman" w:cs="Times New Roman"/>
          <w:sz w:val="28"/>
          <w:szCs w:val="28"/>
        </w:rPr>
        <w:t>аличие ресурсов для развития муниципального района;</w:t>
      </w:r>
    </w:p>
    <w:p w:rsidR="00153E07" w:rsidRPr="00153E07" w:rsidRDefault="008B24F0" w:rsidP="006D2568">
      <w:pPr>
        <w:pStyle w:val="af1"/>
        <w:numPr>
          <w:ilvl w:val="0"/>
          <w:numId w:val="9"/>
        </w:numPr>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00153E07" w:rsidRPr="00153E07">
        <w:rPr>
          <w:rFonts w:ascii="Times New Roman" w:eastAsia="Times New Roman" w:hAnsi="Times New Roman" w:cs="Times New Roman"/>
          <w:sz w:val="28"/>
          <w:szCs w:val="28"/>
        </w:rPr>
        <w:t>бъем инвестиций.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муниципальном районе умеренно-континентальный климат, с широкой амплитудой температур в течение года. Зима в Бардымском районе продолжительная и </w:t>
      </w:r>
      <w:r w:rsidR="00F25E88">
        <w:rPr>
          <w:rFonts w:ascii="Times New Roman" w:eastAsia="Times New Roman" w:hAnsi="Times New Roman" w:cs="Times New Roman"/>
          <w:sz w:val="28"/>
          <w:szCs w:val="28"/>
        </w:rPr>
        <w:t>с большим количеством осадков</w:t>
      </w:r>
      <w:r w:rsidRPr="00153E07">
        <w:rPr>
          <w:rFonts w:ascii="Times New Roman" w:eastAsia="Times New Roman" w:hAnsi="Times New Roman" w:cs="Times New Roman"/>
          <w:sz w:val="28"/>
          <w:szCs w:val="28"/>
        </w:rPr>
        <w:t xml:space="preserve">, а лето – сравнительно короткое и умеренно-теплое. На формирование климата района оказывает влияние давление воздуха в течение всего года. Среднее давление воздуха в Бардымском муниципальном районе выше среднекраевого значения.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течение года в районе преобладают южные, юго-западные и западные ветры. В составе почвенного покрова Бардымского муниципального района преобладают дерново-подзолистые, глинистые и суглинистые почвы, в которых присутствует более развитый гумусовый горизонт. Данные почвы относятся к высоким плодородным почвам.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Природно-климатические условия Бардымского муниципального района считаются удовлетворительными для развития сельского хозяйства с учетом минерализации почвы.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Нельзя оставить без внимания природно-энергетический фактор. Богатство топливно-энергетическими ресурсами позволяет вести добычу нефти и газа. Однако, необходимо учитывать, что помимо потенциала региона существует экономический фактор. А именно, уровень самостоятельности в распоряжении природными богатствами.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Помимо климатических условий, которые определяют размещение производств, немаловажен фактор обеспечения экологической безопасности.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Гидрогеологические условия Бардымского муниципального района благоприятны для накопления и использования ресурсов пресных подземных вод, организации хозяйственно-питьевого водоснабжения большинства населенных пунктов.</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климатические и агроклиматические ресурсы играют важную роль в развитии экономики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Торговые отношения увеличивают значимость транспортной доступности муниципального района.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сфере развития транспортной инфраструктуры имеются значительные сдвиги. За последние 6 лет протяженность автодорог значительно возросла благодаря строительству на территории муниципального района дорог регионального значения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Кунгур – Б. Уса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Пермь – Чернушка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Барда – Куеда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схеме территориального планирования Пермского края предполагается восстановление в Бардымском муниципальном районе местной авиалинии, что дает дополнительные конкурентные преимущества муниципальному району.</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Близость к региональному центру – городу Пермь – также дает Бардымскому району преимущества. Бардымский муниципальный район расположен в 157 километрах от краевого центра, что позволяет налаживать социальные и экономические связи с краевым центром, а также увеличивает инвестиционную привлекательность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Демографическое положение в настоящее время в Бардымском муниципальном районе неутешительно. Наблюдается сокращение численности населения, в частности, трудоспособного, увеличение числа пенсионеров, рост демографической нагрузки, высокая смертность среди мужчин и трудоспособного населения в целом, а также миграционный отток.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Данная ситуация стала изменяться в сторону улучшения с введением целевых программ, стимулирующих рост рождаемости за счет предоставления жилья молодым семьям. Так, в последние годы наблюдается прирост числа детей в возрасте от 0 до 6 лет.</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Кроме того, жилье предоставляют молодым квалифицированным специалистам с целью привлечения и удержания их в Бардымском муниципальном районе.</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Уровень развития экономики района также зависит от наличия, диверсификации, уровня инвестиционной привлекательности, технологических </w:t>
      </w:r>
      <w:r w:rsidRPr="00153E07">
        <w:rPr>
          <w:rFonts w:ascii="Times New Roman" w:eastAsia="Times New Roman" w:hAnsi="Times New Roman" w:cs="Times New Roman"/>
          <w:sz w:val="28"/>
          <w:szCs w:val="28"/>
        </w:rPr>
        <w:lastRenderedPageBreak/>
        <w:t xml:space="preserve">инноваций базовых отраслейэкономики муниципального района. Бардымский муниципальный район имеет сельскохозяйственную специализацию, благодаря чему существует возможность применения кластерного подхода в развитии агропромышленного комплекса.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Применение кластерного подхода подразумевает под собой присвоение Бардымскому муниципальному району статуса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соответствии с Федеральным законом № 116 от 22.07.20015г.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особых экономических зонах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существует 4 типа особых экономических зон:</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промышленно-производственные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технико-внедренческие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туристско-рекреационные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портовые особые экономические зоны.</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Промышленно-производственные особые экономические зоны создаются на участках территории, площадь которых составляет не более чем 40 кв.км. Технико-внедренческие особые экономические зоны создаются на участках территории, общая площадь которых составляет не более чем 4 кв.км. Туристско-рекреационные особые экономические зоны особые экономические зоны создаются на одном или нескольких участках территории.</w:t>
      </w:r>
      <w:r w:rsidRPr="00153E07">
        <w:rPr>
          <w:rStyle w:val="aff2"/>
          <w:rFonts w:ascii="Times New Roman" w:eastAsia="Times New Roman" w:hAnsi="Times New Roman" w:cs="Times New Roman"/>
          <w:sz w:val="28"/>
          <w:szCs w:val="28"/>
        </w:rPr>
        <w:footnoteReference w:id="8"/>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территории Бардымского муниципального района возможно создание промышленно – производственной, технико-внедренческой и туристско-рекреационной особых экономических зон.</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В пределах промышленно-производственной особой</w:t>
      </w:r>
      <w:r w:rsidRPr="00153E07">
        <w:rPr>
          <w:rFonts w:ascii="Times New Roman" w:eastAsia="Times New Roman" w:hAnsi="Times New Roman" w:cs="Times New Roman"/>
          <w:sz w:val="28"/>
          <w:szCs w:val="28"/>
        </w:rPr>
        <w:t xml:space="preserve"> экономической зоны возможно не только производство сельскохозяйственной продукции, но и ее переработка (переработка в сфере растениеводства, животноводства и рыбоводства, организация хранилищ сельскохозяйственной продукции, пчеловодство, овощеводство), а также производство вспомогательных расходных материалов для развития сельского хозяйства (например, удобрений).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 промышленно-производственнойособой экономической зоне также относятся обрабатывающие производства: лесообрабатывающие производства, производства строительных материалов и т.п.</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Ресурсный потенциал Бардымского муниципального района характеризуется наличием на территории муниципального образования минерально-сырьевых месторождений, которые могут быть использованы для производства продукции, как для собственного использования, так и для реализации на внешние товарные рынки.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 благодаря наличию на территории района месторождений красных глин возможно производство полнотелого кирпича и развитие гончарного ремесла. Наличие месторождений песчано-гравийных смесей и песка позволяет создавать производства по их переработке и производству строительных смесей и материалов. Наличие месторождений известкового туфа позволяет производить облицовочную плитку и минеральные удобрения. Разработка данных месторождений дает возможность Бардымскому муниципальному району применять продукцию собственного производства в жилищном и промышленном </w:t>
      </w:r>
      <w:r w:rsidRPr="00153E07">
        <w:rPr>
          <w:rFonts w:ascii="Times New Roman" w:eastAsia="Times New Roman" w:hAnsi="Times New Roman" w:cs="Times New Roman"/>
          <w:sz w:val="28"/>
          <w:szCs w:val="28"/>
        </w:rPr>
        <w:lastRenderedPageBreak/>
        <w:t>строительстве, которое в настоящее время интенсивно ведется на территории муниципального района, по более низкой себестоимости, чем импортируемую из соседних регионов. Кроме того, у предпринимателей Бардымского района открывается возможность выхода на внешние рынки со своей продукцией и расширение рынков сбыта.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пределах кластерного подхода в Бардымском муниципальном районе возможно развитие селекционной индустрии, так, например, картофель, выращиваемый в районе, известен на весь Пермский край. Данная деятельность возможна на территории </w:t>
      </w:r>
      <w:r w:rsidRPr="00153E07">
        <w:rPr>
          <w:rFonts w:ascii="Times New Roman" w:eastAsia="Times New Roman" w:hAnsi="Times New Roman" w:cs="Times New Roman"/>
          <w:b/>
          <w:sz w:val="28"/>
          <w:szCs w:val="28"/>
        </w:rPr>
        <w:t>технико-внедренческой особой экономической зоны</w:t>
      </w:r>
      <w:r w:rsidRPr="00153E07">
        <w:rPr>
          <w:rFonts w:ascii="Times New Roman" w:eastAsia="Times New Roman" w:hAnsi="Times New Roman" w:cs="Times New Roman"/>
          <w:sz w:val="28"/>
          <w:szCs w:val="28"/>
        </w:rPr>
        <w:t>.</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Кроме того, Бардымский муниципальный район обладает туристским потенциалом, благодаря чему возможно создание </w:t>
      </w:r>
      <w:r w:rsidRPr="00153E07">
        <w:rPr>
          <w:rFonts w:ascii="Times New Roman" w:eastAsia="Times New Roman" w:hAnsi="Times New Roman" w:cs="Times New Roman"/>
          <w:b/>
          <w:sz w:val="28"/>
          <w:szCs w:val="28"/>
        </w:rPr>
        <w:t>туристско-рекреационной особой экономической зоны</w:t>
      </w:r>
      <w:r w:rsidRPr="00153E07">
        <w:rPr>
          <w:rFonts w:ascii="Times New Roman" w:eastAsia="Times New Roman" w:hAnsi="Times New Roman" w:cs="Times New Roman"/>
          <w:sz w:val="28"/>
          <w:szCs w:val="28"/>
        </w:rPr>
        <w:t xml:space="preserve">.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можно говорить о создании комплексной экономической зоны на территории Бардымского муниципального района, т.е. присвоению Бардымскому муниципальному району статуса особой экономической зоны с целью предоставления льгот всем или почти всем предпринимателям для поддержки данного муниципального образования.</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sz w:val="28"/>
          <w:szCs w:val="28"/>
        </w:rPr>
        <w:t xml:space="preserve">Согласно </w:t>
      </w:r>
      <w:r w:rsidRPr="00153E07">
        <w:rPr>
          <w:rFonts w:ascii="Times New Roman" w:eastAsia="Times New Roman" w:hAnsi="Times New Roman" w:cs="Times New Roman"/>
          <w:bCs/>
          <w:sz w:val="28"/>
          <w:szCs w:val="28"/>
        </w:rPr>
        <w:t xml:space="preserve">Федеральному закону № 116-ФЗ от 22.07.2005г.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Об особых экономических зонах в Российской Федерации</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 xml:space="preserve"> решение о создании особой экономической зоны на территории муниципального образования принимается Правительством Российской Федерации исходя из критериев создания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Основными критериями создания особой экономической зоны являются:</w:t>
      </w:r>
      <w:r w:rsidRPr="00153E07">
        <w:rPr>
          <w:rStyle w:val="aff2"/>
          <w:rFonts w:ascii="Times New Roman" w:eastAsia="Times New Roman" w:hAnsi="Times New Roman" w:cs="Times New Roman"/>
          <w:bCs/>
          <w:sz w:val="28"/>
          <w:szCs w:val="28"/>
        </w:rPr>
        <w:footnoteReference w:id="9"/>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 Наличие естественных экономико-географических конкурентных преимуществ для реализации инвестиционных проектов, соответствующих специализации предполагаемой к созданию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 xml:space="preserve">2. Соответствие целей создания особой экономической зоны следующим документам стратегического планирования в соответствии с Федеральным законом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О стратегическом планировании в Российской Федерации</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:стратегия социально-экономического развития Российской Федерации;стратегия национальной безопасности Российской Федерации;отраслевые документы стратегического планирования Российской Федерации;стратегия научно-технологического развития Российской Федерации;стратегия пространственного развития Российской Федерации;стратегии социально-экономического развития макрорегионов;государственные программы Российской Федерации;стратегии социально-экономического развития субъектов Российской Федерации;государственные программы субъектов Российской Федерации;схемы территориального планирования субъекта Российской Федерации.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3. Прогнозная положительная динамика (включая обоснование) роста объемов дополнительных доходов, поступающих в федеральный бюджет, бюджет субъекта Российской Федерации, на территории которого предполагается создание особой экономической зоны, а также в местный бюджет в связи с созданием и функционированием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4. Наличие инвестиционных проектов (включая их финансово-экономические показатели) и потенциальных инвесторов, подтвердивших в письменной форме готовность реализовать эти проекты на территории предполагаемой к созданию особой экономической зоны, с объемом запланированных инвестиций накопленным итогом за 3 года со дня создания особой экономической зоны не менее планируемого объема необходимых для создания ее инфраструктуры средств федерального бюджета, бюджета субъекта Российской Федерации, местного бюджета.</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5. Обоснованность плановых показателей развития инженерной, транспортной, инновационной, социальной и иной инфраструктуры предполагаемой к созданию особой экономической зоны и оценки стоимости затрат на ее развитие.</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6. Значение и обоснованность прогнозных показателей эффективности функционирования предполагаемой к созданию особой экономической зоны, необходимых для проведения оценки эффективности функционирования особых экономических зон, а такженаличие оценки предполагаемой к созданию особой экономической зоны по показателям рентабельности, доходности и срока окупаемости.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Значение показателя рентабельности, рассчитанного как отношение планируемого объема инвестиций резидентов особой экономической зоны, а также планируемых к уплате резидентами особой экономической зоны и управляющей компанией особой экономической зоны налоговых отчислений в бюджеты всех уровней бюджетной системы Российской Федерации и таможенных платежей на конец 10-го года реализации проекта накопленным итогом к размеру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для предполагаемой к созданию особой экономической зоны промышленно-производственного типа должно составлять не менее 2, для предполагаемых к созданию особых экономических зон туристско-рекреационного типа, технико-внедренческого типа и портовых особых экономических зон - не менее 1.</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Значение показателя доходности, рассчитанного как отношение размера выручки, планируемой к получению резидентами особой экономической зоны и управляющей компанией особой экономической зоны на конец 10-го года реализации проекта накопленным итогом, к размеру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и планируемых инвестиций резидентов особой экономической зоны, для предполагаемой к созданию особой экономической зоны промышленно-производственного типа должно составлять не менее 1,2, для предполагаемых к созданию особых экономических зон туристско-рекреационного типа, технико-внедренческого типа и портовых особых экономических зон - не менее 1.</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Срок окупаемости предполагаемой к созданию особой экономической зоны промышленно-производственного типа должен составлять не более 8 лет, для особых экономических зон туристско-рекреационного типа, технико-</w:t>
      </w:r>
      <w:r w:rsidRPr="00153E07">
        <w:rPr>
          <w:rFonts w:ascii="Times New Roman" w:eastAsia="Times New Roman" w:hAnsi="Times New Roman" w:cs="Times New Roman"/>
          <w:bCs/>
          <w:sz w:val="28"/>
          <w:szCs w:val="28"/>
        </w:rPr>
        <w:lastRenderedPageBreak/>
        <w:t>внедренческого типа и портовых особых экономических зон - не более 15 лет. При определении срока окупаемости учитывается разница между размером выручки, планируемой к получению резидентами особой экономической зоны и управляющей компанией особой экономической зоны, и размером необходимых для создания инфраструктуры особой экономической зоны средств федерального бюджета, бюджета субъекта Российской Федерации, местного бюджета и планируемых инвестиций резидентов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7. Наличие не менее одного хозяйственного общества, намеревающегося осуществлять функции управляющей компании и подтвердившего в письменной форме наличие у него или его учредителей (участников) опыта создания и обеспечения функционирования объектов инфраструктуры с представлением документов о вводе их в эксплуатацию, их количества и размера фактического финансирования, а также готовность заключить с уполномоченным Правительством Российской Федерации органом исполнительной власти соглашение об управлении особой экономической зоной и принять на себя обязательство привлечь не менее 50 процентов планируемого объема внебюджетных инвестиций на создание и функционирование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8. Возможность обеспечить планируемых к размещению в особой экономической зоне резидентов необходимыми ресурсами, в том числе кадровыми. Наличие, в случае имеющихся инфраструктурных и иных ограничений, предложений по их устранению, достаточных для обеспечения планируемых к размещению в особой экономической зоне резидентов необходимыми ресурсами.</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9. Наличие успешного опыта реализации в субъекте Российской Федерации или муниципальном образовании, на территориях которых предполагается создание особой экономической зоны, крупных инвестиционных проектов с участием российских и иностранных инвесторов, объем фактически привлеченных частных инвестиций в которые составляет не менее объема запланированных инвестиций потенциальных инвесторов особой экономической зоны, и (или) опыта создания инновационных кластеров, индустриальных парков и технопарков (с указанием размера затрат бюджета субъекта Российской Федерации и (или) местного бюджета на единицу площади (рублей на один гектар общей площади индустриальных парков и инновационных кластеров либо рублей на один квадратный метр общей площади технопарков).</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10. Наличие на территории, где предполагается создание особой экономической зоны, а также на прилегающей территории объектов внутренней и внешней инженерной, транспортной, инновационной, социальной и иной инфраструктуры, которые возможно использовать для целей функционирования и развития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11. Наличие проекта планировки территории особой экономической зоны и перспективного плана развития особой экономической зоны.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12. Наличие анализа экологических рисков проекта создания особой экономической зоны и (или) стратегии управления экологической эффективностью.</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lastRenderedPageBreak/>
        <w:t>Преимуществами осуществления предпринимательской деятельности для резидентов особой экономической зоны являются налоговые льготы.</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Налоговая нагрузка на предпринимателей-резидентов особых экономических зон уменьшается в части налога на прибыль организаций, налога на имущество, земельного налога, страховых взносов.</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Такие налоговые каникулы для резидентов особых экономических зон действуют в течение 5-10 лет с момента признания предпринимателя резидентом ОЭЗ.</w:t>
      </w:r>
    </w:p>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Особые экономические зоны могут устанавливать собственные льготные ставки по налогу на прибыль, транспортному налогу и НДС. Так работы, связанные с инновационной деятельностью, не облагаются НДС. В таблице приведено сравнение налоговых ставок для резидентов ОЭЗ и обычных предпринимателей.</w:t>
      </w:r>
    </w:p>
    <w:p w:rsidR="00153E07" w:rsidRPr="00153E07" w:rsidRDefault="00153E07" w:rsidP="006D2568">
      <w:pPr>
        <w:spacing w:after="0" w:line="240" w:lineRule="auto"/>
        <w:ind w:firstLine="709"/>
        <w:jc w:val="right"/>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Таблица 3.1</w:t>
      </w:r>
    </w:p>
    <w:p w:rsidR="00153E07" w:rsidRPr="00FD0291" w:rsidRDefault="00153E07" w:rsidP="006D2568">
      <w:pPr>
        <w:spacing w:after="0" w:line="240" w:lineRule="auto"/>
        <w:jc w:val="center"/>
        <w:rPr>
          <w:rFonts w:ascii="Times New Roman" w:eastAsia="Times New Roman" w:hAnsi="Times New Roman" w:cs="Times New Roman"/>
          <w:b/>
          <w:bCs/>
          <w:sz w:val="28"/>
          <w:szCs w:val="28"/>
        </w:rPr>
      </w:pPr>
      <w:r w:rsidRPr="00FD0291">
        <w:rPr>
          <w:rFonts w:ascii="Times New Roman" w:eastAsia="Times New Roman" w:hAnsi="Times New Roman" w:cs="Times New Roman"/>
          <w:b/>
          <w:bCs/>
          <w:sz w:val="28"/>
          <w:szCs w:val="28"/>
        </w:rPr>
        <w:t>Налоговые льготы для резидентов ОЗС</w:t>
      </w:r>
    </w:p>
    <w:tbl>
      <w:tblPr>
        <w:tblW w:w="10031" w:type="dxa"/>
        <w:tblLook w:val="04A0"/>
      </w:tblPr>
      <w:tblGrid>
        <w:gridCol w:w="2040"/>
        <w:gridCol w:w="2040"/>
        <w:gridCol w:w="2040"/>
        <w:gridCol w:w="3911"/>
      </w:tblGrid>
      <w:tr w:rsidR="00153E07" w:rsidRPr="00153E07" w:rsidTr="00FD0291">
        <w:trPr>
          <w:trHeight w:val="300"/>
        </w:trPr>
        <w:tc>
          <w:tcPr>
            <w:tcW w:w="2040" w:type="dxa"/>
            <w:tcBorders>
              <w:top w:val="single" w:sz="4" w:space="0" w:color="auto"/>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Вид налога</w:t>
            </w:r>
          </w:p>
        </w:tc>
        <w:tc>
          <w:tcPr>
            <w:tcW w:w="2040"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Обычная ставка</w:t>
            </w:r>
          </w:p>
        </w:tc>
        <w:tc>
          <w:tcPr>
            <w:tcW w:w="2040"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Льготная ставка</w:t>
            </w:r>
          </w:p>
        </w:tc>
        <w:tc>
          <w:tcPr>
            <w:tcW w:w="3911" w:type="dxa"/>
            <w:tcBorders>
              <w:top w:val="single" w:sz="4" w:space="0" w:color="auto"/>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Срок действия льготы</w:t>
            </w:r>
          </w:p>
        </w:tc>
      </w:tr>
      <w:tr w:rsidR="00153E07" w:rsidRPr="00153E07" w:rsidTr="00FD0291">
        <w:trPr>
          <w:trHeight w:val="1140"/>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Налог на прибыль</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18%</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 + 13,5%</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5 + 10 лет с месяца получения статуса резидента, либо различные ставки по годам</w:t>
            </w:r>
          </w:p>
        </w:tc>
      </w:tr>
      <w:tr w:rsidR="00153E07" w:rsidRPr="00153E07" w:rsidTr="00FD0291">
        <w:trPr>
          <w:trHeight w:val="855"/>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Налог на имущество</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2,20%</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10 лет с месяца, следующего за месяцем постановки имущества на учет</w:t>
            </w:r>
          </w:p>
        </w:tc>
      </w:tr>
      <w:tr w:rsidR="00153E07" w:rsidRPr="00153E07" w:rsidTr="00FD0291">
        <w:trPr>
          <w:trHeight w:val="1140"/>
        </w:trPr>
        <w:tc>
          <w:tcPr>
            <w:tcW w:w="2040" w:type="dxa"/>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Земельный налог</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1,50%</w:t>
            </w:r>
          </w:p>
        </w:tc>
        <w:tc>
          <w:tcPr>
            <w:tcW w:w="2040"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0%</w:t>
            </w:r>
          </w:p>
        </w:tc>
        <w:tc>
          <w:tcPr>
            <w:tcW w:w="3911" w:type="dxa"/>
            <w:tcBorders>
              <w:top w:val="nil"/>
              <w:left w:val="nil"/>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5 лет с месяца возникновения собственности на каждый участок</w:t>
            </w:r>
          </w:p>
        </w:tc>
      </w:tr>
      <w:tr w:rsidR="00153E07" w:rsidRPr="00153E07" w:rsidTr="00FD0291">
        <w:trPr>
          <w:trHeight w:val="300"/>
        </w:trPr>
        <w:tc>
          <w:tcPr>
            <w:tcW w:w="2040"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Страховые взносы</w:t>
            </w:r>
          </w:p>
        </w:tc>
        <w:tc>
          <w:tcPr>
            <w:tcW w:w="204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 xml:space="preserve">ПФР + 22% </w:t>
            </w:r>
          </w:p>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 xml:space="preserve">ФСС + 2,9% </w:t>
            </w:r>
          </w:p>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+ 8%</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2016 + 2017 годы</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+ 4%</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+ 13%</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2018 год</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+ 2,9%</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3911"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ПФР + 20%</w:t>
            </w:r>
          </w:p>
        </w:tc>
        <w:tc>
          <w:tcPr>
            <w:tcW w:w="3911" w:type="dxa"/>
            <w:vMerge w:val="restart"/>
            <w:tcBorders>
              <w:top w:val="nil"/>
              <w:left w:val="single" w:sz="4" w:space="0" w:color="auto"/>
              <w:bottom w:val="single" w:sz="4" w:space="0" w:color="auto"/>
              <w:right w:val="single" w:sz="4" w:space="0" w:color="auto"/>
            </w:tcBorders>
            <w:shd w:val="clear" w:color="000000" w:fill="FFFFFF"/>
            <w:hideMark/>
          </w:tcPr>
          <w:p w:rsidR="00153E07" w:rsidRPr="00E21B77" w:rsidRDefault="00153E07" w:rsidP="006D2568">
            <w:pPr>
              <w:spacing w:after="0" w:line="240" w:lineRule="auto"/>
              <w:jc w:val="both"/>
              <w:rPr>
                <w:rFonts w:ascii="Times New Roman" w:eastAsia="Times New Roman" w:hAnsi="Times New Roman" w:cs="Times New Roman"/>
                <w:sz w:val="24"/>
                <w:szCs w:val="28"/>
              </w:rPr>
            </w:pPr>
            <w:r w:rsidRPr="00E21B77">
              <w:rPr>
                <w:rFonts w:ascii="Times New Roman" w:eastAsia="Times New Roman" w:hAnsi="Times New Roman" w:cs="Times New Roman"/>
                <w:sz w:val="24"/>
                <w:szCs w:val="28"/>
              </w:rPr>
              <w:t>2019 год</w:t>
            </w: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ФСС + 2,9%</w:t>
            </w:r>
          </w:p>
        </w:tc>
        <w:tc>
          <w:tcPr>
            <w:tcW w:w="3911"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r>
      <w:tr w:rsidR="00153E07" w:rsidRPr="00153E07" w:rsidTr="00FD0291">
        <w:trPr>
          <w:trHeight w:val="300"/>
        </w:trPr>
        <w:tc>
          <w:tcPr>
            <w:tcW w:w="2040"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c>
          <w:tcPr>
            <w:tcW w:w="2040" w:type="dxa"/>
            <w:vMerge/>
            <w:tcBorders>
              <w:top w:val="nil"/>
              <w:left w:val="single" w:sz="4" w:space="0" w:color="auto"/>
              <w:bottom w:val="single" w:sz="4" w:space="0" w:color="000000"/>
              <w:right w:val="single" w:sz="4" w:space="0" w:color="auto"/>
            </w:tcBorders>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p>
        </w:tc>
        <w:tc>
          <w:tcPr>
            <w:tcW w:w="2040" w:type="dxa"/>
            <w:tcBorders>
              <w:top w:val="nil"/>
              <w:left w:val="nil"/>
              <w:bottom w:val="single" w:sz="4" w:space="0" w:color="auto"/>
              <w:right w:val="single" w:sz="4" w:space="0" w:color="auto"/>
            </w:tcBorders>
            <w:shd w:val="clear" w:color="000000" w:fill="FFFFFF"/>
            <w:vAlign w:val="center"/>
            <w:hideMark/>
          </w:tcPr>
          <w:p w:rsidR="00153E07" w:rsidRPr="00E21B77" w:rsidRDefault="00153E07" w:rsidP="006D2568">
            <w:pPr>
              <w:spacing w:after="0" w:line="240" w:lineRule="auto"/>
              <w:jc w:val="both"/>
              <w:rPr>
                <w:rFonts w:ascii="Times New Roman" w:eastAsia="Times New Roman" w:hAnsi="Times New Roman" w:cs="Times New Roman"/>
                <w:sz w:val="24"/>
                <w:szCs w:val="24"/>
              </w:rPr>
            </w:pPr>
            <w:r w:rsidRPr="00E21B77">
              <w:rPr>
                <w:rFonts w:ascii="Times New Roman" w:eastAsia="Times New Roman" w:hAnsi="Times New Roman" w:cs="Times New Roman"/>
                <w:sz w:val="24"/>
                <w:szCs w:val="24"/>
              </w:rPr>
              <w:t>ФФОМС + 5,1%</w:t>
            </w:r>
          </w:p>
        </w:tc>
        <w:tc>
          <w:tcPr>
            <w:tcW w:w="3911" w:type="dxa"/>
            <w:vMerge/>
            <w:tcBorders>
              <w:top w:val="nil"/>
              <w:left w:val="single" w:sz="4" w:space="0" w:color="auto"/>
              <w:bottom w:val="single" w:sz="4" w:space="0" w:color="auto"/>
              <w:right w:val="single" w:sz="4" w:space="0" w:color="auto"/>
            </w:tcBorders>
            <w:vAlign w:val="center"/>
            <w:hideMark/>
          </w:tcPr>
          <w:p w:rsidR="00153E07" w:rsidRPr="00153E07" w:rsidRDefault="00153E07" w:rsidP="006D2568">
            <w:pPr>
              <w:spacing w:after="0" w:line="240" w:lineRule="auto"/>
              <w:jc w:val="both"/>
              <w:rPr>
                <w:rFonts w:ascii="Times New Roman" w:eastAsia="Times New Roman" w:hAnsi="Times New Roman" w:cs="Times New Roman"/>
                <w:sz w:val="28"/>
                <w:szCs w:val="28"/>
              </w:rPr>
            </w:pPr>
          </w:p>
        </w:tc>
      </w:tr>
    </w:tbl>
    <w:p w:rsidR="00153E07" w:rsidRPr="00153E07" w:rsidRDefault="00153E07" w:rsidP="006D2568">
      <w:pPr>
        <w:spacing w:after="0" w:line="240" w:lineRule="auto"/>
        <w:ind w:firstLine="709"/>
        <w:jc w:val="both"/>
        <w:rPr>
          <w:rFonts w:ascii="Times New Roman" w:eastAsia="Times New Roman" w:hAnsi="Times New Roman" w:cs="Times New Roman"/>
          <w:bCs/>
          <w:sz w:val="28"/>
          <w:szCs w:val="28"/>
        </w:rPr>
      </w:pPr>
      <w:r w:rsidRPr="00153E07">
        <w:rPr>
          <w:rFonts w:ascii="Times New Roman" w:eastAsia="Times New Roman" w:hAnsi="Times New Roman" w:cs="Times New Roman"/>
          <w:bCs/>
          <w:sz w:val="28"/>
          <w:szCs w:val="28"/>
        </w:rPr>
        <w:t xml:space="preserve">Еще одним преимуществом особой экономической зоны является </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налоговый иммунитет</w:t>
      </w:r>
      <w:r w:rsidR="00DE2D0E">
        <w:rPr>
          <w:rFonts w:ascii="Times New Roman" w:eastAsia="Times New Roman" w:hAnsi="Times New Roman" w:cs="Times New Roman"/>
          <w:bCs/>
          <w:sz w:val="28"/>
          <w:szCs w:val="28"/>
        </w:rPr>
        <w:t>»</w:t>
      </w:r>
      <w:r w:rsidRPr="00153E07">
        <w:rPr>
          <w:rFonts w:ascii="Times New Roman" w:eastAsia="Times New Roman" w:hAnsi="Times New Roman" w:cs="Times New Roman"/>
          <w:bCs/>
          <w:sz w:val="28"/>
          <w:szCs w:val="28"/>
        </w:rPr>
        <w:t>. На резидентов особых экономических зон не распространяются изменения налогового законодательства, ухудшающие их положение. При этом резиденты особых экономических зон применяют ускоренную амортизацию с двойным коэффициентом.</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Стимулирующим фактором развития района выступает рост инвестиционной привлекательности и привлечение инвестиций в хозяйственную деятельность действующих субъектов малого и среднего бизнеса и открытие новых. Улучшение инвестиционной привлекательности района способствует занятости населения, росту налоговых поступлений в районный бюджет. ВБардымском муниципальном районевопросы инвестиций частично были </w:t>
      </w:r>
      <w:r w:rsidRPr="00153E07">
        <w:rPr>
          <w:rFonts w:ascii="Times New Roman" w:eastAsia="Times New Roman" w:hAnsi="Times New Roman" w:cs="Times New Roman"/>
          <w:sz w:val="28"/>
          <w:szCs w:val="28"/>
        </w:rPr>
        <w:lastRenderedPageBreak/>
        <w:t xml:space="preserve">решены с помощью самообложения граждан, решение о котором принято на референдуме граждан сельских поселений. Данный проект предполагает самообложение граждан. Согласно Федеральному закону от 06.10.2003 № 131-ФЗ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под средствами самообложения граждан понимаются разовые платежи граждан, осуществляемые для решения конкретных вопросов местного значения.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Согласно закону, в некоторых поселениях определяется проблема, для которой необходимо собрать денежные средства местных жителей, денежные средства собираются и происходит финансирование проекта. Таким образом, жители фактически сами решают вопросы тротуаров, ремонта дорог, водопроводов, уличного освещения, скважин, детских площадок и тому подобное.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Самообложение является неналоговым доходом бюджета, как некий акт добровольных пожертвований. По результатам референдумов, проведенных в Пермском крае в сельских поселениях Бардымского района, жители проголосовали за введение разового платежа в 2014 г. (в размере 100 рублей) на мероприятия по благоустройству и озеленению территорий.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районы получают дополнительную финансовую поддержку из регионального бюджета. В 2011 году эта помощь составляла один к трем, с 2014 года краевое правительство по поручению Губернатора области увеличило финансирование программы самообложения до пяти рублей на рубль.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Также в современных условиях немаловажную роль играют факторы информационных ресурсов, а также коммуникаций для полного владения информацией о текущем состоянии развития мировой и российской экономике, современных тенденциях и технологиях развития и др.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 сегодняшний день для эффективного управления экономикой в целом активно привлекаются научно-технические составляющие. Научно-технический прогресс стремится к тому, чтобы использовать человеческий и технический потенциал, экономить капитал, труд, энергию, сырье и финансы при этом извлекая выгоду. Ресурсосберегающие технологии актуальны в современном мире.</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ни один район или регион не имеет одинаковое преимущество по всем факторам. Однако, природные ресурсы, человеческий потенциал, предприятия, инновации и инвестиции главные факторы, оказывающие влияние на развитие экономики района. </w:t>
      </w:r>
    </w:p>
    <w:p w:rsidR="00E21B77" w:rsidRDefault="00E21B77" w:rsidP="006D2568">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6D2568">
      <w:pPr>
        <w:pStyle w:val="1"/>
        <w:numPr>
          <w:ilvl w:val="1"/>
          <w:numId w:val="7"/>
        </w:numPr>
        <w:spacing w:line="240" w:lineRule="auto"/>
      </w:pPr>
      <w:r w:rsidRPr="00153E07">
        <w:t>Основные итоги анализа социально-экономического развития Бардымского муниципального района с использованием метода свод-анализ</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выявления тенденций развития и проблем Бардымского муниципального района был проведен SWOT-анализ, в котором отражены сильные и слабые стороны, а также возможности и угрозы развития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результате проведенного SWOT-анализа было выявлено, что в Бардымском муниципальном районе существует потенциал для социально-экономического развития территории: наличие месторождений полезных </w:t>
      </w:r>
      <w:r w:rsidRPr="00153E07">
        <w:rPr>
          <w:rFonts w:ascii="Times New Roman" w:eastAsia="Times New Roman" w:hAnsi="Times New Roman" w:cs="Times New Roman"/>
          <w:sz w:val="28"/>
          <w:szCs w:val="28"/>
        </w:rPr>
        <w:lastRenderedPageBreak/>
        <w:t>ископаемых, природных ресурсов, земельных угодий, территорий для размещения производительных сил.</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Основными слабыми сторонами в Бардымском муниципальном районе являются недостаток компенсирующих отраслей народного хозяйства, недостаток необходимой развитой инфраструктуры и коммуникаций для размещения производительных сил, невысокий уровень внедрения передовых технологий, ухудшающаяся демографическая ситуация.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Возможностями для развития социальной и экономической сфер в Бардымском районе являются развитие основной специализации района – сельского хозяйства. Наибольший экономический эффект в данном случае будет достигнут посредством развития компенсирующих отраслей народного хозяйства, организации промышленных производств, благодаря чему район сможет выйти на внешние рынки со своей продукцией и обеспечить собственные нужды в строительстве, сельском хозяйстве и т.д. Обеспечение нужд района продукцией собственного производства позволит сократить себестоимость сырья и материалов, необходимых в строительстве, что имеет высокую актуальность в режиме интенсивной застройки. Кроме того, целесообразно рассмотреть вопрос об объединении м</w:t>
      </w:r>
      <w:r w:rsidR="00FD0291">
        <w:rPr>
          <w:rFonts w:ascii="Times New Roman" w:eastAsia="Times New Roman" w:hAnsi="Times New Roman" w:cs="Times New Roman"/>
          <w:sz w:val="28"/>
          <w:szCs w:val="28"/>
        </w:rPr>
        <w:t>алона</w:t>
      </w:r>
      <w:r w:rsidRPr="00153E07">
        <w:rPr>
          <w:rFonts w:ascii="Times New Roman" w:eastAsia="Times New Roman" w:hAnsi="Times New Roman" w:cs="Times New Roman"/>
          <w:sz w:val="28"/>
          <w:szCs w:val="28"/>
        </w:rPr>
        <w:t>селенных сельских поселений по принципу кустовой системы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Кустовые или межхозяйственные системы расселения. Культурно-бытовые связи в кустовых или межхозяйственных системах расселения охватывают всю территорию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куста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и трудовые связи при условии хорошей транспортной доступности могут выходить за пределы поселения, возглавляемого кустовым центром.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Задачами формирования опорного системообразующего каркаса расселения района являются:</w:t>
      </w:r>
    </w:p>
    <w:p w:rsidR="00FD0291"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наращивание социально-экономического потенциала местных центров, преобразование их в комплексно развитые центры и подцентры областного и районного агропромышленного объединения</w:t>
      </w:r>
      <w:r w:rsidR="00FD0291">
        <w:rPr>
          <w:rFonts w:ascii="Times New Roman" w:eastAsia="Times New Roman" w:hAnsi="Times New Roman" w:cs="Times New Roman"/>
          <w:sz w:val="28"/>
          <w:szCs w:val="28"/>
        </w:rPr>
        <w:t>;</w:t>
      </w:r>
    </w:p>
    <w:p w:rsidR="00153E07" w:rsidRPr="00153E07" w:rsidRDefault="00FD0291"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153E07" w:rsidRPr="00153E07">
        <w:rPr>
          <w:rFonts w:ascii="Times New Roman" w:eastAsia="Times New Roman" w:hAnsi="Times New Roman" w:cs="Times New Roman"/>
          <w:sz w:val="28"/>
          <w:szCs w:val="28"/>
        </w:rPr>
        <w:t xml:space="preserve"> развитие интенсивных производственно-хозяйственных, трудовых, социально-культурных и других связей местных центров с населенными пунктами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создание необходимых дорожно-транспортных предпосылок, обеспечивающих осуществление устойчивых меж</w:t>
      </w:r>
      <w:r w:rsidR="005A7C26">
        <w:rPr>
          <w:rFonts w:ascii="Times New Roman" w:eastAsia="Times New Roman" w:hAnsi="Times New Roman" w:cs="Times New Roman"/>
          <w:sz w:val="28"/>
          <w:szCs w:val="28"/>
        </w:rPr>
        <w:t xml:space="preserve">поселенческих </w:t>
      </w:r>
      <w:r w:rsidRPr="00153E07">
        <w:rPr>
          <w:rFonts w:ascii="Times New Roman" w:eastAsia="Times New Roman" w:hAnsi="Times New Roman" w:cs="Times New Roman"/>
          <w:sz w:val="28"/>
          <w:szCs w:val="28"/>
        </w:rPr>
        <w:t>сообщений.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Социальный потенциал центра системы расселения выражается комплексом объектов и учреждений социально-культурного обслуживания, предназначенного для обеспечения всего населения местной системы расселения полным набором стандартных и частично специализированных услуг эпизодического спроса.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групповой форме расселения, территория района должна быть насыщена</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социально-культурной и транспортно-инженерной инфраструктурами, а также увеличивать градообразующий и социально-культурный потенциал центра и подцентров Бардымского муниципального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настоящее время в Бардымском районе существует двухуровневая система расселения: местный (районный) и первичный уровень. Учитывая невысокую плотность населения в Бардымском муниципальном районе и большие </w:t>
      </w:r>
      <w:r w:rsidRPr="00153E07">
        <w:rPr>
          <w:rFonts w:ascii="Times New Roman" w:eastAsia="Times New Roman" w:hAnsi="Times New Roman" w:cs="Times New Roman"/>
          <w:sz w:val="28"/>
          <w:szCs w:val="28"/>
        </w:rPr>
        <w:lastRenderedPageBreak/>
        <w:t>расстояния между населенными пунктами целесообразно выделить еще один уровень – кустовой.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Формирование районной системы расселения определяется административными границами Бардымского муниципального района и объединяет в себе сельские поселения, которые ежедневно и еженедельно взаимодействуют между собой. </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составе районной системы расселения предлагается сформировать кустовые системы расселения,</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 соответствующими центрами межселенного обслуживания, основанные на перспективном зонировании территории, проектной планировочной структуре и сложившихся местных системах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Иерархическими уровнями будут выступать:</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Местный (районный центр) - село Барда, центр районной системы расселения и опорный центр всей системы расселения района.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Кустовой (районный подцентр) - село Краснояр-1;</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Кустовой (районный подцентр) - село Елпачиха;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Кустовой (районный подцентр) – село Сараши;</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5. Первичные центры – центры сельских поселений.</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Предлагаемая кустовая система расселения:</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1. Бардымский куст формируется в составе муниципального образования Бардымское сельское поселение с центром в селе Барда.</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2. Красноярский куст формируется в составе муниципальных образований Бичуринское, Тюндюковское и Красноярское сельские поселения с центром в селе Краснояр-1.</w:t>
      </w:r>
    </w:p>
    <w:p w:rsidR="00153E07" w:rsidRP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 Елпачихинский куст формируется в составе муниципальных образований Шермейское, Федорковское, Березниковское и Елпачихинское сельские поселения с центром в селе Елпачиха.</w:t>
      </w:r>
    </w:p>
    <w:p w:rsidR="00153E07" w:rsidRDefault="00153E07" w:rsidP="006D2568">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4. Сарашевский куст формируется в составе муниципальных образований Сарашевское, Печменское, Брюзлинское и Новоашапское сельские поселения с центром в селе Сараши.</w:t>
      </w:r>
    </w:p>
    <w:p w:rsidR="00FF387A" w:rsidRDefault="00FF387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таблице 3.2 представлено распределение населенных пунктов Бардымского муниципального района по кустам.</w:t>
      </w:r>
    </w:p>
    <w:p w:rsidR="00FF387A" w:rsidRDefault="00FF387A" w:rsidP="006D2568">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 3.2</w:t>
      </w:r>
    </w:p>
    <w:p w:rsidR="00FF387A" w:rsidRPr="008B24F0" w:rsidRDefault="00FF387A" w:rsidP="006D2568">
      <w:pPr>
        <w:spacing w:after="0" w:line="240" w:lineRule="auto"/>
        <w:ind w:firstLine="709"/>
        <w:jc w:val="center"/>
        <w:rPr>
          <w:rFonts w:ascii="Times New Roman" w:eastAsia="Times New Roman" w:hAnsi="Times New Roman" w:cs="Times New Roman"/>
          <w:b/>
          <w:sz w:val="28"/>
          <w:szCs w:val="28"/>
        </w:rPr>
      </w:pPr>
      <w:r w:rsidRPr="008B24F0">
        <w:rPr>
          <w:rFonts w:ascii="Times New Roman" w:eastAsia="Times New Roman" w:hAnsi="Times New Roman" w:cs="Times New Roman"/>
          <w:b/>
          <w:sz w:val="28"/>
          <w:szCs w:val="28"/>
        </w:rPr>
        <w:t>Распределение населенных пунктов Бардымского муниципального района по кустам</w:t>
      </w:r>
    </w:p>
    <w:tbl>
      <w:tblPr>
        <w:tblW w:w="5071" w:type="pct"/>
        <w:tblLayout w:type="fixed"/>
        <w:tblLook w:val="04A0"/>
      </w:tblPr>
      <w:tblGrid>
        <w:gridCol w:w="1950"/>
        <w:gridCol w:w="2274"/>
        <w:gridCol w:w="1559"/>
        <w:gridCol w:w="1557"/>
        <w:gridCol w:w="1415"/>
        <w:gridCol w:w="1526"/>
      </w:tblGrid>
      <w:tr w:rsidR="00FF387A" w:rsidRPr="007E2C94" w:rsidTr="007E2C94">
        <w:trPr>
          <w:trHeight w:val="300"/>
        </w:trPr>
        <w:tc>
          <w:tcPr>
            <w:tcW w:w="9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Куст</w:t>
            </w:r>
          </w:p>
        </w:tc>
        <w:tc>
          <w:tcPr>
            <w:tcW w:w="1106"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Населенный пункт</w:t>
            </w:r>
          </w:p>
        </w:tc>
        <w:tc>
          <w:tcPr>
            <w:tcW w:w="758"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Численность населения, чел.</w:t>
            </w:r>
          </w:p>
        </w:tc>
        <w:tc>
          <w:tcPr>
            <w:tcW w:w="757"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Численность населения по кустам, чел.</w:t>
            </w:r>
          </w:p>
        </w:tc>
        <w:tc>
          <w:tcPr>
            <w:tcW w:w="688"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Количество населенных пунктов, ед.</w:t>
            </w:r>
          </w:p>
        </w:tc>
        <w:tc>
          <w:tcPr>
            <w:tcW w:w="742" w:type="pct"/>
            <w:tcBorders>
              <w:top w:val="single" w:sz="4" w:space="0" w:color="auto"/>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Кустовая структура Бардымского МР, %</w:t>
            </w: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Бардымский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Мостовая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392</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10</w:t>
            </w:r>
            <w:r w:rsidR="008B24F0">
              <w:rPr>
                <w:rFonts w:ascii="Times New Roman" w:eastAsia="Times New Roman" w:hAnsi="Times New Roman" w:cs="Times New Roman"/>
                <w:color w:val="000000"/>
              </w:rPr>
              <w:t>2</w:t>
            </w:r>
            <w:r w:rsidR="00321DFC">
              <w:rPr>
                <w:rFonts w:ascii="Times New Roman" w:eastAsia="Times New Roman" w:hAnsi="Times New Roman" w:cs="Times New Roman"/>
                <w:color w:val="000000"/>
              </w:rPr>
              <w:t>67</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37,0</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Старый Чад</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Чалково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8B24F0">
              <w:rPr>
                <w:rFonts w:ascii="Times New Roman" w:eastAsia="Times New Roman" w:hAnsi="Times New Roman" w:cs="Times New Roman"/>
                <w:color w:val="000000"/>
              </w:rPr>
              <w:t>23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Барда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9</w:t>
            </w:r>
            <w:r w:rsidR="008B24F0">
              <w:rPr>
                <w:rFonts w:ascii="Times New Roman" w:eastAsia="Times New Roman" w:hAnsi="Times New Roman" w:cs="Times New Roman"/>
                <w:color w:val="000000"/>
              </w:rPr>
              <w:t>5</w:t>
            </w:r>
            <w:r w:rsidR="00596AAE">
              <w:rPr>
                <w:rFonts w:ascii="Times New Roman" w:eastAsia="Times New Roman" w:hAnsi="Times New Roman" w:cs="Times New Roman"/>
                <w:color w:val="000000"/>
              </w:rPr>
              <w:t>73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FF387A">
              <w:rPr>
                <w:rFonts w:ascii="Times New Roman" w:eastAsia="Times New Roman" w:hAnsi="Times New Roman" w:cs="Times New Roman"/>
                <w:color w:val="000000"/>
              </w:rPr>
              <w:t> </w:t>
            </w:r>
            <w:r w:rsidR="007E2C94" w:rsidRPr="007E2C94">
              <w:rPr>
                <w:rFonts w:ascii="Times New Roman" w:eastAsia="Times New Roman" w:hAnsi="Times New Roman" w:cs="Times New Roman"/>
                <w:b/>
                <w:color w:val="000000"/>
              </w:rPr>
              <w:t>Елпачихинский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Ишимово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398</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7E2C94"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4799</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22</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21,6</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Антуфьево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8B24F0">
              <w:rPr>
                <w:rFonts w:ascii="Times New Roman" w:eastAsia="Times New Roman" w:hAnsi="Times New Roman" w:cs="Times New Roman"/>
                <w:color w:val="000000"/>
              </w:rPr>
              <w:t>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Зайцево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8B24F0">
              <w:rPr>
                <w:rFonts w:ascii="Times New Roman" w:eastAsia="Times New Roman" w:hAnsi="Times New Roman" w:cs="Times New Roman"/>
                <w:color w:val="000000"/>
              </w:rPr>
              <w:t>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Искирь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Караул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Конюково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Кудаш</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8B24F0"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Низовское</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0671CF"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Усть-Тунтор</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Чувашаево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Шабарка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Шермеинск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Щипа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Юкшур</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п. Искирский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Акбаш</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Березники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Елпачиха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382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Куземьярово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404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Уймуж</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Федорки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661B3A">
              <w:rPr>
                <w:rFonts w:ascii="Times New Roman" w:eastAsia="Times New Roman" w:hAnsi="Times New Roman" w:cs="Times New Roman"/>
                <w:color w:val="000000"/>
              </w:rPr>
              <w:t>44</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Шермейка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Красноярский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Новая Казанка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99</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596AAE"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507</w:t>
            </w:r>
            <w:r w:rsidR="007E2C94">
              <w:rPr>
                <w:rFonts w:ascii="Times New Roman" w:eastAsia="Times New Roman" w:hAnsi="Times New Roman" w:cs="Times New Roman"/>
                <w:color w:val="000000"/>
              </w:rPr>
              <w:t>7</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13</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20,4</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Бардабашка-I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179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Бардабашка-II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Верх-Шлык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88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Новый Чад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Старый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Утяй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Учкул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Аклуши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Тюндюк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653</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Бичурино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12</w:t>
            </w:r>
            <w:r w:rsidR="00661B3A">
              <w:rPr>
                <w:rFonts w:ascii="Times New Roman" w:eastAsia="Times New Roman" w:hAnsi="Times New Roman" w:cs="Times New Roman"/>
                <w:color w:val="000000"/>
              </w:rPr>
              <w:t>85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Краснояр-I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16</w:t>
            </w:r>
            <w:r w:rsidR="00661B3A">
              <w:rPr>
                <w:rFonts w:ascii="Times New Roman" w:eastAsia="Times New Roman" w:hAnsi="Times New Roman" w:cs="Times New Roman"/>
                <w:color w:val="000000"/>
              </w:rPr>
              <w:t>01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Краснояр-II</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670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Сарашевский</w:t>
            </w: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Игатка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757"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7E2C94"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5059</w:t>
            </w:r>
          </w:p>
        </w:tc>
        <w:tc>
          <w:tcPr>
            <w:tcW w:w="68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22</w:t>
            </w:r>
          </w:p>
        </w:tc>
        <w:tc>
          <w:tcPr>
            <w:tcW w:w="74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21,0</w:t>
            </w: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Амировка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Асюл</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Батырбай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28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Верхний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6</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Зязелга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13</w:t>
            </w:r>
            <w:r w:rsidR="00661B3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Кармановка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2</w:t>
            </w:r>
            <w:r w:rsidR="00661B3A">
              <w:rPr>
                <w:rFonts w:ascii="Times New Roman" w:eastAsia="Times New Roman" w:hAnsi="Times New Roman" w:cs="Times New Roman"/>
                <w:color w:val="000000"/>
              </w:rPr>
              <w:t>30</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Нарадка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Нижняя Искильда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27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Никольск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4</w:t>
            </w:r>
            <w:r w:rsidR="00661B3A">
              <w:rPr>
                <w:rFonts w:ascii="Times New Roman" w:eastAsia="Times New Roman" w:hAnsi="Times New Roman" w:cs="Times New Roman"/>
                <w:color w:val="000000"/>
              </w:rPr>
              <w:t>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Сюзянь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297</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Талканка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 xml:space="preserve">д. Усаклы </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16</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д. Усть-Шлык</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Брюзли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Константиновка</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459</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Новый Ашап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Печмень</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418</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Сараши</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jc w:val="center"/>
              <w:rPr>
                <w:rFonts w:ascii="Times New Roman" w:eastAsia="Times New Roman" w:hAnsi="Times New Roman" w:cs="Times New Roman"/>
                <w:color w:val="000000"/>
              </w:rPr>
            </w:pPr>
            <w:r w:rsidRPr="00FF387A">
              <w:rPr>
                <w:rFonts w:ascii="Times New Roman" w:eastAsia="Times New Roman" w:hAnsi="Times New Roman" w:cs="Times New Roman"/>
                <w:color w:val="000000"/>
              </w:rPr>
              <w:t>1</w:t>
            </w:r>
            <w:r w:rsidR="00661B3A">
              <w:rPr>
                <w:rFonts w:ascii="Times New Roman" w:eastAsia="Times New Roman" w:hAnsi="Times New Roman" w:cs="Times New Roman"/>
                <w:color w:val="000000"/>
              </w:rPr>
              <w:t>455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Султанай</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342</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949"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1106" w:type="pct"/>
            <w:tcBorders>
              <w:top w:val="nil"/>
              <w:left w:val="nil"/>
              <w:bottom w:val="single" w:sz="4" w:space="0" w:color="auto"/>
              <w:right w:val="single" w:sz="4" w:space="0" w:color="auto"/>
            </w:tcBorders>
            <w:shd w:val="clear" w:color="auto" w:fill="auto"/>
            <w:noWrap/>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 Танып</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FF387A" w:rsidRDefault="00661B3A" w:rsidP="006D256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475</w:t>
            </w:r>
          </w:p>
        </w:tc>
        <w:tc>
          <w:tcPr>
            <w:tcW w:w="757"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688"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c>
          <w:tcPr>
            <w:tcW w:w="742" w:type="pct"/>
            <w:vMerge/>
            <w:tcBorders>
              <w:top w:val="nil"/>
              <w:left w:val="single" w:sz="4" w:space="0" w:color="auto"/>
              <w:bottom w:val="single" w:sz="4" w:space="0" w:color="auto"/>
              <w:right w:val="single" w:sz="4" w:space="0" w:color="auto"/>
            </w:tcBorders>
            <w:vAlign w:val="center"/>
            <w:hideMark/>
          </w:tcPr>
          <w:p w:rsidR="00FF387A" w:rsidRPr="00FF387A" w:rsidRDefault="00FF387A" w:rsidP="006D2568">
            <w:pPr>
              <w:spacing w:after="0" w:line="240" w:lineRule="auto"/>
              <w:rPr>
                <w:rFonts w:ascii="Times New Roman" w:eastAsia="Times New Roman" w:hAnsi="Times New Roman" w:cs="Times New Roman"/>
                <w:color w:val="000000"/>
              </w:rPr>
            </w:pPr>
          </w:p>
        </w:tc>
      </w:tr>
      <w:tr w:rsidR="00FF387A" w:rsidRPr="00FF387A" w:rsidTr="007E2C94">
        <w:trPr>
          <w:trHeight w:val="300"/>
        </w:trPr>
        <w:tc>
          <w:tcPr>
            <w:tcW w:w="205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Итого</w:t>
            </w:r>
          </w:p>
        </w:tc>
        <w:tc>
          <w:tcPr>
            <w:tcW w:w="758" w:type="pct"/>
            <w:tcBorders>
              <w:top w:val="nil"/>
              <w:left w:val="nil"/>
              <w:bottom w:val="single" w:sz="4" w:space="0" w:color="auto"/>
              <w:right w:val="single" w:sz="4" w:space="0" w:color="auto"/>
            </w:tcBorders>
            <w:shd w:val="clear" w:color="auto" w:fill="auto"/>
            <w:noWrap/>
            <w:vAlign w:val="center"/>
            <w:hideMark/>
          </w:tcPr>
          <w:p w:rsidR="00FF387A" w:rsidRPr="007E2C94" w:rsidRDefault="007E2C94"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25 202</w:t>
            </w:r>
          </w:p>
        </w:tc>
        <w:tc>
          <w:tcPr>
            <w:tcW w:w="757"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2</w:t>
            </w:r>
            <w:r w:rsidR="00321DFC">
              <w:rPr>
                <w:rFonts w:ascii="Times New Roman" w:eastAsia="Times New Roman" w:hAnsi="Times New Roman" w:cs="Times New Roman"/>
                <w:b/>
                <w:color w:val="000000"/>
              </w:rPr>
              <w:t>5 202</w:t>
            </w:r>
            <w:r w:rsidR="007E2C94">
              <w:rPr>
                <w:rFonts w:ascii="Times New Roman" w:eastAsia="Times New Roman" w:hAnsi="Times New Roman" w:cs="Times New Roman"/>
                <w:b/>
                <w:color w:val="000000"/>
              </w:rPr>
              <w:t xml:space="preserve"> </w:t>
            </w:r>
          </w:p>
        </w:tc>
        <w:tc>
          <w:tcPr>
            <w:tcW w:w="688"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61</w:t>
            </w:r>
          </w:p>
        </w:tc>
        <w:tc>
          <w:tcPr>
            <w:tcW w:w="742" w:type="pct"/>
            <w:tcBorders>
              <w:top w:val="nil"/>
              <w:left w:val="nil"/>
              <w:bottom w:val="single" w:sz="4" w:space="0" w:color="auto"/>
              <w:right w:val="single" w:sz="4" w:space="0" w:color="auto"/>
            </w:tcBorders>
            <w:shd w:val="clear" w:color="auto" w:fill="auto"/>
            <w:noWrap/>
            <w:vAlign w:val="center"/>
            <w:hideMark/>
          </w:tcPr>
          <w:p w:rsidR="00FF387A" w:rsidRPr="007E2C94" w:rsidRDefault="00FF387A" w:rsidP="006D2568">
            <w:pPr>
              <w:spacing w:after="0" w:line="240" w:lineRule="auto"/>
              <w:jc w:val="center"/>
              <w:rPr>
                <w:rFonts w:ascii="Times New Roman" w:eastAsia="Times New Roman" w:hAnsi="Times New Roman" w:cs="Times New Roman"/>
                <w:b/>
                <w:color w:val="000000"/>
              </w:rPr>
            </w:pPr>
            <w:r w:rsidRPr="007E2C94">
              <w:rPr>
                <w:rFonts w:ascii="Times New Roman" w:eastAsia="Times New Roman" w:hAnsi="Times New Roman" w:cs="Times New Roman"/>
                <w:b/>
                <w:color w:val="000000"/>
              </w:rPr>
              <w:t>100</w:t>
            </w:r>
          </w:p>
        </w:tc>
      </w:tr>
    </w:tbl>
    <w:p w:rsidR="00FF387A" w:rsidRDefault="00FF387A" w:rsidP="006D2568">
      <w:pPr>
        <w:spacing w:after="0" w:line="240" w:lineRule="auto"/>
        <w:ind w:firstLine="709"/>
        <w:jc w:val="both"/>
        <w:rPr>
          <w:rFonts w:ascii="Times New Roman" w:eastAsia="Times New Roman" w:hAnsi="Times New Roman" w:cs="Times New Roman"/>
          <w:sz w:val="28"/>
          <w:szCs w:val="28"/>
        </w:rPr>
      </w:pPr>
    </w:p>
    <w:p w:rsidR="00FF387A" w:rsidRDefault="00FF387A" w:rsidP="006D2568">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Благодаря объединению сельских поселений в кустовую систему расселения у Бардымского муниципального района появится возможность упразднить некоторые административные должности, что позволит сократить административные расходы. Экономия затрат приведена в таблице 3.3.</w:t>
      </w:r>
    </w:p>
    <w:p w:rsidR="00FF387A" w:rsidRDefault="00FF387A">
      <w:pPr>
        <w:rPr>
          <w:rFonts w:ascii="Times New Roman" w:eastAsia="Times New Roman" w:hAnsi="Times New Roman" w:cs="Times New Roman"/>
          <w:sz w:val="28"/>
          <w:szCs w:val="28"/>
        </w:rPr>
      </w:pPr>
    </w:p>
    <w:p w:rsidR="001D3C25" w:rsidRDefault="001D3C25" w:rsidP="00FF387A">
      <w:pPr>
        <w:spacing w:after="0"/>
        <w:ind w:firstLine="709"/>
        <w:jc w:val="right"/>
        <w:rPr>
          <w:rFonts w:ascii="Times New Roman" w:eastAsia="Times New Roman" w:hAnsi="Times New Roman" w:cs="Times New Roman"/>
          <w:sz w:val="28"/>
          <w:szCs w:val="28"/>
        </w:rPr>
        <w:sectPr w:rsidR="001D3C25" w:rsidSect="00E3313E">
          <w:footerReference w:type="default" r:id="rId94"/>
          <w:pgSz w:w="11906" w:h="16838"/>
          <w:pgMar w:top="851" w:right="567" w:bottom="851" w:left="1418" w:header="709" w:footer="709" w:gutter="0"/>
          <w:cols w:space="708"/>
          <w:docGrid w:linePitch="360"/>
        </w:sectPr>
      </w:pPr>
    </w:p>
    <w:p w:rsidR="00FF387A" w:rsidRDefault="00FF387A" w:rsidP="00FF387A">
      <w:pPr>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3.3</w:t>
      </w:r>
    </w:p>
    <w:p w:rsidR="002E0664" w:rsidRPr="006E5D55" w:rsidRDefault="002E0664" w:rsidP="002E0664">
      <w:pPr>
        <w:spacing w:after="0"/>
        <w:ind w:firstLine="709"/>
        <w:jc w:val="center"/>
        <w:rPr>
          <w:rFonts w:ascii="Times New Roman" w:eastAsia="Times New Roman" w:hAnsi="Times New Roman" w:cs="Times New Roman"/>
          <w:b/>
          <w:sz w:val="28"/>
          <w:szCs w:val="28"/>
        </w:rPr>
      </w:pPr>
      <w:r w:rsidRPr="006E5D55">
        <w:rPr>
          <w:rFonts w:ascii="Times New Roman" w:eastAsia="Times New Roman" w:hAnsi="Times New Roman" w:cs="Times New Roman"/>
          <w:b/>
          <w:sz w:val="28"/>
          <w:szCs w:val="28"/>
        </w:rPr>
        <w:t>Возможная экономия затрат в Бардымском муниципальном районе при изменении системы расселения</w:t>
      </w:r>
    </w:p>
    <w:p w:rsidR="002E0664" w:rsidRPr="002E0664" w:rsidRDefault="002E0664" w:rsidP="002E0664">
      <w:pPr>
        <w:spacing w:after="0"/>
        <w:ind w:firstLine="709"/>
        <w:jc w:val="right"/>
        <w:rPr>
          <w:rFonts w:ascii="Times New Roman" w:eastAsia="Times New Roman" w:hAnsi="Times New Roman" w:cs="Times New Roman"/>
          <w:sz w:val="24"/>
          <w:szCs w:val="28"/>
        </w:rPr>
      </w:pPr>
      <w:r w:rsidRPr="002E0664">
        <w:rPr>
          <w:rFonts w:ascii="Times New Roman" w:eastAsia="Times New Roman" w:hAnsi="Times New Roman" w:cs="Times New Roman"/>
          <w:sz w:val="24"/>
          <w:szCs w:val="28"/>
        </w:rPr>
        <w:t>(тыс.руб.)</w:t>
      </w:r>
    </w:p>
    <w:tbl>
      <w:tblPr>
        <w:tblW w:w="5000" w:type="pct"/>
        <w:tblLayout w:type="fixed"/>
        <w:tblLook w:val="04A0"/>
      </w:tblPr>
      <w:tblGrid>
        <w:gridCol w:w="1526"/>
        <w:gridCol w:w="1133"/>
        <w:gridCol w:w="1136"/>
        <w:gridCol w:w="992"/>
        <w:gridCol w:w="1274"/>
        <w:gridCol w:w="1277"/>
        <w:gridCol w:w="992"/>
        <w:gridCol w:w="1277"/>
        <w:gridCol w:w="992"/>
        <w:gridCol w:w="1133"/>
        <w:gridCol w:w="1277"/>
        <w:gridCol w:w="1133"/>
        <w:gridCol w:w="1210"/>
      </w:tblGrid>
      <w:tr w:rsidR="002E0664" w:rsidRPr="00FF387A" w:rsidTr="002E0664">
        <w:trPr>
          <w:trHeight w:val="300"/>
        </w:trPr>
        <w:tc>
          <w:tcPr>
            <w:tcW w:w="4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Поселения</w:t>
            </w:r>
          </w:p>
        </w:tc>
        <w:tc>
          <w:tcPr>
            <w:tcW w:w="3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Доходы</w:t>
            </w:r>
          </w:p>
        </w:tc>
        <w:tc>
          <w:tcPr>
            <w:tcW w:w="1847" w:type="pct"/>
            <w:gridSpan w:val="5"/>
            <w:tcBorders>
              <w:top w:val="single" w:sz="4" w:space="0" w:color="auto"/>
              <w:left w:val="nil"/>
              <w:bottom w:val="single" w:sz="4" w:space="0" w:color="auto"/>
              <w:right w:val="single" w:sz="4" w:space="0" w:color="auto"/>
            </w:tcBorders>
            <w:shd w:val="clear" w:color="auto" w:fill="auto"/>
            <w:noWrap/>
            <w:vAlign w:val="bottom"/>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Расходы до</w:t>
            </w:r>
          </w:p>
        </w:tc>
        <w:tc>
          <w:tcPr>
            <w:tcW w:w="1893" w:type="pct"/>
            <w:gridSpan w:val="5"/>
            <w:tcBorders>
              <w:top w:val="single" w:sz="4" w:space="0" w:color="auto"/>
              <w:left w:val="nil"/>
              <w:bottom w:val="single" w:sz="4" w:space="0" w:color="auto"/>
              <w:right w:val="single" w:sz="4" w:space="0" w:color="auto"/>
            </w:tcBorders>
            <w:shd w:val="clear" w:color="auto" w:fill="auto"/>
            <w:noWrap/>
            <w:vAlign w:val="bottom"/>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Расходы после</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rPr>
            </w:pPr>
            <w:r w:rsidRPr="00F553E8">
              <w:rPr>
                <w:rFonts w:ascii="Times New Roman" w:eastAsia="Times New Roman" w:hAnsi="Times New Roman" w:cs="Times New Roman"/>
                <w:b/>
                <w:color w:val="000000"/>
                <w:sz w:val="20"/>
              </w:rPr>
              <w:t>Экономия</w:t>
            </w:r>
          </w:p>
        </w:tc>
      </w:tr>
      <w:tr w:rsidR="002E0664" w:rsidRPr="00FF387A" w:rsidTr="00E21B77">
        <w:trPr>
          <w:trHeight w:val="599"/>
        </w:trPr>
        <w:tc>
          <w:tcPr>
            <w:tcW w:w="497" w:type="pct"/>
            <w:vMerge/>
            <w:tcBorders>
              <w:top w:val="single" w:sz="4" w:space="0" w:color="auto"/>
              <w:left w:val="single" w:sz="4" w:space="0" w:color="auto"/>
              <w:bottom w:val="single" w:sz="4" w:space="0" w:color="auto"/>
              <w:right w:val="single" w:sz="4" w:space="0" w:color="auto"/>
            </w:tcBorders>
            <w:vAlign w:val="center"/>
            <w:hideMark/>
          </w:tcPr>
          <w:p w:rsidR="002E0664" w:rsidRPr="00F553E8" w:rsidRDefault="002E0664" w:rsidP="002E0664">
            <w:pPr>
              <w:spacing w:after="0" w:line="240" w:lineRule="auto"/>
              <w:rPr>
                <w:rFonts w:ascii="Times New Roman" w:eastAsia="Times New Roman" w:hAnsi="Times New Roman" w:cs="Times New Roman"/>
                <w:color w:val="000000"/>
                <w:sz w:val="20"/>
                <w:szCs w:val="20"/>
              </w:rPr>
            </w:pPr>
          </w:p>
        </w:tc>
        <w:tc>
          <w:tcPr>
            <w:tcW w:w="369" w:type="pct"/>
            <w:vMerge/>
            <w:tcBorders>
              <w:top w:val="single" w:sz="4" w:space="0" w:color="auto"/>
              <w:left w:val="single" w:sz="4" w:space="0" w:color="auto"/>
              <w:bottom w:val="single" w:sz="4" w:space="0" w:color="auto"/>
              <w:right w:val="single" w:sz="4" w:space="0" w:color="auto"/>
            </w:tcBorders>
            <w:vAlign w:val="center"/>
            <w:hideMark/>
          </w:tcPr>
          <w:p w:rsidR="002E0664" w:rsidRPr="00F553E8" w:rsidRDefault="002E0664" w:rsidP="002E0664">
            <w:pPr>
              <w:spacing w:after="0" w:line="240" w:lineRule="auto"/>
              <w:rPr>
                <w:rFonts w:ascii="Times New Roman" w:eastAsia="Times New Roman" w:hAnsi="Times New Roman" w:cs="Times New Roman"/>
                <w:color w:val="000000"/>
                <w:sz w:val="20"/>
                <w:szCs w:val="20"/>
              </w:rPr>
            </w:pPr>
          </w:p>
        </w:tc>
        <w:tc>
          <w:tcPr>
            <w:tcW w:w="370"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всего, в т.ч.:</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ФОТ</w:t>
            </w:r>
          </w:p>
        </w:tc>
        <w:tc>
          <w:tcPr>
            <w:tcW w:w="415"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комм. усл.</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благоустр, содерж. дорог</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прочие</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всего, в т.ч.:</w:t>
            </w:r>
          </w:p>
        </w:tc>
        <w:tc>
          <w:tcPr>
            <w:tcW w:w="323"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ФОТ</w:t>
            </w:r>
          </w:p>
        </w:tc>
        <w:tc>
          <w:tcPr>
            <w:tcW w:w="369"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комм. усл.</w:t>
            </w:r>
          </w:p>
        </w:tc>
        <w:tc>
          <w:tcPr>
            <w:tcW w:w="416"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благоустр, содерж. дорог</w:t>
            </w:r>
          </w:p>
        </w:tc>
        <w:tc>
          <w:tcPr>
            <w:tcW w:w="369" w:type="pct"/>
            <w:tcBorders>
              <w:top w:val="nil"/>
              <w:left w:val="nil"/>
              <w:bottom w:val="single" w:sz="4" w:space="0" w:color="auto"/>
              <w:right w:val="single" w:sz="4" w:space="0" w:color="auto"/>
            </w:tcBorders>
            <w:shd w:val="clear" w:color="auto" w:fill="auto"/>
            <w:vAlign w:val="center"/>
            <w:hideMark/>
          </w:tcPr>
          <w:p w:rsidR="002E0664" w:rsidRPr="00F553E8" w:rsidRDefault="002E0664" w:rsidP="002E0664">
            <w:pPr>
              <w:spacing w:after="0" w:line="240" w:lineRule="auto"/>
              <w:jc w:val="center"/>
              <w:rPr>
                <w:rFonts w:ascii="Times New Roman" w:eastAsia="Times New Roman" w:hAnsi="Times New Roman" w:cs="Times New Roman"/>
                <w:b/>
                <w:color w:val="000000"/>
                <w:sz w:val="20"/>
                <w:szCs w:val="20"/>
              </w:rPr>
            </w:pPr>
            <w:r w:rsidRPr="00F553E8">
              <w:rPr>
                <w:rFonts w:ascii="Times New Roman" w:eastAsia="Times New Roman" w:hAnsi="Times New Roman" w:cs="Times New Roman"/>
                <w:b/>
                <w:color w:val="000000"/>
                <w:sz w:val="20"/>
                <w:szCs w:val="20"/>
              </w:rPr>
              <w:t>прочие</w:t>
            </w: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2E0664" w:rsidRPr="00FF387A" w:rsidRDefault="002E0664" w:rsidP="002E0664">
            <w:pPr>
              <w:spacing w:after="0" w:line="240" w:lineRule="auto"/>
              <w:rPr>
                <w:rFonts w:ascii="Times New Roman" w:eastAsia="Times New Roman" w:hAnsi="Times New Roman" w:cs="Times New Roman"/>
                <w:color w:val="000000"/>
              </w:rPr>
            </w:pP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Красноярский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Краснояр</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8235,8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10151,4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4764,8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3742,4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1128,2</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10151,4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4764,8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3742,4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1128,2</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Тюндюк</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7661,2</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8355,1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5667,7</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698,4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1251,4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737,6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6840,2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4343,8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698,4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1251,4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546,6</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1514,9</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Бичурино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7497,4</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8201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4622</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467,9</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2278,3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832,8</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6357,5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3115,9</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467,9</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2278,3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495,4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1843,5</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23394,4</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26707,5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15054,5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1682,3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7272,1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2698,6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23349,1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12224,5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1682,3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7272,1</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2170,2</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3358,4</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Сарашевский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Сараши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9233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9472,3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7309,8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851,1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1164,4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9472,3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7309,8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851,1</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1164,4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Нов</w:t>
            </w:r>
            <w:r>
              <w:rPr>
                <w:rFonts w:ascii="Times New Roman" w:eastAsia="Times New Roman" w:hAnsi="Times New Roman" w:cs="Times New Roman"/>
                <w:color w:val="000000"/>
              </w:rPr>
              <w:t>ый А</w:t>
            </w:r>
            <w:r w:rsidRPr="00FF387A">
              <w:rPr>
                <w:rFonts w:ascii="Times New Roman" w:eastAsia="Times New Roman" w:hAnsi="Times New Roman" w:cs="Times New Roman"/>
                <w:color w:val="000000"/>
              </w:rPr>
              <w:t>шап</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4161</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4374,9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2587,6</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540,1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328,5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918,7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3585,3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2057,4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328,5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762,4</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789,6</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Печмень</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8274,6</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9386,8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2991,5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2897,8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3427,5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7436,8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1514,2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2897,8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2954,8</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1950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Брюзли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4131,6</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4523,4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3210,9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288,5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660,3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363,7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3380,4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2163,6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288,5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660,3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268</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1143</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25800,2</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27757,4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16099,8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1045,6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4737,7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5874,3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23874,8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13045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942,5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4737,7</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5149,6</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3882,6</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Елпачихинский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Елпачиха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8477,8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8842,8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5125</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1692,3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1285,5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8842,8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5125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740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1692,3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1285,5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Березники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8396,8</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8948,2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5744,3</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1736,8</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1083,1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7317,95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4353,4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1736,8</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843,75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1630,25</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Федорки</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6103,1</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6207,9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4257,8</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600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505,4</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844,7</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5744,9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3824,6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600</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505,4</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814,9</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463</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rPr>
                <w:rFonts w:ascii="Times New Roman" w:eastAsia="Times New Roman" w:hAnsi="Times New Roman" w:cs="Times New Roman"/>
                <w:color w:val="000000"/>
              </w:rPr>
            </w:pPr>
            <w:r w:rsidRPr="00FF387A">
              <w:rPr>
                <w:rFonts w:ascii="Times New Roman" w:eastAsia="Times New Roman" w:hAnsi="Times New Roman" w:cs="Times New Roman"/>
                <w:color w:val="000000"/>
              </w:rPr>
              <w:t>Шермейка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4497,3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4673,2</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2439,9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763,5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875,5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594,3</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3964,3</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1825,2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763,5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875,5</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500,1</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FF387A" w:rsidRDefault="002E0664" w:rsidP="002E0664">
            <w:pPr>
              <w:spacing w:after="0" w:line="240" w:lineRule="auto"/>
              <w:jc w:val="right"/>
              <w:rPr>
                <w:rFonts w:ascii="Times New Roman" w:eastAsia="Times New Roman" w:hAnsi="Times New Roman" w:cs="Times New Roman"/>
                <w:color w:val="000000"/>
              </w:rPr>
            </w:pPr>
            <w:r w:rsidRPr="00FF387A">
              <w:rPr>
                <w:rFonts w:ascii="Times New Roman" w:eastAsia="Times New Roman" w:hAnsi="Times New Roman" w:cs="Times New Roman"/>
                <w:color w:val="000000"/>
              </w:rPr>
              <w:t>708,9</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Итого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27475</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28672,1</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17567</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2487,5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4810</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3807,6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25869,95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15128,2</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2487,5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4810</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3444,25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2802,15</w:t>
            </w:r>
          </w:p>
        </w:tc>
      </w:tr>
      <w:tr w:rsidR="002E0664" w:rsidRPr="00FF387A" w:rsidTr="002E0664">
        <w:trPr>
          <w:trHeight w:val="300"/>
        </w:trPr>
        <w:tc>
          <w:tcPr>
            <w:tcW w:w="5000" w:type="pct"/>
            <w:gridSpan w:val="13"/>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Бардымский куст</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Барда</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31382,3</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35982,7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6289,6</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207,1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14361,9</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15124,1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35982,7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6289,6</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207,1</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14361,9</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15124,1</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0</w:t>
            </w:r>
          </w:p>
        </w:tc>
      </w:tr>
      <w:tr w:rsidR="002E0664" w:rsidRPr="00FF387A" w:rsidTr="002E0664">
        <w:trPr>
          <w:trHeight w:val="300"/>
        </w:trPr>
        <w:tc>
          <w:tcPr>
            <w:tcW w:w="497" w:type="pct"/>
            <w:tcBorders>
              <w:top w:val="nil"/>
              <w:left w:val="single" w:sz="4" w:space="0" w:color="auto"/>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Всего</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108051,9</w:t>
            </w:r>
          </w:p>
        </w:tc>
        <w:tc>
          <w:tcPr>
            <w:tcW w:w="370"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119119,7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55010,9</w:t>
            </w:r>
          </w:p>
        </w:tc>
        <w:tc>
          <w:tcPr>
            <w:tcW w:w="415"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5422,5</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31181,7</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27504,6</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109076,55</w:t>
            </w:r>
          </w:p>
        </w:tc>
        <w:tc>
          <w:tcPr>
            <w:tcW w:w="323"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46687,3</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5319,4</w:t>
            </w:r>
          </w:p>
        </w:tc>
        <w:tc>
          <w:tcPr>
            <w:tcW w:w="416"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31181,7</w:t>
            </w:r>
          </w:p>
        </w:tc>
        <w:tc>
          <w:tcPr>
            <w:tcW w:w="369"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25888,15</w:t>
            </w:r>
          </w:p>
        </w:tc>
        <w:tc>
          <w:tcPr>
            <w:tcW w:w="394" w:type="pct"/>
            <w:tcBorders>
              <w:top w:val="nil"/>
              <w:left w:val="nil"/>
              <w:bottom w:val="single" w:sz="4" w:space="0" w:color="auto"/>
              <w:right w:val="single" w:sz="4" w:space="0" w:color="auto"/>
            </w:tcBorders>
            <w:shd w:val="clear" w:color="auto" w:fill="auto"/>
            <w:noWrap/>
            <w:vAlign w:val="bottom"/>
            <w:hideMark/>
          </w:tcPr>
          <w:p w:rsidR="002E0664" w:rsidRPr="008F37B5" w:rsidRDefault="002E0664" w:rsidP="002E0664">
            <w:pPr>
              <w:spacing w:after="0" w:line="240" w:lineRule="auto"/>
              <w:jc w:val="right"/>
              <w:rPr>
                <w:rFonts w:ascii="Times New Roman" w:eastAsia="Times New Roman" w:hAnsi="Times New Roman" w:cs="Times New Roman"/>
                <w:b/>
                <w:color w:val="000000"/>
              </w:rPr>
            </w:pPr>
            <w:r w:rsidRPr="008F37B5">
              <w:rPr>
                <w:rFonts w:ascii="Times New Roman" w:eastAsia="Times New Roman" w:hAnsi="Times New Roman" w:cs="Times New Roman"/>
                <w:b/>
                <w:color w:val="000000"/>
              </w:rPr>
              <w:t>10043,2</w:t>
            </w:r>
          </w:p>
        </w:tc>
      </w:tr>
    </w:tbl>
    <w:p w:rsidR="001D3C25" w:rsidRPr="00153E07" w:rsidRDefault="001D3C25" w:rsidP="00D527C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Таким образом, д</w:t>
      </w:r>
      <w:r w:rsidRPr="00153E07">
        <w:rPr>
          <w:rFonts w:ascii="Times New Roman" w:eastAsia="Times New Roman" w:hAnsi="Times New Roman" w:cs="Times New Roman"/>
          <w:sz w:val="28"/>
          <w:szCs w:val="28"/>
        </w:rPr>
        <w:t xml:space="preserve">анные территориальные системы должны обеспечить необходимую устойчивость </w:t>
      </w:r>
      <w:r>
        <w:rPr>
          <w:rFonts w:ascii="Times New Roman" w:eastAsia="Times New Roman" w:hAnsi="Times New Roman" w:cs="Times New Roman"/>
          <w:sz w:val="28"/>
          <w:szCs w:val="28"/>
        </w:rPr>
        <w:t xml:space="preserve">и бюджетную экономию </w:t>
      </w:r>
      <w:r w:rsidRPr="00153E07">
        <w:rPr>
          <w:rFonts w:ascii="Times New Roman" w:eastAsia="Times New Roman" w:hAnsi="Times New Roman" w:cs="Times New Roman"/>
          <w:sz w:val="28"/>
          <w:szCs w:val="28"/>
        </w:rPr>
        <w:t>целостному каркасу расселения Бардымского района.</w:t>
      </w:r>
    </w:p>
    <w:p w:rsidR="00E21B77" w:rsidRDefault="00E21B77" w:rsidP="00D527CE">
      <w:pPr>
        <w:spacing w:after="0" w:line="240" w:lineRule="auto"/>
        <w:ind w:firstLine="709"/>
        <w:jc w:val="both"/>
        <w:rPr>
          <w:rFonts w:ascii="Times New Roman" w:eastAsia="Times New Roman" w:hAnsi="Times New Roman" w:cs="Times New Roman"/>
          <w:sz w:val="28"/>
          <w:szCs w:val="28"/>
        </w:rPr>
      </w:pPr>
    </w:p>
    <w:p w:rsidR="00E21B77" w:rsidRDefault="00E21B77" w:rsidP="00D527CE">
      <w:pPr>
        <w:spacing w:after="0" w:line="240" w:lineRule="auto"/>
        <w:ind w:firstLine="709"/>
        <w:jc w:val="both"/>
        <w:rPr>
          <w:rFonts w:ascii="Times New Roman" w:eastAsia="Times New Roman" w:hAnsi="Times New Roman" w:cs="Times New Roman"/>
          <w:sz w:val="28"/>
          <w:szCs w:val="28"/>
        </w:rPr>
      </w:pPr>
    </w:p>
    <w:p w:rsidR="001D3C25" w:rsidRPr="00153E07" w:rsidRDefault="001D3C25"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SWOT-анализ социально-экономического развития Бардымского муниципального района представлен в таблице 3.</w:t>
      </w:r>
      <w:r>
        <w:rPr>
          <w:rFonts w:ascii="Times New Roman" w:eastAsia="Times New Roman" w:hAnsi="Times New Roman" w:cs="Times New Roman"/>
          <w:sz w:val="28"/>
          <w:szCs w:val="28"/>
        </w:rPr>
        <w:t>4</w:t>
      </w:r>
      <w:r w:rsidRPr="00153E07">
        <w:rPr>
          <w:rFonts w:ascii="Times New Roman" w:eastAsia="Times New Roman" w:hAnsi="Times New Roman" w:cs="Times New Roman"/>
          <w:sz w:val="28"/>
          <w:szCs w:val="28"/>
        </w:rPr>
        <w:t xml:space="preserve">. </w:t>
      </w:r>
    </w:p>
    <w:p w:rsidR="00153E07" w:rsidRPr="00153E07" w:rsidRDefault="001D3C25" w:rsidP="00D527CE">
      <w:pPr>
        <w:spacing w:line="240" w:lineRule="auto"/>
        <w:jc w:val="right"/>
        <w:rPr>
          <w:rFonts w:ascii="Times New Roman" w:hAnsi="Times New Roman" w:cs="Times New Roman"/>
          <w:sz w:val="28"/>
          <w:szCs w:val="28"/>
        </w:rPr>
      </w:pPr>
      <w:r>
        <w:rPr>
          <w:rFonts w:ascii="Times New Roman" w:hAnsi="Times New Roman" w:cs="Times New Roman"/>
          <w:sz w:val="28"/>
          <w:szCs w:val="28"/>
        </w:rPr>
        <w:t>Таблица 3.4</w:t>
      </w:r>
    </w:p>
    <w:p w:rsidR="00153E07" w:rsidRPr="005A7C26" w:rsidRDefault="00153E07" w:rsidP="00D527CE">
      <w:pPr>
        <w:spacing w:line="240" w:lineRule="auto"/>
        <w:jc w:val="center"/>
        <w:rPr>
          <w:rFonts w:ascii="Times New Roman" w:hAnsi="Times New Roman" w:cs="Times New Roman"/>
          <w:b/>
          <w:sz w:val="28"/>
          <w:szCs w:val="28"/>
        </w:rPr>
      </w:pPr>
      <w:r w:rsidRPr="005A7C26">
        <w:rPr>
          <w:rFonts w:ascii="Times New Roman" w:hAnsi="Times New Roman" w:cs="Times New Roman"/>
          <w:b/>
          <w:sz w:val="28"/>
          <w:szCs w:val="28"/>
          <w:lang w:val="en-US"/>
        </w:rPr>
        <w:t>SWOT</w:t>
      </w:r>
      <w:r w:rsidRPr="005A7C26">
        <w:rPr>
          <w:rFonts w:ascii="Times New Roman" w:hAnsi="Times New Roman" w:cs="Times New Roman"/>
          <w:b/>
          <w:sz w:val="28"/>
          <w:szCs w:val="28"/>
        </w:rPr>
        <w:t>-анализ социально-экономического развития Бардымского муниципального района</w:t>
      </w:r>
    </w:p>
    <w:tbl>
      <w:tblPr>
        <w:tblW w:w="5000" w:type="pct"/>
        <w:tblLook w:val="04A0"/>
      </w:tblPr>
      <w:tblGrid>
        <w:gridCol w:w="2646"/>
        <w:gridCol w:w="2888"/>
        <w:gridCol w:w="3278"/>
        <w:gridCol w:w="3290"/>
        <w:gridCol w:w="3250"/>
      </w:tblGrid>
      <w:tr w:rsidR="005A7C26" w:rsidRPr="005A7C26" w:rsidTr="00153E07">
        <w:trPr>
          <w:trHeight w:val="315"/>
        </w:trPr>
        <w:tc>
          <w:tcPr>
            <w:tcW w:w="772" w:type="pct"/>
            <w:tcBorders>
              <w:top w:val="single" w:sz="4" w:space="0" w:color="auto"/>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Аспект</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Сильные стороны</w:t>
            </w:r>
          </w:p>
        </w:tc>
        <w:tc>
          <w:tcPr>
            <w:tcW w:w="1090"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Слабые стороны</w:t>
            </w:r>
          </w:p>
        </w:tc>
        <w:tc>
          <w:tcPr>
            <w:tcW w:w="1094"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Возможности</w:t>
            </w:r>
          </w:p>
        </w:tc>
        <w:tc>
          <w:tcPr>
            <w:tcW w:w="1081"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b/>
                <w:bCs/>
                <w:color w:val="000000"/>
                <w:sz w:val="24"/>
                <w:szCs w:val="28"/>
              </w:rPr>
            </w:pPr>
            <w:r w:rsidRPr="005A7C26">
              <w:rPr>
                <w:rFonts w:ascii="Times New Roman" w:eastAsia="Times New Roman" w:hAnsi="Times New Roman" w:cs="Times New Roman"/>
                <w:b/>
                <w:bCs/>
                <w:color w:val="000000"/>
                <w:sz w:val="24"/>
                <w:szCs w:val="28"/>
              </w:rPr>
              <w:t>Угрозы</w:t>
            </w:r>
          </w:p>
        </w:tc>
      </w:tr>
      <w:tr w:rsidR="005A7C26" w:rsidRPr="005A7C26" w:rsidTr="00153E07">
        <w:trPr>
          <w:trHeight w:val="9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Экономико-географическое положение и природные ресурсы</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благоприятные природно-климатические условия, плодородные почвы</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железнодорожных транспортных магистралей на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краевому центру позволяет налаживать экономические и социальные связи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конкурентоспособность товаров собственного производства из-за высоких транспортных затрат;</w:t>
            </w:r>
          </w:p>
        </w:tc>
      </w:tr>
      <w:tr w:rsidR="005A7C26" w:rsidRPr="005A7C26" w:rsidTr="00153E07">
        <w:trPr>
          <w:trHeight w:val="99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наличие лесных, земельных и водных ресурсов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недостаточная протяженность дорог местного значения, труднодоступность части населенных пунктов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перспективы разработки месторождений минерально-сырьевых ресурсов</w:t>
            </w:r>
          </w:p>
        </w:tc>
        <w:tc>
          <w:tcPr>
            <w:tcW w:w="1081" w:type="pct"/>
            <w:tcBorders>
              <w:top w:val="single" w:sz="4" w:space="0" w:color="auto"/>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вымирание сельских поселений</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региональному центру и соседним регионам</w:t>
            </w:r>
          </w:p>
        </w:tc>
        <w:tc>
          <w:tcPr>
            <w:tcW w:w="1090"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w:t>
            </w:r>
            <w:r w:rsidR="005A7C26">
              <w:rPr>
                <w:rFonts w:ascii="Times New Roman" w:eastAsia="Times New Roman" w:hAnsi="Times New Roman" w:cs="Times New Roman"/>
                <w:color w:val="000000"/>
                <w:sz w:val="24"/>
                <w:szCs w:val="28"/>
              </w:rPr>
              <w:t xml:space="preserve">малонаселенность </w:t>
            </w:r>
            <w:r w:rsidRPr="005A7C26">
              <w:rPr>
                <w:rFonts w:ascii="Times New Roman" w:eastAsia="Times New Roman" w:hAnsi="Times New Roman" w:cs="Times New Roman"/>
                <w:color w:val="000000"/>
                <w:sz w:val="24"/>
                <w:szCs w:val="28"/>
              </w:rPr>
              <w:t>сельских поселений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рынков сбыта продукции собственного производства за пределы муниципального района</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автомобильных дорог регионального значения</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транспортного сообщения местного значения</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месторождений минерально-сырьевых ресурсов</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объединение </w:t>
            </w:r>
            <w:r w:rsidR="005A7C26">
              <w:rPr>
                <w:rFonts w:ascii="Times New Roman" w:eastAsia="Times New Roman" w:hAnsi="Times New Roman" w:cs="Times New Roman"/>
                <w:color w:val="000000"/>
                <w:sz w:val="24"/>
                <w:szCs w:val="28"/>
              </w:rPr>
              <w:t xml:space="preserve">малонаселенных </w:t>
            </w:r>
            <w:r w:rsidRPr="005A7C26">
              <w:rPr>
                <w:rFonts w:ascii="Times New Roman" w:eastAsia="Times New Roman" w:hAnsi="Times New Roman" w:cs="Times New Roman"/>
                <w:color w:val="000000"/>
                <w:sz w:val="24"/>
                <w:szCs w:val="28"/>
              </w:rPr>
              <w:t>сельских поселений по принципу кустовой системы расселения</w:t>
            </w:r>
          </w:p>
        </w:tc>
        <w:tc>
          <w:tcPr>
            <w:tcW w:w="1081"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5A7C26">
        <w:trPr>
          <w:trHeight w:val="418"/>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программы помощи по переезду жителей </w:t>
            </w:r>
            <w:r w:rsidR="005A7C26">
              <w:rPr>
                <w:rFonts w:ascii="Times New Roman" w:eastAsia="Times New Roman" w:hAnsi="Times New Roman" w:cs="Times New Roman"/>
                <w:color w:val="000000"/>
                <w:sz w:val="24"/>
                <w:szCs w:val="28"/>
              </w:rPr>
              <w:t xml:space="preserve">малонаселенных </w:t>
            </w:r>
            <w:r w:rsidRPr="005A7C26">
              <w:rPr>
                <w:rFonts w:ascii="Times New Roman" w:eastAsia="Times New Roman" w:hAnsi="Times New Roman" w:cs="Times New Roman"/>
                <w:color w:val="000000"/>
                <w:sz w:val="24"/>
                <w:szCs w:val="28"/>
              </w:rPr>
              <w:t>пунктов в более крупные</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сети придорожного сервиса в районе</w:t>
            </w:r>
          </w:p>
        </w:tc>
        <w:tc>
          <w:tcPr>
            <w:tcW w:w="1081"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left w:val="nil"/>
              <w:bottom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на территории района большого количества рек, природных парков, лесных массивов способствует развитию активного и экстремального туризма</w:t>
            </w:r>
          </w:p>
        </w:tc>
        <w:tc>
          <w:tcPr>
            <w:tcW w:w="1081" w:type="pct"/>
            <w:tcBorders>
              <w:left w:val="nil"/>
              <w:bottom w:val="single" w:sz="4" w:space="0" w:color="auto"/>
              <w:right w:val="single" w:sz="4" w:space="0" w:color="auto"/>
            </w:tcBorders>
            <w:shd w:val="clear" w:color="auto" w:fill="auto"/>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Население, рынок труда и уровень жизни</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малоимущих семей</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численности трудоспособного населения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новых рабочих мест посредством  развития малого бизнеса, реализации инвестиционных проектов, ведения КФХ и ЛПХ;</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демографической ситуации, отток квалифицированных специалистов из района, старение населения, естественная убыль населения</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уровня безработицы</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демографической нагрузки, старение населения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условий для закрепления молодых специалистов в сельской местности;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  производительность труда оказывает влияние в большей степени сокращение численности трудоспособного населения</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динамика роста денежных доходов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миграционный отток населения в связи с отсутствием рабочих мест</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охвата населения медицинскими услугами (диспансеризация), путем организации оборудованных мобильных пунктов медицинского обслуживания</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 сокращение уровня безработицы в большей степени</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оказывает влияние естественная убыль населения</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и в меньшей – количество вновь созданных рабочих мест</w:t>
            </w:r>
          </w:p>
        </w:tc>
      </w:tr>
      <w:tr w:rsidR="005A7C26" w:rsidRPr="005A7C26" w:rsidTr="004E2E6F">
        <w:trPr>
          <w:trHeight w:val="2544"/>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покупательной способности заработной платы по отношению к прожиточному минимуму</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заболеваемость населения онкологическими заболеваниями, заболеваниями органов дыхания</w:t>
            </w:r>
          </w:p>
        </w:tc>
        <w:tc>
          <w:tcPr>
            <w:tcW w:w="1094"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привлечение трудовых ресурсов из других населенных пунктов за счет развития транспортного сообщения и небольших расстояний между населенными пунктами.</w:t>
            </w:r>
          </w:p>
        </w:tc>
        <w:tc>
          <w:tcPr>
            <w:tcW w:w="1081"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занятости и рабочих мест ведет к распространению алкоголизма и наркомании, смертности от внешних причин, в частности, к суицидам</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прожиточного минимума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квалифицированных кадров</w:t>
            </w:r>
          </w:p>
        </w:tc>
        <w:tc>
          <w:tcPr>
            <w:tcW w:w="1094"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работы для молодежи</w:t>
            </w:r>
          </w:p>
        </w:tc>
        <w:tc>
          <w:tcPr>
            <w:tcW w:w="1094"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высокий уровень смертности населения от внешних причин</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81"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r>
      <w:tr w:rsidR="005A7C26" w:rsidRPr="005A7C26" w:rsidTr="00D527CE">
        <w:trPr>
          <w:trHeight w:val="409"/>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Сельское хозяйство, промышленность, предпринимательство и хозяйственный климат</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территорий для развития сельского хозяйства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почвы, требующие минеральных и органических удобрений, вымывание плодородных почв</w:t>
            </w:r>
          </w:p>
        </w:tc>
        <w:tc>
          <w:tcPr>
            <w:tcW w:w="1094"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кластерного подхода в развитии АПК путем организации ОЭЗ: развитие сельского хозяйства, создание собственных перерабатывающих предприятий, предприятий по производству удобрений, развитие малого бизнеса и КФХ способствует расширению рынка сбыта, сокращению затрат за счет близости сопутствующих производственных и перерабатывающих предприятий, увеличению доходов бюджета всех </w:t>
            </w:r>
            <w:r w:rsidRPr="005A7C26">
              <w:rPr>
                <w:rFonts w:ascii="Times New Roman" w:eastAsia="Times New Roman" w:hAnsi="Times New Roman" w:cs="Times New Roman"/>
                <w:color w:val="000000"/>
                <w:sz w:val="24"/>
                <w:szCs w:val="28"/>
              </w:rPr>
              <w:lastRenderedPageBreak/>
              <w:t>уровней.</w:t>
            </w:r>
          </w:p>
        </w:tc>
        <w:tc>
          <w:tcPr>
            <w:tcW w:w="1081"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lastRenderedPageBreak/>
              <w:t xml:space="preserve"> - зависимость сельскохозяйственного производства от природных факторов.</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-благоприятные природно-климатические условия;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неблагоприятные природные условия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задействование в сельском хозяйстве неиспользуемых сельскохозяйственных земель</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рентабельности производства сельскохозяйственной продукции;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стимулирующих программ развития, реализация приоритетного национального проекта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Развитие АПК</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физический и моральный износ основных фондов, инженерных коммуникаций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перерабатывающих производств и хранилищ сельскохозяйственной продукции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дотаций и иных межбюджетных трансфертов из бюджетов верхних уровней;</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развитие малого предпринимательства, КФХ и ЛПХ;</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инвесторов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стимулирование развития малых форм хозяйствования путем предоставления налоговых льгот, грантов и внедрения аутсорсинга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усиление диспаритета цен на сельскохозяйственную продукцию способствует банкротству многих предприятий.</w:t>
            </w: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обеспечение жильем и льготами молодых специалистов на селе</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сезонность</w:t>
            </w:r>
            <w:r w:rsidR="00530383">
              <w:rPr>
                <w:rFonts w:ascii="Times New Roman" w:eastAsia="Times New Roman" w:hAnsi="Times New Roman" w:cs="Times New Roman"/>
                <w:color w:val="000000"/>
                <w:sz w:val="24"/>
                <w:szCs w:val="28"/>
              </w:rPr>
              <w:t xml:space="preserve"> </w:t>
            </w:r>
            <w:r w:rsidRPr="005A7C26">
              <w:rPr>
                <w:rFonts w:ascii="Times New Roman" w:eastAsia="Times New Roman" w:hAnsi="Times New Roman" w:cs="Times New Roman"/>
                <w:color w:val="000000"/>
                <w:sz w:val="24"/>
                <w:szCs w:val="28"/>
              </w:rPr>
              <w:t>производства сельскохозяйственной продукции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снижение диспаритета цен на сельскохозяйственную продукцию путем интеграции сельскохозяйственных предприятий и перерабатывающей промышленности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инерционное поведение населения района по отношению к предпринимательству</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конкурентоспособная продукция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промышленных, перерабатывающих производств и хранилищ сельскохозяйственной продукции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производительности труда за счет развития отраслей и увеличения объемов производства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инвестиционная привлекательность района</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хороших селекционных посадочных материалов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существенный диспаритет цен на продукцию КФХ и ЛПХ</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селекционной индустрии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темпов инфляции  приведет к увеличению финансовых и производственных рисков для бизнеса</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потенциально резервных месторождений красных глин, известкового туфа, торфа, ПГС, строительного песка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низкий уровень внедрения передовых технологий</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модернизация инженерных коммуникаций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научно-технического прогресса повлечет за собой низкую конкурентоспособность, отставание от масштабов бизнеса</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свободных производственных объектов и площадей для организации производств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необходимых мощностей и коммуникаций в районе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кирпичного завода, производств строительных материалов, облицовочного камня, минеральных удобрений, гончарной продукции</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цен на энергоносители увеличит себестоимость производимой продукции</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налоговых льгот</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проработанных туристических продуктов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ориентир экономики района на развитие малых форм хозяйствования в целях развития как существующих, так и открытия новых производств;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ресурсы, закрепленные за Бардымским районом, используются соседними районами и пополняют их бюджет </w:t>
            </w:r>
          </w:p>
        </w:tc>
      </w:tr>
      <w:tr w:rsidR="005A7C26" w:rsidRPr="005A7C26" w:rsidTr="00153E07">
        <w:trPr>
          <w:trHeight w:val="24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музеев, санатория-профилактория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Колос</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 xml:space="preserve">, горнолыжного комплекса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Ашатли</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 туристических объектов показа</w:t>
            </w:r>
          </w:p>
        </w:tc>
        <w:tc>
          <w:tcPr>
            <w:tcW w:w="1090" w:type="pc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уровень самостоятельности распоряжения природными богатствами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приоритетные направления государственной политики социально-экономического развития способствуют развитию внутреннего и въездного туризма, агропромышленного комплекса, малого предпринимательства</w:t>
            </w:r>
          </w:p>
        </w:tc>
        <w:tc>
          <w:tcPr>
            <w:tcW w:w="1081" w:type="pct"/>
            <w:vMerge w:val="restart"/>
            <w:tcBorders>
              <w:top w:val="nil"/>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политика импортозамещения на государственном уровне</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выход на внешние рынки с продукцией собственного производства</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приверженность национальным традициям</w:t>
            </w:r>
          </w:p>
        </w:tc>
        <w:tc>
          <w:tcPr>
            <w:tcW w:w="1090" w:type="pct"/>
            <w:tcBorders>
              <w:top w:val="nil"/>
              <w:left w:val="single" w:sz="4" w:space="0" w:color="auto"/>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использование свободных производственных объектов и площадей для создания производственных предприятий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передача на аутсорсинг непрофилирующих в учреждениях услуг</w:t>
            </w:r>
          </w:p>
          <w:p w:rsidR="00153E07" w:rsidRPr="005A7C26" w:rsidRDefault="00153E07" w:rsidP="00D527CE">
            <w:pPr>
              <w:spacing w:after="0" w:line="240" w:lineRule="auto"/>
              <w:ind w:firstLineChars="200" w:firstLine="480"/>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инвесторов за счет введения инвестиционных льгот по налогу на прибыль организаций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применение налоговых льгот способствует росту числа предпринимателей и, как следствие, увеличению количества рабочих мест.</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использование сырья, производимого на предприятиях района позволит снизить себестоимость производства и увеличить рентабельность продукции</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13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привлечение на территорию района большого количества туристов в оздоровительных, культурно-познавательных целях даст возможность увеличить налоговые доходы бюджета.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химии органического синтеза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w:t>
            </w:r>
          </w:p>
        </w:tc>
        <w:tc>
          <w:tcPr>
            <w:tcW w:w="1094" w:type="pct"/>
            <w:tcBorders>
              <w:top w:val="nil"/>
              <w:left w:val="single" w:sz="4" w:space="0" w:color="auto"/>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проведение национальных праздников, приглашение на мероприятия гостей из Татарстана и Башкортостана позволит привлечь финансовые ресурсы в бюджет муниципального района</w:t>
            </w: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D53C12" w:rsidRDefault="00153E07" w:rsidP="00D527CE">
            <w:pPr>
              <w:spacing w:after="0" w:line="240" w:lineRule="auto"/>
              <w:jc w:val="both"/>
              <w:rPr>
                <w:rFonts w:ascii="Times New Roman" w:eastAsia="Times New Roman" w:hAnsi="Times New Roman" w:cs="Times New Roman"/>
                <w:b/>
                <w:color w:val="000000"/>
                <w:sz w:val="24"/>
                <w:szCs w:val="28"/>
              </w:rPr>
            </w:pPr>
            <w:r w:rsidRPr="00D53C12">
              <w:rPr>
                <w:rFonts w:ascii="Times New Roman" w:eastAsia="Times New Roman" w:hAnsi="Times New Roman" w:cs="Times New Roman"/>
                <w:b/>
                <w:color w:val="000000"/>
                <w:sz w:val="24"/>
                <w:szCs w:val="28"/>
              </w:rPr>
              <w:t>Финансы и инвестиции</w:t>
            </w:r>
          </w:p>
        </w:tc>
        <w:tc>
          <w:tcPr>
            <w:tcW w:w="963"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федеральных и краевых целевых программ развития</w:t>
            </w:r>
          </w:p>
        </w:tc>
        <w:tc>
          <w:tcPr>
            <w:tcW w:w="1090" w:type="pct"/>
            <w:tcBorders>
              <w:top w:val="single" w:sz="4" w:space="0" w:color="auto"/>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низкая ликвидность и финансовая неустойчивость предприятий района, высокая доля заемных средств, отрицательный финансовый результат</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рост финансовых возможностей и финансовой самостоятельности предприятий;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финансового состояния предприятий района способствует сокращению инвестиционной активности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близость к региональному центру, транзитное транспортное расположение района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инвестиций в основной капитал</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собственных доходов бюджета района;</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собственных доходов в бюджете и увеличение межбюджетных трансфертов</w:t>
            </w:r>
          </w:p>
        </w:tc>
      </w:tr>
      <w:tr w:rsidR="005A7C26" w:rsidRPr="005A7C26" w:rsidTr="00153E07">
        <w:trPr>
          <w:trHeight w:val="15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экономических связей субъектов предпринимательства с другими районами</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диверсификации отраслей народного хозяйства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инвестиций за счет существующих предпринимателей в АПК</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доли заемных средств ведет к нерациональному использованию финансовых ресурсов и высокой вероятности банкротства предприятий района</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высокая доля собственных доходов в бюджетах сельских поселений</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необходимость обновления основных фондов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диверсификации отраслей экономики района за счет привлечения инвестиций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слабое развитие социальной инфраструктуры сдерживает инвестирование и создание рабочих мест</w:t>
            </w:r>
          </w:p>
        </w:tc>
      </w:tr>
      <w:tr w:rsidR="005A7C26" w:rsidRPr="005A7C26" w:rsidTr="00F553E8">
        <w:trPr>
          <w:trHeight w:val="97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самообложение граждан</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высококвалифицированных кадров в отраслях</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активизация участия района в федеральных и региональных программах;</w:t>
            </w:r>
          </w:p>
        </w:tc>
        <w:tc>
          <w:tcPr>
            <w:tcW w:w="1081"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дифференцированного бизнес-портфеля отраслей народного хозяйства в районе ведет к невозможности формирования финансового резерва для покрытия убытков</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базы для создания агропромышленного кластера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информации для инвесторов о Бардымском районе как потенциальной инвестиционной площадке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активизация инвестиционной деятельности в результате улучшения инвестиционного климата.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8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неразвитость системы банковского и коммерческого кредитования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инвестиционных и финансовых рисков посредством активного использования экономико-географического расположения района и природных ресурсов</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57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высокая стоимость кредитных ресурсов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информационного ресурса о районе и его потенциале с целью его развития.</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крупных проектов</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слабое развитие социальной инфраструктуры</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15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F553E8" w:rsidRDefault="00153E07" w:rsidP="00D527CE">
            <w:pPr>
              <w:spacing w:after="0" w:line="240" w:lineRule="auto"/>
              <w:jc w:val="both"/>
              <w:rPr>
                <w:rFonts w:ascii="Times New Roman" w:eastAsia="Times New Roman" w:hAnsi="Times New Roman" w:cs="Times New Roman"/>
                <w:b/>
                <w:color w:val="000000"/>
                <w:sz w:val="24"/>
                <w:szCs w:val="28"/>
              </w:rPr>
            </w:pPr>
            <w:r w:rsidRPr="00F553E8">
              <w:rPr>
                <w:rFonts w:ascii="Times New Roman" w:eastAsia="Times New Roman" w:hAnsi="Times New Roman" w:cs="Times New Roman"/>
                <w:b/>
                <w:color w:val="000000"/>
                <w:sz w:val="24"/>
                <w:szCs w:val="28"/>
              </w:rPr>
              <w:t>Социальная сфера</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хороший уровень финансирования образования в рамках реализации приоритетного национального проекта </w:t>
            </w:r>
            <w:r w:rsidR="00DE2D0E">
              <w:rPr>
                <w:rFonts w:ascii="Times New Roman" w:eastAsia="Times New Roman" w:hAnsi="Times New Roman" w:cs="Times New Roman"/>
                <w:color w:val="000000"/>
                <w:sz w:val="24"/>
                <w:szCs w:val="28"/>
              </w:rPr>
              <w:t>«</w:t>
            </w:r>
            <w:r w:rsidRPr="005A7C26">
              <w:rPr>
                <w:rFonts w:ascii="Times New Roman" w:eastAsia="Times New Roman" w:hAnsi="Times New Roman" w:cs="Times New Roman"/>
                <w:color w:val="000000"/>
                <w:sz w:val="24"/>
                <w:szCs w:val="28"/>
              </w:rPr>
              <w:t>Образование</w:t>
            </w:r>
            <w:r w:rsidR="00DE2D0E">
              <w:rPr>
                <w:rFonts w:ascii="Times New Roman" w:eastAsia="Times New Roman" w:hAnsi="Times New Roman" w:cs="Times New Roman"/>
                <w:color w:val="000000"/>
                <w:sz w:val="24"/>
                <w:szCs w:val="28"/>
              </w:rPr>
              <w:t>»</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DE2D0E" w:rsidP="00D527CE">
            <w:pPr>
              <w:spacing w:after="0" w:line="240" w:lineRule="auto"/>
              <w:jc w:val="both"/>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w:t>
            </w:r>
            <w:r w:rsidR="00153E07" w:rsidRPr="005A7C26">
              <w:rPr>
                <w:rFonts w:ascii="Times New Roman" w:eastAsia="Times New Roman" w:hAnsi="Times New Roman" w:cs="Times New Roman"/>
                <w:color w:val="000000"/>
                <w:sz w:val="24"/>
                <w:szCs w:val="28"/>
              </w:rPr>
              <w:t>Старение</w:t>
            </w:r>
            <w:r>
              <w:rPr>
                <w:rFonts w:ascii="Times New Roman" w:eastAsia="Times New Roman" w:hAnsi="Times New Roman" w:cs="Times New Roman"/>
                <w:color w:val="000000"/>
                <w:sz w:val="24"/>
                <w:szCs w:val="28"/>
              </w:rPr>
              <w:t>»</w:t>
            </w:r>
            <w:r w:rsidR="00153E07" w:rsidRPr="005A7C26">
              <w:rPr>
                <w:rFonts w:ascii="Times New Roman" w:eastAsia="Times New Roman" w:hAnsi="Times New Roman" w:cs="Times New Roman"/>
                <w:color w:val="000000"/>
                <w:sz w:val="24"/>
                <w:szCs w:val="28"/>
              </w:rPr>
              <w:t xml:space="preserve"> медицинских кадров </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эстетического образования детей</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недостаточное количество детских садов в противовес избытку мест в имеющихся детских садах</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-наличие системы социальной поддержки учащихся (летний лагерь, питание и т.д.)</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недостаточный и устаревший библиотечный фонд, низкая скорость обновления</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привлечения спонсорских средств для обновления библиотечных фондов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ветхого и аварийного жилья</w:t>
            </w:r>
          </w:p>
        </w:tc>
      </w:tr>
      <w:tr w:rsidR="005A7C26" w:rsidRPr="005A7C26" w:rsidTr="004E2E6F">
        <w:trPr>
          <w:trHeight w:val="1127"/>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этническая направленность культурно-массовых мероприятий и творческих коллективов района</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газификации и необходимых коммуникаций на части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возможность развития традиционных народных промыслов в районе (декоративное творчество с уклоном на этнические традиции, гончарное ремесло)</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бюджетных средств для исполнения социальных обязательств</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обеспеченность местами в детских садах</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телефонной связи и интернета на части территории района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ввод нового жилья </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коммуникаций в районе приводит к оттоку населения</w:t>
            </w:r>
          </w:p>
        </w:tc>
      </w:tr>
      <w:tr w:rsidR="005A7C26" w:rsidRPr="005A7C26" w:rsidTr="00153E07">
        <w:trPr>
          <w:trHeight w:val="557"/>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объектов культурно-досугового типа, активное функционирование.</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культурно-досуговых учреждений, культурно-массовых мероприятий и их пропаганды в районе</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строительство спортивных объектов</w:t>
            </w:r>
          </w:p>
        </w:tc>
        <w:tc>
          <w:tcPr>
            <w:tcW w:w="1081"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возможностей для самореализации молодежи</w:t>
            </w: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развитой системы здравоохранения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районного методического центра в сфере культуры и спорта</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сокращение количества преступлений</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осуществление диспансеризации сельского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недостаточное количество спортивных комплексов и объектов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совершенствование системы образования, здравоохранения и социальной защиты населения</w:t>
            </w:r>
          </w:p>
        </w:tc>
        <w:tc>
          <w:tcPr>
            <w:tcW w:w="1081"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-осуществление диспансеризации и вакцинации сельского населения.</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недостаток кадров в образовании и здравоохранении</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создание методического центра в сфере культуры и спорта</w:t>
            </w: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большого числа семей, нуждающихся в жилье</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малый охват населения диспансеризацией</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6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детских садов в части сельских поселений</w:t>
            </w:r>
          </w:p>
        </w:tc>
        <w:tc>
          <w:tcPr>
            <w:tcW w:w="1094"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всплески преступности</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r>
      <w:tr w:rsidR="005A7C26" w:rsidRPr="005A7C26" w:rsidTr="00153E07">
        <w:trPr>
          <w:trHeight w:val="900"/>
        </w:trPr>
        <w:tc>
          <w:tcPr>
            <w:tcW w:w="772" w:type="pct"/>
            <w:vMerge w:val="restart"/>
            <w:tcBorders>
              <w:top w:val="nil"/>
              <w:left w:val="single" w:sz="4" w:space="0" w:color="auto"/>
              <w:bottom w:val="single" w:sz="4" w:space="0" w:color="auto"/>
              <w:right w:val="single" w:sz="4" w:space="0" w:color="auto"/>
            </w:tcBorders>
            <w:shd w:val="clear" w:color="auto" w:fill="auto"/>
            <w:hideMark/>
          </w:tcPr>
          <w:p w:rsidR="00153E07" w:rsidRPr="00F553E8" w:rsidRDefault="00153E07" w:rsidP="00D527CE">
            <w:pPr>
              <w:spacing w:after="0" w:line="240" w:lineRule="auto"/>
              <w:jc w:val="both"/>
              <w:rPr>
                <w:rFonts w:ascii="Times New Roman" w:eastAsia="Times New Roman" w:hAnsi="Times New Roman" w:cs="Times New Roman"/>
                <w:b/>
                <w:color w:val="000000"/>
                <w:sz w:val="24"/>
                <w:szCs w:val="28"/>
              </w:rPr>
            </w:pPr>
            <w:r w:rsidRPr="00F553E8">
              <w:rPr>
                <w:rFonts w:ascii="Times New Roman" w:eastAsia="Times New Roman" w:hAnsi="Times New Roman" w:cs="Times New Roman"/>
                <w:b/>
                <w:color w:val="000000"/>
                <w:sz w:val="24"/>
                <w:szCs w:val="28"/>
              </w:rPr>
              <w:t>Экологическая обстановка</w:t>
            </w: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большое количество лесных массивов и водных объектов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наличие на территории района сибиреязвенных скотомогильников</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увеличение финансирования мероприятий по охране окружающей среды</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рост объема грузоперевозок увеличит объем выбросов вредных веществ в атмосферу</w:t>
            </w:r>
          </w:p>
        </w:tc>
      </w:tr>
      <w:tr w:rsidR="005A7C26" w:rsidRPr="005A7C26" w:rsidTr="00153E07">
        <w:trPr>
          <w:trHeight w:val="711"/>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обеспеченность питьевой водой из подземных источников.</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негативное влияние на окружающую среду нефтегазодобывающей промышленности</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размещение в районе экологически безопасных производств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ухудшение экологической обстановки в связи с выбросами от нефтегазодобывающей промышленности</w:t>
            </w:r>
          </w:p>
        </w:tc>
      </w:tr>
      <w:tr w:rsidR="005A7C26" w:rsidRPr="005A7C26" w:rsidTr="00153E07">
        <w:trPr>
          <w:trHeight w:val="12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благоприятная экологическая обстановка</w:t>
            </w:r>
          </w:p>
        </w:tc>
        <w:tc>
          <w:tcPr>
            <w:tcW w:w="1090" w:type="pct"/>
            <w:tcBorders>
              <w:top w:val="nil"/>
              <w:left w:val="nil"/>
              <w:bottom w:val="single" w:sz="4" w:space="0" w:color="auto"/>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в районе очистных сооружений, предприятий по переработке ТБО</w:t>
            </w:r>
          </w:p>
        </w:tc>
        <w:tc>
          <w:tcPr>
            <w:tcW w:w="1094"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рациональное использование природных ресурсов.</w:t>
            </w:r>
          </w:p>
        </w:tc>
        <w:tc>
          <w:tcPr>
            <w:tcW w:w="1081"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отсутствие очистных сооружений приведет к увеличению уровня воздействия на окружающую среду при создании новых предприятий</w:t>
            </w:r>
          </w:p>
        </w:tc>
      </w:tr>
      <w:tr w:rsidR="005A7C26" w:rsidRPr="005A7C26" w:rsidTr="00153E07">
        <w:trPr>
          <w:trHeight w:val="696"/>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малое количество предприятий, осуществляющих выбросы вредных веществ в атмосферу</w:t>
            </w: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неосвоенные месторождения полезных ископаемых</w:t>
            </w:r>
          </w:p>
        </w:tc>
        <w:tc>
          <w:tcPr>
            <w:tcW w:w="1094" w:type="pct"/>
            <w:vMerge w:val="restart"/>
            <w:tcBorders>
              <w:top w:val="nil"/>
              <w:left w:val="nil"/>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проведение мероприятий по экологическому ликбезу</w:t>
            </w:r>
          </w:p>
        </w:tc>
        <w:tc>
          <w:tcPr>
            <w:tcW w:w="1081" w:type="pct"/>
            <w:tcBorders>
              <w:top w:val="nil"/>
              <w:left w:val="nil"/>
              <w:bottom w:val="single" w:sz="4" w:space="0" w:color="auto"/>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вымывание плодородных почв водой</w:t>
            </w:r>
          </w:p>
        </w:tc>
      </w:tr>
      <w:tr w:rsidR="005A7C26" w:rsidRPr="005A7C26" w:rsidTr="00153E07">
        <w:trPr>
          <w:trHeight w:val="1098"/>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экологическая неграмотность населения</w:t>
            </w:r>
          </w:p>
        </w:tc>
        <w:tc>
          <w:tcPr>
            <w:tcW w:w="1094" w:type="pct"/>
            <w:vMerge/>
            <w:tcBorders>
              <w:left w:val="nil"/>
              <w:right w:val="single" w:sz="4" w:space="0" w:color="auto"/>
            </w:tcBorders>
            <w:shd w:val="clear" w:color="auto" w:fill="auto"/>
            <w:noWrap/>
            <w:vAlign w:val="bottom"/>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p>
        </w:tc>
        <w:tc>
          <w:tcPr>
            <w:tcW w:w="1081" w:type="pct"/>
            <w:vMerge w:val="restart"/>
            <w:tcBorders>
              <w:top w:val="nil"/>
              <w:left w:val="nil"/>
              <w:right w:val="single" w:sz="4" w:space="0" w:color="auto"/>
            </w:tcBorders>
            <w:shd w:val="clear" w:color="000000" w:fill="FFFFFF"/>
            <w:hideMark/>
          </w:tcPr>
          <w:p w:rsidR="00153E07" w:rsidRPr="005A7C26" w:rsidRDefault="00153E07" w:rsidP="00D527CE">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неграмотность населения в вопросах экологии ведет к увеличению числа заболеваний и смертности </w:t>
            </w:r>
          </w:p>
        </w:tc>
      </w:tr>
      <w:tr w:rsidR="005A7C26" w:rsidRPr="005A7C26" w:rsidTr="00153E07">
        <w:trPr>
          <w:trHeight w:val="300"/>
        </w:trPr>
        <w:tc>
          <w:tcPr>
            <w:tcW w:w="772" w:type="pct"/>
            <w:vMerge/>
            <w:tcBorders>
              <w:top w:val="nil"/>
              <w:left w:val="single" w:sz="4" w:space="0" w:color="auto"/>
              <w:bottom w:val="single" w:sz="4" w:space="0" w:color="auto"/>
              <w:right w:val="single" w:sz="4" w:space="0" w:color="auto"/>
            </w:tcBorders>
            <w:vAlign w:val="center"/>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963"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1090" w:type="pct"/>
            <w:tcBorders>
              <w:top w:val="nil"/>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r w:rsidRPr="005A7C26">
              <w:rPr>
                <w:rFonts w:ascii="Times New Roman" w:eastAsia="Times New Roman" w:hAnsi="Times New Roman" w:cs="Times New Roman"/>
                <w:color w:val="000000"/>
                <w:sz w:val="24"/>
                <w:szCs w:val="28"/>
              </w:rPr>
              <w:t xml:space="preserve"> - эрозия почвы</w:t>
            </w:r>
          </w:p>
        </w:tc>
        <w:tc>
          <w:tcPr>
            <w:tcW w:w="1094"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c>
          <w:tcPr>
            <w:tcW w:w="1081" w:type="pct"/>
            <w:vMerge/>
            <w:tcBorders>
              <w:left w:val="nil"/>
              <w:bottom w:val="single" w:sz="4" w:space="0" w:color="auto"/>
              <w:right w:val="single" w:sz="4" w:space="0" w:color="auto"/>
            </w:tcBorders>
            <w:shd w:val="clear" w:color="auto" w:fill="auto"/>
            <w:hideMark/>
          </w:tcPr>
          <w:p w:rsidR="00153E07" w:rsidRPr="005A7C26" w:rsidRDefault="00153E07" w:rsidP="00153E07">
            <w:pPr>
              <w:spacing w:after="0" w:line="240" w:lineRule="auto"/>
              <w:jc w:val="both"/>
              <w:rPr>
                <w:rFonts w:ascii="Times New Roman" w:eastAsia="Times New Roman" w:hAnsi="Times New Roman" w:cs="Times New Roman"/>
                <w:color w:val="000000"/>
                <w:sz w:val="24"/>
                <w:szCs w:val="28"/>
              </w:rPr>
            </w:pPr>
          </w:p>
        </w:tc>
      </w:tr>
    </w:tbl>
    <w:p w:rsidR="00153E07" w:rsidRDefault="00153E07" w:rsidP="00153E07">
      <w:pPr>
        <w:jc w:val="both"/>
        <w:rPr>
          <w:rFonts w:ascii="Times New Roman" w:hAnsi="Times New Roman" w:cs="Times New Roman"/>
          <w:sz w:val="24"/>
          <w:szCs w:val="28"/>
        </w:rPr>
      </w:pPr>
    </w:p>
    <w:p w:rsidR="001D3C25" w:rsidRDefault="001D3C25">
      <w:pPr>
        <w:rPr>
          <w:rFonts w:ascii="Times New Roman" w:eastAsiaTheme="majorEastAsia" w:hAnsi="Times New Roman" w:cs="Times New Roman"/>
          <w:b/>
          <w:bCs/>
          <w:sz w:val="28"/>
          <w:szCs w:val="28"/>
        </w:rPr>
      </w:pPr>
      <w:r>
        <w:br w:type="page"/>
      </w:r>
    </w:p>
    <w:p w:rsidR="00F553E8" w:rsidRDefault="00F553E8" w:rsidP="00153E07">
      <w:pPr>
        <w:pStyle w:val="1"/>
        <w:numPr>
          <w:ilvl w:val="1"/>
          <w:numId w:val="7"/>
        </w:numPr>
        <w:sectPr w:rsidR="00F553E8" w:rsidSect="00F553E8">
          <w:footerReference w:type="default" r:id="rId95"/>
          <w:pgSz w:w="16838" w:h="11906" w:orient="landscape"/>
          <w:pgMar w:top="567" w:right="851" w:bottom="1418" w:left="851" w:header="709" w:footer="709" w:gutter="0"/>
          <w:cols w:space="708"/>
          <w:docGrid w:linePitch="360"/>
        </w:sectPr>
      </w:pPr>
    </w:p>
    <w:p w:rsidR="00153E07" w:rsidRDefault="00153E07" w:rsidP="00D527CE">
      <w:pPr>
        <w:pStyle w:val="1"/>
        <w:numPr>
          <w:ilvl w:val="1"/>
          <w:numId w:val="7"/>
        </w:numPr>
        <w:spacing w:line="240" w:lineRule="auto"/>
      </w:pPr>
      <w:r w:rsidRPr="00153E07">
        <w:lastRenderedPageBreak/>
        <w:t>Предложения по развитию Бардымского муниципального района, как конкурентоспособного муниципального образования Пермского края</w:t>
      </w:r>
    </w:p>
    <w:p w:rsidR="004E2E6F" w:rsidRPr="004E2E6F" w:rsidRDefault="004E2E6F" w:rsidP="00D527CE">
      <w:pPr>
        <w:spacing w:line="240" w:lineRule="auto"/>
      </w:pPr>
    </w:p>
    <w:p w:rsidR="00153E07" w:rsidRPr="00153E07" w:rsidRDefault="00153E07" w:rsidP="00D527CE">
      <w:pPr>
        <w:pStyle w:val="1"/>
        <w:numPr>
          <w:ilvl w:val="2"/>
          <w:numId w:val="7"/>
        </w:numPr>
        <w:spacing w:line="240" w:lineRule="auto"/>
      </w:pPr>
      <w:r w:rsidRPr="00153E07">
        <w:t>Миссия Бардымского муниципального района</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Миссия Бардымского муниципального района: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Бардымский район – территория с богатым историко-культурным, национальным и духовным наследием, обладающая ресурсным потенциалом для дальнейшего социально-экономического развития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vertAlign w:val="superscript"/>
        </w:rPr>
        <w:footnoteReference w:id="10"/>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формулировке миссии учтены географическое положение, природные особенности, исторически сложившаяся ситуация, потенциальные возможности Бардымского муниципального района и стремления его жителей.</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Образ желаемого будущего может характеризоваться следующими тезисами: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экологически чистая, красивая и обихоженная природа (реки, леса, горы и т.п.);</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район с сохраненными и развивающимися национальными, духовными традициями и обычаями;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непрерывно развивающаяся конкурентоспособная промышленность, предпринимательство и сельское хозяйство;</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низкий уровень безработицы и преступности;</w:t>
      </w:r>
    </w:p>
    <w:p w:rsidR="00153E07" w:rsidRPr="00153E07" w:rsidRDefault="00153E07" w:rsidP="00D527CE">
      <w:pPr>
        <w:pStyle w:val="af1"/>
        <w:numPr>
          <w:ilvl w:val="0"/>
          <w:numId w:val="19"/>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стабильный высокий уровень качества жизни и благосостояния населения района.</w:t>
      </w:r>
    </w:p>
    <w:p w:rsidR="00153E07" w:rsidRPr="00153E07" w:rsidRDefault="00153E07" w:rsidP="00D527CE">
      <w:pPr>
        <w:pStyle w:val="af1"/>
        <w:spacing w:after="0" w:line="240" w:lineRule="auto"/>
        <w:ind w:left="1134"/>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t>Приоритетные направления социально-экономического развития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Комплексное развитие экономической и социальной сфер муниципальных образований, решение сложных социально-экономических проблем, постепенное устранение негативных явлений является одной из задач территориального маркетинга.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Улучшение качества жизни населения выступает самым главным результатом применения маркетинга территорий, в процессе которого рождаются кардинально новые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стандарты</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территориального функционирования.</w:t>
      </w:r>
    </w:p>
    <w:p w:rsidR="00153E07" w:rsidRPr="00E21B7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t xml:space="preserve">Определяя приоритетные направления социально-экономического развития Бардымского муниципального района, обеспечивающие конкурентоспособность района, основополагающим выступает </w:t>
      </w:r>
      <w:r w:rsidRPr="00E21B77">
        <w:rPr>
          <w:rFonts w:ascii="Times New Roman" w:eastAsia="Times New Roman" w:hAnsi="Times New Roman" w:cs="Times New Roman"/>
          <w:b/>
          <w:sz w:val="28"/>
          <w:szCs w:val="28"/>
        </w:rPr>
        <w:t>социально-демографическое развитие территории.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Развитие социальной сферы, </w:t>
      </w:r>
      <w:r w:rsidRPr="00E21B77">
        <w:rPr>
          <w:rFonts w:ascii="Times New Roman" w:eastAsia="Times New Roman" w:hAnsi="Times New Roman" w:cs="Times New Roman"/>
          <w:b/>
          <w:sz w:val="28"/>
          <w:szCs w:val="28"/>
        </w:rPr>
        <w:t>поддержание и улучшение демографической ситуации</w:t>
      </w:r>
      <w:r w:rsidRPr="00153E07">
        <w:rPr>
          <w:rFonts w:ascii="Times New Roman" w:eastAsia="Times New Roman" w:hAnsi="Times New Roman" w:cs="Times New Roman"/>
          <w:sz w:val="28"/>
          <w:szCs w:val="28"/>
        </w:rPr>
        <w:t xml:space="preserve"> находится в прямой корреляционной зависимости от уровня экономического развития территории, которое было определено как второе приоритетное направление развития Бардымского муниципального района.</w:t>
      </w:r>
    </w:p>
    <w:p w:rsidR="00153E07" w:rsidRPr="00E21B7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sz w:val="28"/>
          <w:szCs w:val="28"/>
        </w:rPr>
        <w:lastRenderedPageBreak/>
        <w:t xml:space="preserve">Третьим приоритетным направлением в социально-экономическом развитии Бардымского муниципального района выступает </w:t>
      </w:r>
      <w:r w:rsidRPr="00E21B77">
        <w:rPr>
          <w:rFonts w:ascii="Times New Roman" w:eastAsia="Times New Roman" w:hAnsi="Times New Roman" w:cs="Times New Roman"/>
          <w:b/>
          <w:sz w:val="28"/>
          <w:szCs w:val="28"/>
        </w:rPr>
        <w:t>контроль и улучшение экологической ситуации.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все эти направления имеют тесную взаимосвязь и требуют одновременного решения задач, связанных с их развитием.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noProof/>
          <w:sz w:val="28"/>
          <w:szCs w:val="28"/>
        </w:rPr>
        <w:drawing>
          <wp:inline distT="0" distB="0" distL="0" distR="0">
            <wp:extent cx="5486400" cy="3200400"/>
            <wp:effectExtent l="0" t="0" r="0" b="0"/>
            <wp:docPr id="2207"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153E07" w:rsidRPr="00D53C12" w:rsidRDefault="00153E07" w:rsidP="00D527CE">
      <w:p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3.1. Приоритетные направления социально-экономического развития Бардымского муниципального района</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Социально - демографическое развитие</w:t>
      </w:r>
      <w:r w:rsidR="00530383">
        <w:rPr>
          <w:rFonts w:ascii="Times New Roman" w:eastAsia="Times New Roman" w:hAnsi="Times New Roman" w:cs="Times New Roman"/>
          <w:b/>
          <w:sz w:val="28"/>
          <w:szCs w:val="28"/>
        </w:rPr>
        <w:t xml:space="preserve"> </w:t>
      </w:r>
      <w:r w:rsidRPr="00153E07">
        <w:rPr>
          <w:rFonts w:ascii="Times New Roman" w:eastAsia="Times New Roman" w:hAnsi="Times New Roman" w:cs="Times New Roman"/>
          <w:sz w:val="28"/>
          <w:szCs w:val="28"/>
        </w:rPr>
        <w:t>является наиболее важным фактором развития территорий, поскольку наличие и качество человеческого потенциала является главным элементом, обеспечивающим развитие производительных сил.</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данном направлении наиболее важно увеличивать численность населения района, делая упор на росте населения трудоспособного возраста и молодежи. С этой целью необходимо стимулировать естественный прирост населения путем продвижения программ по обеспечению жильем малоимущих семей, улучшать качество предоставления услуг здравоохранения, предоставлять молодёжи возможность для самореализации и саморазвития в районе путем проведения молодежных форум и программ, нацеленных на развитие индивидуального предпринимательства, увеличение доходов населения путем стимулирования создания новых рабочих мест.</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Прирост численности населения Бардымского муниципального района также возможно достичь путем миграционного притока, для чего необходимо формирование имиджа района как престижного и перспективного места для жизни и деятельности. </w:t>
      </w:r>
    </w:p>
    <w:p w:rsidR="00153E07" w:rsidRPr="00153E07" w:rsidRDefault="00153E07" w:rsidP="00D527CE">
      <w:pPr>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улучшения социальной ситуации в районе, и создания безопасных условий жизнедеятельности необходимо проведение программ по пропаганде </w:t>
      </w:r>
      <w:r w:rsidRPr="00153E07">
        <w:rPr>
          <w:rFonts w:ascii="Times New Roman" w:eastAsia="Times New Roman" w:hAnsi="Times New Roman" w:cs="Times New Roman"/>
          <w:sz w:val="28"/>
          <w:szCs w:val="28"/>
        </w:rPr>
        <w:lastRenderedPageBreak/>
        <w:t>здорового образа жизни, проведение мероприятий, направленных на обучение основам жизнедеятельности, увеличению количества спортивных объектов.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Исследования показали, что вредные привычки негативно влияют на здоровье людей, а также могут служить причиной девиантного поведения граждан, особенно при отсутствии правильной мотивации и постоянного места работы. В связи с этим необходимо усилить борьбу с преступностью, ужесточить контроль распития спиртных напитков в общественных местах, совершенствовать программы пропаганды спорта и здорового образа жизни.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Непринятие себя, как части общества, нежелание и отсутствие возможностей для освоения и изучения культурного наследия могут повлечь за собой негативные последствия развития асоциализации населения района. В связи с этим становится актуальным сохранение культурных ценностей Бардымского муниципального района, а также улучшение условий доступа различных групп населения к культуре и искусству. Таким образом, необходимо сохранение и популяризация национального языка, проведение традиционных праздников и фестивалей, в том числе поддержка и поощрение творческой активности молодежи.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Формирование и улучшение имиджа территории сопровождается ощущением уверенности, стабильности, безопасности, гарантиями защиты здоровья, жизни, собственного имущества и своих прав. Также целесообразно наличие льгот для социально незащищенных категорий граждан, нуждающихся в государственной поддержке.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основными показателями, характеризующими социально-демографическое развитие Бардымского муниципального района, являются: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естественный прирост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смертности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качества предоставляемых медицинских услуг и наиболее полный охват населения профилактическими мероприятиями;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рабочих мест;</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миграционный приток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сокращение преступности;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внедрение новых образовательных программ с целью развития интереса к предпринимательству у молодежи;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пропаганда здорового образа жизни,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проведение культурных и спортивных мероприятий в муниципальном районе с целью развития нравственных качеств населения.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для улучшения качества жизни населения района необходимы условия для развития человеческого потенциала. Под человеческим потенциалом в данном случае понимаются качества людей, которые влияют на результаты активности, в которую они вовлечены.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Экономическое развитие</w:t>
      </w:r>
      <w:r w:rsidRPr="00153E07">
        <w:rPr>
          <w:rFonts w:ascii="Times New Roman" w:eastAsia="Times New Roman" w:hAnsi="Times New Roman" w:cs="Times New Roman"/>
          <w:sz w:val="28"/>
          <w:szCs w:val="28"/>
        </w:rPr>
        <w:t xml:space="preserve"> подразумевает формирование имиджа Бардымского муниципального района как конкурентоспособной территории, привлекательной инвестиционной площадки.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Благодаря сельскохозяйственной специализации района приоритетным направлением является развитие агропромышленного комплекса путем кластерного подхода, т.е. создания особой экономической зоны. Учитывая наличие земель, социальной и транспортной инфраструктуры возможно приобретение Бардымским муниципальным образованием статуса особой экономической зоны.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Данное объединение может включать в себя не только производство продукции растениеводства и животноводства, но и создание предприятий по переработке сельскохозяйственной продукции и ее хранению, что сократит влияние сезонности на отрасль.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продуктивного экономического развития района необходимо привлекать инвестиции в основной капитал. Стимулирующими факторами, оказывающими влияние на приток инвестиции, выступает создание инвестиционной площадки, отражающей в режиме </w:t>
      </w:r>
      <w:r w:rsidRPr="00153E07">
        <w:rPr>
          <w:rFonts w:ascii="Times New Roman" w:eastAsia="Times New Roman" w:hAnsi="Times New Roman" w:cs="Times New Roman"/>
          <w:sz w:val="28"/>
          <w:szCs w:val="28"/>
          <w:lang w:val="en-US"/>
        </w:rPr>
        <w:t>on</w:t>
      </w:r>
      <w:r w:rsidRPr="00153E07">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lang w:val="en-US"/>
        </w:rPr>
        <w:t>line</w:t>
      </w:r>
      <w:r w:rsidRPr="00153E07">
        <w:rPr>
          <w:rFonts w:ascii="Times New Roman" w:eastAsia="Times New Roman" w:hAnsi="Times New Roman" w:cs="Times New Roman"/>
          <w:sz w:val="28"/>
          <w:szCs w:val="28"/>
        </w:rPr>
        <w:t xml:space="preserve"> потребности бизнеса в использовании дополнительных финансовых ресурсов.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формирования финансового резерва, пополнения доходной части бюджета, а также обеспечения расходов бюджета Бардымскому муниципальному району необходимо развитие компенсирующих отраслей народного хозяйства. Ими могут стать разработка месторождений минеральных ресурсов и создание производств по их переработке.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Важным приоритетным направлением развития Бардымского района выступает</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строительство кирпичного завода. Предпосылками создания данного проекта служат месторождения красных глин в районе, которые пригодны для изготовления полнотелого кирпича. Красная глина может использоваться не только в производстве кирпича, но и в гончарном производстве. Ремесленные изделия, создание керамической посуды могут служить предпосылками для развития туристического направления. Развитие туристической отрасли в районе позволит увеличить поток туристов, увеличить доходы бюджета Бардымского района и создать дополнительные рабочие места.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Важно отметить наличие месторождений строительного песка. На данный момент в районе используется намывной песок из русла рек, однако, при разработке месторождения строительного песка, существует возможность развития данной отрасли.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Шермейское, Новоашапское и Елпачихинское сельские поселения согласно программам социально-экономического развития, богаты месторождением травертина. Известковый туф широко используется в производстве облицовочных материалов.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Помимо строительной сферы известняк также используется в удобрении почв, создании скульптур.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в Бардымском районе возможна организация производства и системы сбыта строительных материалов и удобрений, как в близлежащие районы, так и за пределы региона в целом. Учитывая интенсивное жилищное строительство в Бардымском муниципальном районе, строительная продукция </w:t>
      </w:r>
      <w:r w:rsidRPr="00153E07">
        <w:rPr>
          <w:rFonts w:ascii="Times New Roman" w:eastAsia="Times New Roman" w:hAnsi="Times New Roman" w:cs="Times New Roman"/>
          <w:sz w:val="28"/>
          <w:szCs w:val="28"/>
        </w:rPr>
        <w:lastRenderedPageBreak/>
        <w:t>собственного производства позволит сократить затраты на строительство, а также реализовать приоритетную для России политику импортозамещения.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Близость района к региональному центру и соседним регионам позволяет развивать торговые связи путем выведения на торговую площадку строительных материалов, в том числе кирпича, сельскохозяйственную продукцию, туристский продукт.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Также приоритетной отраслью, развиваемой в настоящее время в России, является внутренний и въездной туризм. Учитывая этнический состав населения Бардымского муниципального района, а также приверженность национальным традициям села целесообразна разработка программ этнографического, культурно-познавательного и гастрономического туризма.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в муниципальном районе большого количества водоемов, лесов, уникальных природных ландшафтов, горнолыжных комплексов позволяет развивать активный, экстремальный, спортивный туризм.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Благодаря реализации вышеуказанных проектов экономического развития Бардымский муниципальный район сможет повысить уровень самообеспеченности населения, эффективно реализовать бюджетную</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политику, достигнуть социального комфорта и сформировать привлекательный инвестиционный имидж своей территории.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Размещение производительных сил на территории Бардымского муниципального района окажет влияние на экологическую ситуацию, поэтому следующим приоритетным направлением социально-экономического развития является контроль и улучшение экологической ситуации.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Наличие месторождений нефти и торфа, а также вырубка леса на территории района несут в себе высокую экологическую нагрузку. Именно поэтому одним из приоритетных направлений развития района является сохранение и восстановление лесного фонда дляподдержания благоприятной экологической обстановки.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Мероприятиями контроля и улучшения экологической ситуации района являются сохранение и восстановление лесного фонда района, строительство очистных сооружений и предприятий по переработке твердых бытовых отходов, контроль сибиреязвенных скотомогильников, внедрение новейших технологий по улавливанию выбросов в атмосферу от передвижных и стационарных источников, проведение мероприятий по информированию населения района об основах безопасности жизнедеятельности.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Бардымский муниципальный район обладает рядом преимуществ, что позволяет планировать дальнейшее развитие местности. Упор на разработку и внедрение территориального маркетинга в комплексе является одним из факторов роста конкурентоспособности муниципальных образований.</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А правильное использование потенциала муниципального района позволяет формировать возможности его дальнейшего развития.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lastRenderedPageBreak/>
        <w:t>Система стратегических целей по приоритетным направлениям социально-экономического развития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D53C12">
        <w:rPr>
          <w:rFonts w:ascii="Times New Roman" w:eastAsia="Times New Roman" w:hAnsi="Times New Roman" w:cs="Times New Roman"/>
          <w:b/>
          <w:sz w:val="28"/>
          <w:szCs w:val="28"/>
        </w:rPr>
        <w:t>Система стратегических целей</w:t>
      </w:r>
      <w:r w:rsidRPr="00153E07">
        <w:rPr>
          <w:rFonts w:ascii="Times New Roman" w:eastAsia="Times New Roman" w:hAnsi="Times New Roman" w:cs="Times New Roman"/>
          <w:sz w:val="28"/>
          <w:szCs w:val="28"/>
        </w:rPr>
        <w:t xml:space="preserve"> по приоритетным направлениям социально-экономического развития включает в себя:</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Повышение качества жизни и создание благоприятных условий для населения;</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Повышение инвестиционной привлекательности Бардымского муниципального района;</w:t>
      </w:r>
    </w:p>
    <w:p w:rsidR="00153E07" w:rsidRPr="00D53C12" w:rsidRDefault="00153E07" w:rsidP="00D527CE">
      <w:pPr>
        <w:pStyle w:val="af1"/>
        <w:numPr>
          <w:ilvl w:val="0"/>
          <w:numId w:val="11"/>
        </w:numPr>
        <w:tabs>
          <w:tab w:val="left" w:pos="2177"/>
        </w:tabs>
        <w:spacing w:after="0" w:line="240" w:lineRule="auto"/>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Сохранение и развитие культурно-исторического, национального и духовного потенциала.</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Глобальной стратегической целью социально-экономического развития, которая также отражена в качестве приоритетной в главном законе нашего государства – Конституции Российской Федерации – является повышение качества жизни и создание благоприятных условий для жизни и деятельности населения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Условием для создания благоприятных условий для населения выступает достаточный объем бюджетных средств муниципального района, что должно быть обеспечено благодаря экономическому развитию района, повышению инвестиционной привлекательности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Особенностью Бардымского муниципального района является его самобытность. Район обладает богатым историческим прошлым, имеет духовное и национальное наследие, поэтому одной из приоритетных целей развития района является сохранение и развитие культурно-исторического, национального и духовного потенциала.</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Стратегические цели формируют основные стратегические задачи.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Промышленность:</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поддержка развития существующих предприятий (экономическая, информационная, инвестиционная);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условий для размещения и развития новых промышленных предприятий, обновление технологий на существующих предприятиях;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участие в подготовке квалифицированных кадров и образовательных программах для промышленности. </w:t>
      </w:r>
    </w:p>
    <w:p w:rsidR="00D53C12" w:rsidRDefault="00D53C12" w:rsidP="00D527CE">
      <w:pPr>
        <w:tabs>
          <w:tab w:val="left" w:pos="2177"/>
        </w:tabs>
        <w:spacing w:after="0" w:line="240" w:lineRule="auto"/>
        <w:ind w:firstLine="709"/>
        <w:jc w:val="both"/>
        <w:rPr>
          <w:rFonts w:ascii="Times New Roman" w:eastAsia="Times New Roman" w:hAnsi="Times New Roman" w:cs="Times New Roman"/>
          <w:b/>
          <w:sz w:val="28"/>
          <w:szCs w:val="28"/>
        </w:rPr>
      </w:pP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Сельское хозяйство:</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комплексной особой экономической зоны с привлечением существующих КФХ и ЛПХ, а также новых инвесторов;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увеличение объемов производства и видов продукции животноводства и растениеводства, включая производство в КФХ и ЛПХ;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согласование объемов производства продукции с потребностями внутреннего и региональных рынков;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качества продукции;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обновление техники и технологий; </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создание системы комплексной оценки сельскохозяйственной деятельности, как фактора, определяющего размещение объектов сельского хозяйства.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Экологический, оздоровительный и познавательный туризм:</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развитию действующих и создание новых организаций познавательного туризма, преимущественно вблизи археологических памятников и уникальных природных мест;</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разработка туристических продуктов и маршрутов для различных видов туризма;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этнографического, археологического, культурно-познавательного, активного, спортивного и экстремального видов туризма;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созданию инфраструктуры туризма.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Жилищное строительство:</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инфраструктуры, обеспечивающей развитие строительства одноквартирных жилых домов, включая подсобные хозяйства (мини-фермы) в сельских поселениях;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реализация среднесрочной и долгосрочной программ жилищного строительства.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Малый бизнес:</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привлечение малого бизнеса к участию в реализации вариантов территориального развития (в сфере туризма, жилищного строительства, социального обслуживания, сельского хозяйства, производства).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инфраструктуры придорожного обслуживания на автодорогах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равных условий для предпринимателей с обеспечением приоритетного развития местных инициатив;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сферы малого и среднего предпринимательства на основе развития инновационного управления. Развитие консультационных центров, агробизнес-инкубатора с такими функциями как: накопление перспективных проектов и их кредитование; координация деятельности, привлечение денежных средств; консультационная и информационная поддержка.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Социально-культурный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обеспечение потребностей населения в социальных услугах и развитие инфраструктуры социального обслуживания;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содействие развитию и перепрофилированию профессионального образования;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молодежной политики и обеспечение досуга молодежи (вовлечение молодежи в творческую, научную, общественную, спортивную, трудовую, предпринимательскую деятельность и т.п.);</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уменьшение оттока наиболее активной части населения;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повышение эффективности оказания адресной социальной помощи;</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привлечение деловых кругов к участию в значимых социальных программах;</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народных ремесел.</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lastRenderedPageBreak/>
        <w:t>Инвестиционный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улучшение инвестиционного климата и создание благоприятных условий для инвестирования;</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гарантий для инвесторов;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предпринимательских партнерств и сообществ;</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реестра предпочтительных инвестиционных проектов и инвестиционных площадок;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продвижение информации о зонах перспективного развития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поддержки и продвижения инвестиционных проектов.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153E07">
        <w:rPr>
          <w:rFonts w:ascii="Times New Roman" w:eastAsia="Times New Roman" w:hAnsi="Times New Roman" w:cs="Times New Roman"/>
          <w:b/>
          <w:sz w:val="28"/>
          <w:szCs w:val="28"/>
        </w:rPr>
        <w:t>Информационный блок:</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системы сбора, обработки и анализа информации для выявления тенденций, и принятия эффективных управленческих решений;</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накопление, систематизация и продвижение информации о районе, об инвестиционных проектах, о туризме, о продукции выпускаемой предприятиями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формирование и продвижение имиджа Бардымского района;</w:t>
      </w:r>
    </w:p>
    <w:p w:rsidR="00153E07" w:rsidRPr="00153E07" w:rsidRDefault="00153E07" w:rsidP="00D527CE">
      <w:pPr>
        <w:pStyle w:val="af1"/>
        <w:numPr>
          <w:ilvl w:val="0"/>
          <w:numId w:val="10"/>
        </w:numPr>
        <w:tabs>
          <w:tab w:val="left" w:pos="2177"/>
        </w:tabs>
        <w:spacing w:after="0" w:line="240" w:lineRule="auto"/>
        <w:ind w:hanging="72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поддержка и активизация интернет-сайта района.</w:t>
      </w:r>
    </w:p>
    <w:p w:rsidR="00153E07" w:rsidRPr="00153E07" w:rsidRDefault="00153E07" w:rsidP="00D527CE">
      <w:pPr>
        <w:tabs>
          <w:tab w:val="left" w:pos="2177"/>
        </w:tabs>
        <w:spacing w:after="0" w:line="240" w:lineRule="auto"/>
        <w:jc w:val="both"/>
        <w:rPr>
          <w:rFonts w:ascii="Times New Roman" w:eastAsia="Times New Roman" w:hAnsi="Times New Roman" w:cs="Times New Roman"/>
          <w:sz w:val="28"/>
          <w:szCs w:val="28"/>
        </w:rPr>
      </w:pPr>
    </w:p>
    <w:p w:rsidR="00153E07" w:rsidRPr="00153E07" w:rsidRDefault="00153E07" w:rsidP="00D527CE">
      <w:pPr>
        <w:pStyle w:val="1"/>
        <w:numPr>
          <w:ilvl w:val="2"/>
          <w:numId w:val="7"/>
        </w:numPr>
        <w:spacing w:line="240" w:lineRule="auto"/>
      </w:pPr>
      <w:r w:rsidRPr="00153E07">
        <w:t>Система ключевых показателей и индикаторов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Система ключевых показателей и индикаторов Стратегии социально-экономического развития Бардымского муниципального района разработана с учетом методов</w:t>
      </w:r>
      <w:r w:rsidR="00530383">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составления сводных индексов социально- экономического развития регионов, предложенных Институтом современного развития совместно с Министерством регионального развития Российской Федерации.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ключевых показателей и индикаторов учитывает уровень муниципального образования и позволяет оперативно отслеживать изменения в развитии экономической, социальной и финансовой сферах по следующим показателям: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Реальный сектор экономики;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Инвестиционная привлекательность;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hAnsi="Times New Roman" w:cs="Times New Roman"/>
          <w:sz w:val="28"/>
          <w:szCs w:val="28"/>
        </w:rPr>
        <w:t xml:space="preserve">Доходы и занятость населения; </w:t>
      </w:r>
    </w:p>
    <w:p w:rsidR="00153E07" w:rsidRPr="00153E07" w:rsidRDefault="00153E07" w:rsidP="00D527CE">
      <w:pPr>
        <w:pStyle w:val="af1"/>
        <w:numPr>
          <w:ilvl w:val="0"/>
          <w:numId w:val="12"/>
        </w:numPr>
        <w:spacing w:after="0" w:line="240" w:lineRule="auto"/>
        <w:jc w:val="both"/>
        <w:rPr>
          <w:rFonts w:ascii="Times New Roman" w:hAnsi="Times New Roman" w:cs="Times New Roman"/>
          <w:sz w:val="28"/>
          <w:szCs w:val="28"/>
        </w:rPr>
      </w:pPr>
      <w:r w:rsidRPr="00153E07">
        <w:rPr>
          <w:rFonts w:ascii="Times New Roman" w:eastAsia="Times New Roman" w:hAnsi="Times New Roman" w:cs="Times New Roman"/>
          <w:sz w:val="28"/>
          <w:szCs w:val="28"/>
        </w:rPr>
        <w:t xml:space="preserve">Бюджетная система.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Данные показатели включают в себя ряд индексов, на основе которых рассчитываются четыре индикатора. После расчета четырех индексов по показателям рассчитывается сводный индекс социально-экономического развития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При расчете данных индексов за основу берутся данные, предоставляемые в Министерство регионального развития Российской Федерации в соответствии с распоряжением Правительства РФ №806-р от 15 июня 2009 года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организации и проведении мониторинга процессов в реальном секторе экономики, финансово-банковской и социальной сферах субъектов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w:t>
      </w:r>
    </w:p>
    <w:p w:rsidR="00153E07" w:rsidRPr="00D53C12" w:rsidRDefault="00153E07" w:rsidP="00D527CE">
      <w:pPr>
        <w:tabs>
          <w:tab w:val="left" w:pos="2177"/>
        </w:tabs>
        <w:spacing w:after="0" w:line="240" w:lineRule="auto"/>
        <w:ind w:firstLine="709"/>
        <w:jc w:val="both"/>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lastRenderedPageBreak/>
        <w:t>Основные принципы системы ключевых показателей и индикаторов Стратегии социально-экономического развития Бардымского муниципального района:</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Соответствие заявленным целям – показатель должен быть содержательным именно в контексте данной цели (например, индекс потребительских цен на месячном уровне не может рассматриваться как показатель, характеризующий инвестиционную привлекательность);</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Значимость показателей – предпочтение отдается общим, а не частным показателям (индекс потребительских цен, а не цены на продовольственные товары, непродовольственные товары и т.д., динамика реальных доходов населения, а не динамика реальных зара</w:t>
      </w:r>
      <w:r w:rsidR="00CB7DA8">
        <w:rPr>
          <w:rFonts w:ascii="Times New Roman" w:eastAsia="Times New Roman" w:hAnsi="Times New Roman" w:cs="Times New Roman"/>
          <w:sz w:val="28"/>
          <w:szCs w:val="28"/>
        </w:rPr>
        <w:t>ботных плат или пенсий, т.д.);</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Показатели должны наиболее полно отражать выполнение заявленных целей – так, в случае оценки инвестиционной привлекательности развития необходимо в большей степени учитывать объемы инвестиций и строительных работ на душу населения, прибыльность предприятий, чем динамику инвестиций;</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Ограниченность набора показателей, на основе которого рассчитываются сводные индексы (в случае, если сводный индекс содержит слишком много составляющих, возникает проблема в отслеживании вклада конкретного показателя на агрегированном уровне). </w:t>
      </w:r>
    </w:p>
    <w:p w:rsidR="00153E07" w:rsidRPr="00153E07" w:rsidRDefault="00153E07" w:rsidP="00D527CE">
      <w:pPr>
        <w:pStyle w:val="af1"/>
        <w:numPr>
          <w:ilvl w:val="0"/>
          <w:numId w:val="14"/>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Сопоставимость субъектов по показателям. В соответствии с этим принципом все показатели, используемые в расчете сводных индексов по каждой цели, нормируются на среднероссийское значение соответствующего показателя и отражаются в процентах. Если значение по субъекту Российской Федерации превышает/ниже среднероссийского значения показателя более чем в 2 раза или меньше 30%, то значение по данному субъекту Российской Федерации заменяется на 200% или 30% соответственно от значения показателя по Российской Федерации (грубая регуляризация). После получения безразмерных показателей (путем нормирования), они взвешиваются по системе весов, разработанной на основе экспертных оценок.</w:t>
      </w:r>
    </w:p>
    <w:p w:rsidR="00153E07" w:rsidRPr="00153E07" w:rsidRDefault="00153E07" w:rsidP="00D527CE">
      <w:pPr>
        <w:tabs>
          <w:tab w:val="left" w:pos="2177"/>
        </w:tabs>
        <w:spacing w:after="0" w:line="240" w:lineRule="auto"/>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Таблица 3.</w:t>
      </w:r>
      <w:r w:rsidR="001D3C25">
        <w:rPr>
          <w:rFonts w:ascii="Times New Roman" w:eastAsia="Times New Roman" w:hAnsi="Times New Roman" w:cs="Times New Roman"/>
          <w:sz w:val="28"/>
          <w:szCs w:val="28"/>
        </w:rPr>
        <w:t>6</w:t>
      </w:r>
    </w:p>
    <w:p w:rsidR="00153E07" w:rsidRPr="00D53C12" w:rsidRDefault="00153E07" w:rsidP="00D527CE">
      <w:pPr>
        <w:tabs>
          <w:tab w:val="left" w:pos="2177"/>
        </w:tabs>
        <w:spacing w:after="0" w:line="240" w:lineRule="auto"/>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Система ключевых показателей и индикаторов Стратегии социально-экономического развития Бардымского муниципального района</w:t>
      </w:r>
    </w:p>
    <w:tbl>
      <w:tblPr>
        <w:tblW w:w="5070" w:type="pct"/>
        <w:tblLayout w:type="fixed"/>
        <w:tblLook w:val="04A0"/>
      </w:tblPr>
      <w:tblGrid>
        <w:gridCol w:w="2377"/>
        <w:gridCol w:w="7902"/>
      </w:tblGrid>
      <w:tr w:rsidR="00530383" w:rsidRPr="00530383" w:rsidTr="00D53C12">
        <w:trPr>
          <w:trHeight w:val="375"/>
        </w:trPr>
        <w:tc>
          <w:tcPr>
            <w:tcW w:w="1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30383" w:rsidRPr="00D53C12" w:rsidRDefault="00355F6A"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Показатели</w:t>
            </w:r>
          </w:p>
        </w:tc>
        <w:tc>
          <w:tcPr>
            <w:tcW w:w="3844" w:type="pct"/>
            <w:tcBorders>
              <w:top w:val="single" w:sz="4" w:space="0" w:color="auto"/>
              <w:left w:val="nil"/>
              <w:bottom w:val="single" w:sz="4" w:space="0" w:color="auto"/>
              <w:right w:val="single" w:sz="4" w:space="0" w:color="auto"/>
            </w:tcBorders>
            <w:shd w:val="clear" w:color="auto" w:fill="auto"/>
            <w:vAlign w:val="bottom"/>
            <w:hideMark/>
          </w:tcPr>
          <w:p w:rsidR="00530383" w:rsidRPr="00D53C12" w:rsidRDefault="00355F6A"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Индикаторы</w:t>
            </w:r>
          </w:p>
        </w:tc>
      </w:tr>
      <w:tr w:rsidR="00530383" w:rsidRPr="00530383" w:rsidTr="00D53C12">
        <w:trPr>
          <w:trHeight w:val="375"/>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rsidR="00530383" w:rsidRPr="00D53C12" w:rsidRDefault="00530383"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Демография</w:t>
            </w:r>
          </w:p>
        </w:tc>
        <w:tc>
          <w:tcPr>
            <w:tcW w:w="3844" w:type="pct"/>
            <w:tcBorders>
              <w:top w:val="nil"/>
              <w:left w:val="nil"/>
              <w:bottom w:val="single" w:sz="4" w:space="0" w:color="auto"/>
              <w:right w:val="single" w:sz="4" w:space="0" w:color="auto"/>
            </w:tcBorders>
            <w:shd w:val="clear" w:color="auto" w:fill="auto"/>
            <w:noWrap/>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Численность постоянного населения, чел.</w:t>
            </w:r>
          </w:p>
        </w:tc>
      </w:tr>
      <w:tr w:rsidR="00530383" w:rsidRPr="00530383" w:rsidTr="00D53C12">
        <w:trPr>
          <w:trHeight w:val="598"/>
        </w:trPr>
        <w:tc>
          <w:tcPr>
            <w:tcW w:w="1156" w:type="pct"/>
            <w:tcBorders>
              <w:top w:val="nil"/>
              <w:left w:val="single" w:sz="4" w:space="0" w:color="auto"/>
              <w:bottom w:val="single" w:sz="4" w:space="0" w:color="auto"/>
              <w:right w:val="single" w:sz="4" w:space="0" w:color="auto"/>
            </w:tcBorders>
            <w:shd w:val="clear" w:color="auto" w:fill="auto"/>
            <w:noWrap/>
            <w:vAlign w:val="center"/>
            <w:hideMark/>
          </w:tcPr>
          <w:p w:rsidR="00530383" w:rsidRPr="00D53C12" w:rsidRDefault="00530383"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Инфраструктура</w:t>
            </w: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Ввод жилья на душу населения (за период с начала года, кв.м. на 1000 чел. населения)</w:t>
            </w:r>
          </w:p>
        </w:tc>
      </w:tr>
      <w:tr w:rsidR="00530383" w:rsidRPr="00530383" w:rsidTr="00D53C12">
        <w:trPr>
          <w:trHeight w:val="553"/>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D53C12" w:rsidRDefault="00530383"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Экономика</w:t>
            </w: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Индекс промышленного производства (за период с начала года в % к соответствующему периоду прошлого года)</w:t>
            </w:r>
          </w:p>
        </w:tc>
      </w:tr>
      <w:tr w:rsidR="00530383" w:rsidRPr="00530383" w:rsidTr="00D53C12">
        <w:trPr>
          <w:trHeight w:val="966"/>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Темп роста числа субъектов малого предпринимательства (за период с начала года в % к соответствующему периоду прошлого года)</w:t>
            </w:r>
          </w:p>
        </w:tc>
      </w:tr>
      <w:tr w:rsidR="00530383" w:rsidRPr="00530383" w:rsidTr="00D53C12">
        <w:trPr>
          <w:trHeight w:val="837"/>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r>
      <w:tr w:rsidR="00530383" w:rsidRPr="00530383" w:rsidTr="00D53C12">
        <w:trPr>
          <w:trHeight w:val="568"/>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Объем отгруженных товаров на душу населения (за период с начала года, тыс.руб. на человека)</w:t>
            </w:r>
          </w:p>
        </w:tc>
      </w:tr>
      <w:tr w:rsidR="00530383" w:rsidRPr="00530383" w:rsidTr="00D53C12">
        <w:trPr>
          <w:trHeight w:val="1246"/>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r>
      <w:tr w:rsidR="00530383" w:rsidRPr="00530383" w:rsidTr="00D53C12">
        <w:trPr>
          <w:trHeight w:val="1257"/>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r>
      <w:tr w:rsidR="00530383" w:rsidRPr="00530383" w:rsidTr="00BF1898">
        <w:trPr>
          <w:trHeight w:val="888"/>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Темп роста оборота розничной торговли (за период с начала года в % к соответствующему периоду прошлого года, в сопоставимых ценах)</w:t>
            </w:r>
          </w:p>
        </w:tc>
      </w:tr>
      <w:tr w:rsidR="00530383" w:rsidRPr="00530383" w:rsidTr="00BF1898">
        <w:trPr>
          <w:trHeight w:val="890"/>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Темп роста объема платных услуг населению (за период с начала года в % к соответствующему периоду прошлого года, в сопоставимых ценах)</w:t>
            </w:r>
          </w:p>
        </w:tc>
      </w:tr>
      <w:tr w:rsidR="00530383" w:rsidRPr="00530383" w:rsidTr="00BF1898">
        <w:trPr>
          <w:trHeight w:val="930"/>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Объем инвестиций в основной капитал на душу населения (за период с начала года, тыс. руб. на человека, квартальный показатель)</w:t>
            </w:r>
          </w:p>
        </w:tc>
      </w:tr>
      <w:tr w:rsidR="00530383" w:rsidRPr="00530383" w:rsidTr="00BF1898">
        <w:trPr>
          <w:trHeight w:val="802"/>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Индекс физического объема инвестиций в основной капитал (за период с начала года в % к соответствующему периоду прошлого года)</w:t>
            </w:r>
          </w:p>
        </w:tc>
      </w:tr>
      <w:tr w:rsidR="00530383" w:rsidRPr="00530383" w:rsidTr="00D53C12">
        <w:trPr>
          <w:trHeight w:val="694"/>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Объем работ, выполненных по ВЭД «Строительство» на душу населения (за период с начала года, тыс.руб. на человека)</w:t>
            </w:r>
          </w:p>
        </w:tc>
      </w:tr>
      <w:tr w:rsidR="00530383" w:rsidRPr="00530383" w:rsidTr="00BF1898">
        <w:trPr>
          <w:trHeight w:val="968"/>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Индекс физического объема работ, выполненных по ВЭД «Строительство» (за период с начала года в % к соответствующему периоду прошлого года)</w:t>
            </w:r>
          </w:p>
        </w:tc>
      </w:tr>
      <w:tr w:rsidR="00530383" w:rsidRPr="00530383" w:rsidTr="00BF1898">
        <w:trPr>
          <w:trHeight w:val="556"/>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Доля прибыльных предприятий (за период с начала года, %, лаг - 1 месяц)</w:t>
            </w:r>
          </w:p>
        </w:tc>
      </w:tr>
      <w:tr w:rsidR="00530383" w:rsidRPr="00530383" w:rsidTr="00D53C12">
        <w:trPr>
          <w:trHeight w:val="369"/>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D53C12" w:rsidRDefault="00530383"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Социальная</w:t>
            </w: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Индекс потребительских цен (в % к декабрю прошлого года)</w:t>
            </w:r>
          </w:p>
        </w:tc>
      </w:tr>
      <w:tr w:rsidR="00530383" w:rsidRPr="00530383" w:rsidTr="00BF1898">
        <w:trPr>
          <w:trHeight w:val="940"/>
        </w:trPr>
        <w:tc>
          <w:tcPr>
            <w:tcW w:w="1156" w:type="pct"/>
            <w:vMerge/>
            <w:tcBorders>
              <w:top w:val="nil"/>
              <w:left w:val="single" w:sz="4" w:space="0" w:color="auto"/>
              <w:bottom w:val="single" w:sz="4" w:space="0" w:color="000000"/>
              <w:right w:val="single" w:sz="4" w:space="0" w:color="auto"/>
            </w:tcBorders>
            <w:vAlign w:val="center"/>
            <w:hideMark/>
          </w:tcPr>
          <w:p w:rsidR="00530383" w:rsidRPr="00D53C12" w:rsidRDefault="00530383" w:rsidP="00D527CE">
            <w:pPr>
              <w:spacing w:after="0" w:line="240" w:lineRule="auto"/>
              <w:rPr>
                <w:rFonts w:ascii="Times New Roman" w:eastAsia="Times New Roman" w:hAnsi="Times New Roman" w:cs="Times New Roman"/>
                <w:b/>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r>
      <w:tr w:rsidR="00530383" w:rsidRPr="00530383" w:rsidTr="00BF1898">
        <w:trPr>
          <w:trHeight w:val="529"/>
        </w:trPr>
        <w:tc>
          <w:tcPr>
            <w:tcW w:w="1156" w:type="pct"/>
            <w:vMerge/>
            <w:tcBorders>
              <w:top w:val="nil"/>
              <w:left w:val="single" w:sz="4" w:space="0" w:color="auto"/>
              <w:bottom w:val="single" w:sz="4" w:space="0" w:color="000000"/>
              <w:right w:val="single" w:sz="4" w:space="0" w:color="auto"/>
            </w:tcBorders>
            <w:vAlign w:val="center"/>
            <w:hideMark/>
          </w:tcPr>
          <w:p w:rsidR="00530383" w:rsidRPr="00D53C12" w:rsidRDefault="00530383" w:rsidP="00D527CE">
            <w:pPr>
              <w:spacing w:after="0" w:line="240" w:lineRule="auto"/>
              <w:rPr>
                <w:rFonts w:ascii="Times New Roman" w:eastAsia="Times New Roman" w:hAnsi="Times New Roman" w:cs="Times New Roman"/>
                <w:b/>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Отношение среднемесячной зарплаты к стоимости фиксированного набора товаров и услуг (в разах, лаг - 1 месяц)</w:t>
            </w:r>
          </w:p>
        </w:tc>
      </w:tr>
      <w:tr w:rsidR="00530383" w:rsidRPr="00530383" w:rsidTr="00BF1898">
        <w:trPr>
          <w:trHeight w:val="581"/>
        </w:trPr>
        <w:tc>
          <w:tcPr>
            <w:tcW w:w="1156" w:type="pct"/>
            <w:vMerge/>
            <w:tcBorders>
              <w:top w:val="nil"/>
              <w:left w:val="single" w:sz="4" w:space="0" w:color="auto"/>
              <w:bottom w:val="single" w:sz="4" w:space="0" w:color="000000"/>
              <w:right w:val="single" w:sz="4" w:space="0" w:color="auto"/>
            </w:tcBorders>
            <w:vAlign w:val="center"/>
            <w:hideMark/>
          </w:tcPr>
          <w:p w:rsidR="00530383" w:rsidRPr="00D53C12" w:rsidRDefault="00530383" w:rsidP="00D527CE">
            <w:pPr>
              <w:spacing w:after="0" w:line="240" w:lineRule="auto"/>
              <w:rPr>
                <w:rFonts w:ascii="Times New Roman" w:eastAsia="Times New Roman" w:hAnsi="Times New Roman" w:cs="Times New Roman"/>
                <w:b/>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Доля трудоспособного населения в общей численности населения (на отчетный период, в %)</w:t>
            </w:r>
          </w:p>
        </w:tc>
      </w:tr>
      <w:tr w:rsidR="00530383" w:rsidRPr="00530383" w:rsidTr="00D53C12">
        <w:trPr>
          <w:trHeight w:val="750"/>
        </w:trPr>
        <w:tc>
          <w:tcPr>
            <w:tcW w:w="1156" w:type="pct"/>
            <w:vMerge/>
            <w:tcBorders>
              <w:top w:val="nil"/>
              <w:left w:val="single" w:sz="4" w:space="0" w:color="auto"/>
              <w:bottom w:val="single" w:sz="4" w:space="0" w:color="000000"/>
              <w:right w:val="single" w:sz="4" w:space="0" w:color="auto"/>
            </w:tcBorders>
            <w:vAlign w:val="center"/>
            <w:hideMark/>
          </w:tcPr>
          <w:p w:rsidR="00530383" w:rsidRPr="00D53C12" w:rsidRDefault="00530383" w:rsidP="00D527CE">
            <w:pPr>
              <w:spacing w:after="0" w:line="240" w:lineRule="auto"/>
              <w:rPr>
                <w:rFonts w:ascii="Times New Roman" w:eastAsia="Times New Roman" w:hAnsi="Times New Roman" w:cs="Times New Roman"/>
                <w:b/>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Число безработных на 1 вакантное место (на отчетный период, человек)</w:t>
            </w:r>
          </w:p>
        </w:tc>
      </w:tr>
      <w:tr w:rsidR="00530383" w:rsidRPr="00530383" w:rsidTr="00D53C12">
        <w:trPr>
          <w:trHeight w:val="1014"/>
        </w:trPr>
        <w:tc>
          <w:tcPr>
            <w:tcW w:w="1156" w:type="pct"/>
            <w:vMerge/>
            <w:tcBorders>
              <w:top w:val="nil"/>
              <w:left w:val="single" w:sz="4" w:space="0" w:color="auto"/>
              <w:bottom w:val="single" w:sz="4" w:space="0" w:color="000000"/>
              <w:right w:val="single" w:sz="4" w:space="0" w:color="auto"/>
            </w:tcBorders>
            <w:vAlign w:val="center"/>
            <w:hideMark/>
          </w:tcPr>
          <w:p w:rsidR="00530383" w:rsidRPr="00D53C12" w:rsidRDefault="00530383" w:rsidP="00D527CE">
            <w:pPr>
              <w:spacing w:after="0" w:line="240" w:lineRule="auto"/>
              <w:rPr>
                <w:rFonts w:ascii="Times New Roman" w:eastAsia="Times New Roman" w:hAnsi="Times New Roman" w:cs="Times New Roman"/>
                <w:b/>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r>
      <w:tr w:rsidR="00530383" w:rsidRPr="00530383" w:rsidTr="00BF1898">
        <w:trPr>
          <w:trHeight w:val="626"/>
        </w:trPr>
        <w:tc>
          <w:tcPr>
            <w:tcW w:w="1156" w:type="pct"/>
            <w:vMerge/>
            <w:tcBorders>
              <w:top w:val="nil"/>
              <w:left w:val="single" w:sz="4" w:space="0" w:color="auto"/>
              <w:bottom w:val="single" w:sz="4" w:space="0" w:color="000000"/>
              <w:right w:val="single" w:sz="4" w:space="0" w:color="auto"/>
            </w:tcBorders>
            <w:vAlign w:val="center"/>
            <w:hideMark/>
          </w:tcPr>
          <w:p w:rsidR="00530383" w:rsidRPr="00D53C12" w:rsidRDefault="00530383" w:rsidP="00D527CE">
            <w:pPr>
              <w:spacing w:after="0" w:line="240" w:lineRule="auto"/>
              <w:rPr>
                <w:rFonts w:ascii="Times New Roman" w:eastAsia="Times New Roman" w:hAnsi="Times New Roman" w:cs="Times New Roman"/>
                <w:b/>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Уровень зарегистрированной безработицы (на отчетный период, в %)</w:t>
            </w:r>
          </w:p>
        </w:tc>
      </w:tr>
      <w:tr w:rsidR="00530383" w:rsidRPr="00530383" w:rsidTr="00BF1898">
        <w:trPr>
          <w:trHeight w:val="962"/>
        </w:trPr>
        <w:tc>
          <w:tcPr>
            <w:tcW w:w="115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30383" w:rsidRPr="00D53C12" w:rsidRDefault="00530383" w:rsidP="00D527CE">
            <w:pPr>
              <w:spacing w:after="0" w:line="240" w:lineRule="auto"/>
              <w:jc w:val="center"/>
              <w:rPr>
                <w:rFonts w:ascii="Times New Roman" w:eastAsia="Times New Roman" w:hAnsi="Times New Roman" w:cs="Times New Roman"/>
                <w:b/>
                <w:color w:val="000000"/>
                <w:sz w:val="28"/>
                <w:szCs w:val="28"/>
              </w:rPr>
            </w:pPr>
            <w:r w:rsidRPr="00D53C12">
              <w:rPr>
                <w:rFonts w:ascii="Times New Roman" w:eastAsia="Times New Roman" w:hAnsi="Times New Roman" w:cs="Times New Roman"/>
                <w:b/>
                <w:color w:val="000000"/>
                <w:sz w:val="28"/>
                <w:szCs w:val="28"/>
              </w:rPr>
              <w:t>Муниципальное управление</w:t>
            </w: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Доходы консолидированного бюджета субъекта Российской Федерации на душу населения (за период с начала года, тыс.руб. на человека)</w:t>
            </w:r>
          </w:p>
        </w:tc>
      </w:tr>
      <w:tr w:rsidR="00530383" w:rsidRPr="00530383" w:rsidTr="00D53C12">
        <w:trPr>
          <w:trHeight w:val="1648"/>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субъекта РФ (за период с начала года, %)</w:t>
            </w:r>
          </w:p>
        </w:tc>
      </w:tr>
      <w:tr w:rsidR="00530383" w:rsidRPr="00530383" w:rsidTr="00D53C12">
        <w:trPr>
          <w:trHeight w:val="836"/>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Темп роста налоговых и неналоговых доходов консолидированного бюджета субъекта РФ (за период с начала года в % к соответствующему периоду прошлого года)</w:t>
            </w:r>
          </w:p>
        </w:tc>
      </w:tr>
      <w:tr w:rsidR="00530383" w:rsidRPr="00530383" w:rsidTr="00D53C12">
        <w:trPr>
          <w:trHeight w:val="1135"/>
        </w:trPr>
        <w:tc>
          <w:tcPr>
            <w:tcW w:w="1156" w:type="pct"/>
            <w:vMerge/>
            <w:tcBorders>
              <w:top w:val="nil"/>
              <w:left w:val="single" w:sz="4" w:space="0" w:color="auto"/>
              <w:bottom w:val="single" w:sz="4" w:space="0" w:color="000000"/>
              <w:right w:val="single" w:sz="4" w:space="0" w:color="auto"/>
            </w:tcBorders>
            <w:vAlign w:val="center"/>
            <w:hideMark/>
          </w:tcPr>
          <w:p w:rsidR="00530383" w:rsidRPr="00530383" w:rsidRDefault="00530383" w:rsidP="00D527CE">
            <w:pPr>
              <w:spacing w:after="0" w:line="240" w:lineRule="auto"/>
              <w:rPr>
                <w:rFonts w:ascii="Times New Roman" w:eastAsia="Times New Roman" w:hAnsi="Times New Roman" w:cs="Times New Roman"/>
                <w:color w:val="000000"/>
                <w:sz w:val="28"/>
                <w:szCs w:val="28"/>
              </w:rPr>
            </w:pPr>
          </w:p>
        </w:tc>
        <w:tc>
          <w:tcPr>
            <w:tcW w:w="3844" w:type="pct"/>
            <w:tcBorders>
              <w:top w:val="nil"/>
              <w:left w:val="nil"/>
              <w:bottom w:val="single" w:sz="4" w:space="0" w:color="auto"/>
              <w:right w:val="single" w:sz="4" w:space="0" w:color="auto"/>
            </w:tcBorders>
            <w:shd w:val="clear" w:color="auto" w:fill="auto"/>
            <w:vAlign w:val="bottom"/>
            <w:hideMark/>
          </w:tcPr>
          <w:p w:rsidR="00530383" w:rsidRPr="00530383" w:rsidRDefault="00530383" w:rsidP="00D527CE">
            <w:pPr>
              <w:spacing w:after="0" w:line="240" w:lineRule="auto"/>
              <w:jc w:val="both"/>
              <w:rPr>
                <w:rFonts w:ascii="Times New Roman" w:eastAsia="Times New Roman" w:hAnsi="Times New Roman" w:cs="Times New Roman"/>
                <w:color w:val="000000"/>
                <w:sz w:val="28"/>
                <w:szCs w:val="28"/>
              </w:rPr>
            </w:pPr>
            <w:r w:rsidRPr="00530383">
              <w:rPr>
                <w:rFonts w:ascii="Times New Roman" w:eastAsia="Times New Roman" w:hAnsi="Times New Roman" w:cs="Times New Roman"/>
                <w:color w:val="000000"/>
                <w:sz w:val="28"/>
                <w:szCs w:val="2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субъекта РФ (за период с начала года, в %)</w:t>
            </w:r>
          </w:p>
        </w:tc>
      </w:tr>
    </w:tbl>
    <w:p w:rsidR="00530383" w:rsidRDefault="00530383" w:rsidP="00D527CE">
      <w:pPr>
        <w:tabs>
          <w:tab w:val="left" w:pos="2177"/>
        </w:tabs>
        <w:spacing w:after="0" w:line="240" w:lineRule="auto"/>
        <w:jc w:val="center"/>
        <w:rPr>
          <w:rFonts w:ascii="Times New Roman" w:eastAsia="Times New Roman" w:hAnsi="Times New Roman" w:cs="Times New Roman"/>
          <w:b/>
          <w:sz w:val="28"/>
          <w:szCs w:val="28"/>
        </w:rPr>
      </w:pP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1. Индекс промышленного производства</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важнейший индикатор экономической активности в реальном секторе экономики;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 xml:space="preserve">2. </w:t>
      </w:r>
      <w:r w:rsidRPr="00153E07">
        <w:rPr>
          <w:rFonts w:ascii="Times New Roman" w:eastAsia="Times New Roman" w:hAnsi="Times New Roman" w:cs="Times New Roman"/>
          <w:b/>
          <w:color w:val="000000"/>
          <w:sz w:val="28"/>
          <w:szCs w:val="28"/>
        </w:rPr>
        <w:t>Темп роста числа субъектов малого предпринимательства</w:t>
      </w:r>
      <w:r w:rsidRPr="00153E07">
        <w:rPr>
          <w:rFonts w:ascii="Times New Roman" w:eastAsia="Times New Roman" w:hAnsi="Times New Roman" w:cs="Times New Roman"/>
          <w:sz w:val="28"/>
          <w:szCs w:val="28"/>
        </w:rPr>
        <w:t>(за период с начала года в % к соответствующему периоду прошлого года) – показывает наращивание объемов предпринимательской деятельности;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3. Индекс производства продукции сельского хозяйства</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квартальный показатель);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4. Объем отгруженных товаров на душу населения</w:t>
      </w:r>
      <w:r w:rsidRPr="00153E07">
        <w:rPr>
          <w:rFonts w:ascii="Times New Roman" w:eastAsia="Times New Roman" w:hAnsi="Times New Roman" w:cs="Times New Roman"/>
          <w:sz w:val="28"/>
          <w:szCs w:val="28"/>
        </w:rPr>
        <w:t xml:space="preserve"> (за период с начала года, тыс. рублей на человека) – дает оценку уровня экономической деятельности организаций;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 xml:space="preserve">5. </w:t>
      </w:r>
      <w:r w:rsidRPr="00153E07">
        <w:rPr>
          <w:rFonts w:ascii="Times New Roman" w:eastAsia="Times New Roman" w:hAnsi="Times New Roman" w:cs="Times New Roman"/>
          <w:b/>
          <w:color w:val="000000"/>
          <w:sz w:val="28"/>
          <w:szCs w:val="28"/>
        </w:rPr>
        <w:t>Доля задолженности предприятий по платежам в бюджет и внебюджетные фонды в общей сумме кредиторской задолженности</w:t>
      </w:r>
      <w:r w:rsidRPr="00153E07">
        <w:rPr>
          <w:rFonts w:ascii="Times New Roman" w:eastAsia="Times New Roman" w:hAnsi="Times New Roman" w:cs="Times New Roman"/>
          <w:sz w:val="28"/>
          <w:szCs w:val="28"/>
        </w:rPr>
        <w:t xml:space="preserve"> (на начало отчетного месяца, в %) – характеризует ситуацию в финансовом секторе и, косвенно, в реальном секторе региона;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6. Темп роста задолженности по кредитам, предоставленным юридическим лицам и индивидуальным предпринимателям</w:t>
      </w:r>
      <w:r w:rsidRPr="00153E07">
        <w:rPr>
          <w:rFonts w:ascii="Times New Roman" w:eastAsia="Times New Roman" w:hAnsi="Times New Roman" w:cs="Times New Roman"/>
          <w:sz w:val="28"/>
          <w:szCs w:val="28"/>
        </w:rPr>
        <w:t xml:space="preserve"> (объем на начало отчетного месяца в % к началу соответствующего месяца предыдущего года) – </w:t>
      </w:r>
      <w:r w:rsidRPr="00153E07">
        <w:rPr>
          <w:rFonts w:ascii="Times New Roman" w:eastAsia="Times New Roman" w:hAnsi="Times New Roman" w:cs="Times New Roman"/>
          <w:sz w:val="28"/>
          <w:szCs w:val="28"/>
        </w:rPr>
        <w:lastRenderedPageBreak/>
        <w:t>характеризует ситуацию в финансовом секторе и, косвенно, в реальном секторе региона;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7. Темп роста оборота розничной торговли</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в сопоставимых ценах) – характеризует динамику потребительского спроса;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b/>
          <w:sz w:val="28"/>
          <w:szCs w:val="28"/>
        </w:rPr>
        <w:t>8. Темп роста объема платных услуг населению</w:t>
      </w:r>
      <w:r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в сопоставимых ценах) – характеризует динамику потребительского спроса; </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9</w:t>
      </w:r>
      <w:r w:rsidR="00153E07" w:rsidRPr="00355F6A">
        <w:rPr>
          <w:rFonts w:ascii="Times New Roman" w:eastAsia="Times New Roman" w:hAnsi="Times New Roman" w:cs="Times New Roman"/>
          <w:b/>
          <w:sz w:val="28"/>
          <w:szCs w:val="28"/>
        </w:rPr>
        <w:t>. Объем</w:t>
      </w:r>
      <w:r w:rsidR="00153E07" w:rsidRPr="00153E07">
        <w:rPr>
          <w:rFonts w:ascii="Times New Roman" w:eastAsia="Times New Roman" w:hAnsi="Times New Roman" w:cs="Times New Roman"/>
          <w:b/>
          <w:sz w:val="28"/>
          <w:szCs w:val="28"/>
        </w:rPr>
        <w:t xml:space="preserve"> инвестиций в основной капитал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квартальный показатель) – важнейший индикатор инвестиционной активности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10</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физического объема инвестиций в основной капитал</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важнейший индикатор инвестиционной активности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11</w:t>
      </w:r>
      <w:r w:rsidR="00153E07" w:rsidRPr="00355F6A">
        <w:rPr>
          <w:rFonts w:ascii="Times New Roman" w:eastAsia="Times New Roman" w:hAnsi="Times New Roman" w:cs="Times New Roman"/>
          <w:b/>
          <w:sz w:val="28"/>
          <w:szCs w:val="28"/>
        </w:rPr>
        <w:t>. Объем</w:t>
      </w:r>
      <w:r w:rsidR="00153E07" w:rsidRPr="00153E07">
        <w:rPr>
          <w:rFonts w:ascii="Times New Roman" w:eastAsia="Times New Roman" w:hAnsi="Times New Roman" w:cs="Times New Roman"/>
          <w:b/>
          <w:sz w:val="28"/>
          <w:szCs w:val="28"/>
        </w:rPr>
        <w:t xml:space="preserve"> работ, выполненных по ВЭД </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Строительство</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 xml:space="preserve">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 показывает ситуацию в строительном секторе; </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12</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физического объема работ, выполненных по ВЭД </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b/>
          <w:sz w:val="28"/>
          <w:szCs w:val="28"/>
        </w:rPr>
        <w:t>Строительство</w:t>
      </w:r>
      <w:r w:rsidR="00DE2D0E">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показывает ситуацию в строительном секторе;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13</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sz w:val="28"/>
          <w:szCs w:val="28"/>
        </w:rPr>
        <w:t>Ввод жилья на душу населения</w:t>
      </w:r>
      <w:r w:rsidR="00153E07" w:rsidRPr="00153E07">
        <w:rPr>
          <w:rFonts w:ascii="Times New Roman" w:eastAsia="Times New Roman" w:hAnsi="Times New Roman" w:cs="Times New Roman"/>
          <w:sz w:val="28"/>
          <w:szCs w:val="28"/>
        </w:rPr>
        <w:t xml:space="preserve"> (за период с начала года, кв.м. на 1000 населения) – показывает объем нового предложения на рынке жилья, характеризует привлекательность региона;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14</w:t>
      </w:r>
      <w:r w:rsidR="00153E07" w:rsidRPr="00355F6A">
        <w:rPr>
          <w:rFonts w:ascii="Times New Roman" w:eastAsia="Times New Roman" w:hAnsi="Times New Roman" w:cs="Times New Roman"/>
          <w:b/>
          <w:sz w:val="28"/>
          <w:szCs w:val="28"/>
        </w:rPr>
        <w:t>. Доля</w:t>
      </w:r>
      <w:r w:rsidR="00153E07" w:rsidRPr="00153E07">
        <w:rPr>
          <w:rFonts w:ascii="Times New Roman" w:eastAsia="Times New Roman" w:hAnsi="Times New Roman" w:cs="Times New Roman"/>
          <w:b/>
          <w:sz w:val="28"/>
          <w:szCs w:val="28"/>
        </w:rPr>
        <w:t xml:space="preserve"> прибыльных предприятий</w:t>
      </w:r>
      <w:r w:rsidR="00153E07" w:rsidRPr="00153E07">
        <w:rPr>
          <w:rFonts w:ascii="Times New Roman" w:eastAsia="Times New Roman" w:hAnsi="Times New Roman" w:cs="Times New Roman"/>
          <w:sz w:val="28"/>
          <w:szCs w:val="28"/>
        </w:rPr>
        <w:t xml:space="preserve"> (за период с начала года, %, лаг – 1 месяц) – отражает финансовое состояние предприятий региона;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15</w:t>
      </w:r>
      <w:r w:rsidR="00153E07" w:rsidRPr="00355F6A">
        <w:rPr>
          <w:rFonts w:ascii="Times New Roman" w:eastAsia="Times New Roman" w:hAnsi="Times New Roman" w:cs="Times New Roman"/>
          <w:b/>
          <w:sz w:val="28"/>
          <w:szCs w:val="28"/>
        </w:rPr>
        <w:t>. Индекс</w:t>
      </w:r>
      <w:r w:rsidR="00153E07" w:rsidRPr="00153E07">
        <w:rPr>
          <w:rFonts w:ascii="Times New Roman" w:eastAsia="Times New Roman" w:hAnsi="Times New Roman" w:cs="Times New Roman"/>
          <w:b/>
          <w:sz w:val="28"/>
          <w:szCs w:val="28"/>
        </w:rPr>
        <w:t xml:space="preserve"> потребительских цен</w:t>
      </w:r>
      <w:r w:rsidR="00153E07" w:rsidRPr="00153E07">
        <w:rPr>
          <w:rFonts w:ascii="Times New Roman" w:eastAsia="Times New Roman" w:hAnsi="Times New Roman" w:cs="Times New Roman"/>
          <w:sz w:val="28"/>
          <w:szCs w:val="28"/>
        </w:rPr>
        <w:t xml:space="preserve"> (в % к декабрю прошлого года) – отражает общую ценовую ситуацию, складывающуюся на региональном рынке;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16</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sz w:val="28"/>
          <w:szCs w:val="28"/>
        </w:rPr>
        <w:t>Динамика реальных денежных доходов населения</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лаг – 1 месяц) – дает оценку изменения доходов населения;</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17</w:t>
      </w:r>
      <w:r w:rsidR="00153E07" w:rsidRPr="00355F6A">
        <w:rPr>
          <w:rFonts w:ascii="Times New Roman" w:eastAsia="Times New Roman" w:hAnsi="Times New Roman" w:cs="Times New Roman"/>
          <w:b/>
          <w:sz w:val="28"/>
          <w:szCs w:val="28"/>
        </w:rPr>
        <w:t>. Отношение</w:t>
      </w:r>
      <w:r w:rsidR="00153E07" w:rsidRPr="00153E07">
        <w:rPr>
          <w:rFonts w:ascii="Times New Roman" w:eastAsia="Times New Roman" w:hAnsi="Times New Roman" w:cs="Times New Roman"/>
          <w:b/>
          <w:sz w:val="28"/>
          <w:szCs w:val="28"/>
        </w:rPr>
        <w:t xml:space="preserve"> среднемесячной зарплаты к стоимости фиксированного набора товаров и услуг</w:t>
      </w:r>
      <w:r w:rsidR="00153E07" w:rsidRPr="00153E07">
        <w:rPr>
          <w:rFonts w:ascii="Times New Roman" w:eastAsia="Times New Roman" w:hAnsi="Times New Roman" w:cs="Times New Roman"/>
          <w:sz w:val="28"/>
          <w:szCs w:val="28"/>
        </w:rPr>
        <w:t xml:space="preserve"> (в разах, лаг – 1 месяц) – показывает среднюю материальную обеспеченность населения;</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18</w:t>
      </w:r>
      <w:r w:rsidR="00153E07" w:rsidRPr="00355F6A">
        <w:rPr>
          <w:rFonts w:ascii="Times New Roman" w:eastAsia="Times New Roman" w:hAnsi="Times New Roman" w:cs="Times New Roman"/>
          <w:b/>
          <w:sz w:val="28"/>
          <w:szCs w:val="28"/>
        </w:rPr>
        <w:t xml:space="preserve">. </w:t>
      </w:r>
      <w:r w:rsidR="00153E07" w:rsidRPr="00355F6A">
        <w:rPr>
          <w:rFonts w:ascii="Times New Roman" w:eastAsia="Times New Roman" w:hAnsi="Times New Roman" w:cs="Times New Roman"/>
          <w:b/>
          <w:color w:val="000000"/>
          <w:sz w:val="28"/>
          <w:szCs w:val="28"/>
        </w:rPr>
        <w:t>Доля</w:t>
      </w:r>
      <w:r w:rsidR="00153E07" w:rsidRPr="00153E07">
        <w:rPr>
          <w:rFonts w:ascii="Times New Roman" w:eastAsia="Times New Roman" w:hAnsi="Times New Roman" w:cs="Times New Roman"/>
          <w:b/>
          <w:color w:val="000000"/>
          <w:sz w:val="28"/>
          <w:szCs w:val="28"/>
        </w:rPr>
        <w:t xml:space="preserve"> трудоспособного населения в общей численности населения</w:t>
      </w:r>
      <w:r w:rsidR="00153E07" w:rsidRPr="00153E07">
        <w:rPr>
          <w:rFonts w:ascii="Times New Roman" w:eastAsia="Times New Roman" w:hAnsi="Times New Roman" w:cs="Times New Roman"/>
          <w:sz w:val="28"/>
          <w:szCs w:val="28"/>
        </w:rPr>
        <w:t>(на конец отчетного месяца, в %) – показывает демографическую ситуацию в регионе;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19</w:t>
      </w:r>
      <w:r w:rsidR="00153E07" w:rsidRPr="00355F6A">
        <w:rPr>
          <w:rFonts w:ascii="Times New Roman" w:eastAsia="Times New Roman" w:hAnsi="Times New Roman" w:cs="Times New Roman"/>
          <w:b/>
          <w:sz w:val="28"/>
          <w:szCs w:val="28"/>
        </w:rPr>
        <w:t xml:space="preserve">. </w:t>
      </w:r>
      <w:r w:rsidR="00153E07" w:rsidRPr="00355F6A">
        <w:rPr>
          <w:rFonts w:ascii="Times New Roman" w:eastAsia="Times New Roman" w:hAnsi="Times New Roman" w:cs="Times New Roman"/>
          <w:b/>
          <w:color w:val="000000"/>
          <w:sz w:val="28"/>
          <w:szCs w:val="28"/>
        </w:rPr>
        <w:t>Число</w:t>
      </w:r>
      <w:r w:rsidR="00153E07" w:rsidRPr="00153E07">
        <w:rPr>
          <w:rFonts w:ascii="Times New Roman" w:eastAsia="Times New Roman" w:hAnsi="Times New Roman" w:cs="Times New Roman"/>
          <w:b/>
          <w:color w:val="000000"/>
          <w:sz w:val="28"/>
          <w:szCs w:val="28"/>
        </w:rPr>
        <w:t xml:space="preserve"> безработных на 1 вакантное место</w:t>
      </w:r>
      <w:r w:rsidR="00153E07" w:rsidRPr="00153E07">
        <w:rPr>
          <w:rFonts w:ascii="Times New Roman" w:eastAsia="Times New Roman" w:hAnsi="Times New Roman" w:cs="Times New Roman"/>
          <w:color w:val="000000"/>
          <w:sz w:val="28"/>
          <w:szCs w:val="28"/>
        </w:rPr>
        <w:t xml:space="preserve"> (на отчетный период, человек) – показывает ситуацию на рынке труда в муниципальном районе</w:t>
      </w:r>
      <w:r w:rsidR="00153E07" w:rsidRPr="00153E07">
        <w:rPr>
          <w:rFonts w:ascii="Times New Roman" w:eastAsia="Times New Roman" w:hAnsi="Times New Roman" w:cs="Times New Roman"/>
          <w:sz w:val="28"/>
          <w:szCs w:val="28"/>
        </w:rPr>
        <w:t>;</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20</w:t>
      </w:r>
      <w:r w:rsidR="00153E07" w:rsidRPr="00355F6A">
        <w:rPr>
          <w:rFonts w:ascii="Times New Roman" w:eastAsia="Times New Roman" w:hAnsi="Times New Roman" w:cs="Times New Roman"/>
          <w:b/>
          <w:sz w:val="28"/>
          <w:szCs w:val="28"/>
        </w:rPr>
        <w:t>.</w:t>
      </w:r>
      <w:r w:rsidR="00153E07" w:rsidRPr="00153E07">
        <w:rPr>
          <w:rFonts w:ascii="Times New Roman" w:eastAsia="Times New Roman" w:hAnsi="Times New Roman" w:cs="Times New Roman"/>
          <w:sz w:val="28"/>
          <w:szCs w:val="28"/>
        </w:rPr>
        <w:t xml:space="preserve"> </w:t>
      </w:r>
      <w:r w:rsidR="00153E07" w:rsidRPr="00153E07">
        <w:rPr>
          <w:rFonts w:ascii="Times New Roman" w:eastAsia="Times New Roman" w:hAnsi="Times New Roman" w:cs="Times New Roman"/>
          <w:b/>
          <w:color w:val="000000"/>
          <w:sz w:val="28"/>
          <w:szCs w:val="28"/>
        </w:rPr>
        <w:t>Покупательная способность заработной платы по отношению к прожиточному минимуму</w:t>
      </w:r>
      <w:r w:rsidR="00153E07" w:rsidRPr="00153E07">
        <w:rPr>
          <w:rFonts w:ascii="Times New Roman" w:eastAsia="Times New Roman" w:hAnsi="Times New Roman" w:cs="Times New Roman"/>
          <w:color w:val="000000"/>
          <w:sz w:val="28"/>
          <w:szCs w:val="28"/>
        </w:rPr>
        <w:t xml:space="preserve"> (объем на начало отчетного месяца в % к началу соответствующего месяца предыдущего года)</w:t>
      </w:r>
      <w:r w:rsidR="00153E07" w:rsidRPr="00153E07">
        <w:rPr>
          <w:rFonts w:ascii="Times New Roman" w:eastAsia="Times New Roman" w:hAnsi="Times New Roman" w:cs="Times New Roman"/>
          <w:sz w:val="28"/>
          <w:szCs w:val="28"/>
        </w:rPr>
        <w:t xml:space="preserve"> – дает оценку потребительского спроса.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21</w:t>
      </w:r>
      <w:r w:rsidR="00153E07" w:rsidRPr="00355F6A">
        <w:rPr>
          <w:rFonts w:ascii="Times New Roman" w:eastAsia="Times New Roman" w:hAnsi="Times New Roman" w:cs="Times New Roman"/>
          <w:b/>
          <w:sz w:val="28"/>
          <w:szCs w:val="28"/>
        </w:rPr>
        <w:t>. Уровень</w:t>
      </w:r>
      <w:r w:rsidR="00153E07" w:rsidRPr="00153E07">
        <w:rPr>
          <w:rFonts w:ascii="Times New Roman" w:eastAsia="Times New Roman" w:hAnsi="Times New Roman" w:cs="Times New Roman"/>
          <w:b/>
          <w:sz w:val="28"/>
          <w:szCs w:val="28"/>
        </w:rPr>
        <w:t xml:space="preserve"> зарегистрированной безработицы</w:t>
      </w:r>
      <w:r w:rsidR="00153E07" w:rsidRPr="00153E07">
        <w:rPr>
          <w:rFonts w:ascii="Times New Roman" w:eastAsia="Times New Roman" w:hAnsi="Times New Roman" w:cs="Times New Roman"/>
          <w:sz w:val="28"/>
          <w:szCs w:val="28"/>
        </w:rPr>
        <w:t xml:space="preserve"> (на отчетный период, в %) – характеризует ситуацию, складывающуюся на муниципальном рынке труда.</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lastRenderedPageBreak/>
        <w:t>22</w:t>
      </w:r>
      <w:r w:rsidR="00153E07" w:rsidRPr="00355F6A">
        <w:rPr>
          <w:rFonts w:ascii="Times New Roman" w:eastAsia="Times New Roman" w:hAnsi="Times New Roman" w:cs="Times New Roman"/>
          <w:b/>
          <w:sz w:val="28"/>
          <w:szCs w:val="28"/>
        </w:rPr>
        <w:t>. Доходы</w:t>
      </w:r>
      <w:r w:rsidR="00153E07" w:rsidRPr="00153E07">
        <w:rPr>
          <w:rFonts w:ascii="Times New Roman" w:eastAsia="Times New Roman" w:hAnsi="Times New Roman" w:cs="Times New Roman"/>
          <w:b/>
          <w:sz w:val="28"/>
          <w:szCs w:val="28"/>
        </w:rPr>
        <w:t xml:space="preserve"> консолидированного бюджета субъекта Российской Федерации на душу населения</w:t>
      </w:r>
      <w:r w:rsidR="00153E07" w:rsidRPr="00153E07">
        <w:rPr>
          <w:rFonts w:ascii="Times New Roman" w:eastAsia="Times New Roman" w:hAnsi="Times New Roman" w:cs="Times New Roman"/>
          <w:sz w:val="28"/>
          <w:szCs w:val="28"/>
        </w:rPr>
        <w:t xml:space="preserve"> (за период с начала года, тыс. рублей на человека) – показатель характеризует устойчивость и стабильность экономики субъекта Российской Федерации, его самостоятельность;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w:t>
      </w:r>
      <w:r w:rsidR="00355F6A" w:rsidRPr="00355F6A">
        <w:rPr>
          <w:rFonts w:ascii="Times New Roman" w:eastAsia="Times New Roman" w:hAnsi="Times New Roman" w:cs="Times New Roman"/>
          <w:b/>
          <w:sz w:val="28"/>
          <w:szCs w:val="28"/>
        </w:rPr>
        <w:t>3</w:t>
      </w:r>
      <w:r w:rsidRPr="00355F6A">
        <w:rPr>
          <w:rFonts w:ascii="Times New Roman" w:eastAsia="Times New Roman" w:hAnsi="Times New Roman" w:cs="Times New Roman"/>
          <w:b/>
          <w:sz w:val="28"/>
          <w:szCs w:val="28"/>
        </w:rPr>
        <w:t>.</w:t>
      </w:r>
      <w:r w:rsidRPr="00153E07">
        <w:rPr>
          <w:rFonts w:ascii="Times New Roman" w:eastAsia="Times New Roman" w:hAnsi="Times New Roman" w:cs="Times New Roman"/>
          <w:sz w:val="28"/>
          <w:szCs w:val="28"/>
        </w:rPr>
        <w:t xml:space="preserve"> </w:t>
      </w:r>
      <w:r w:rsidRPr="00153E07">
        <w:rPr>
          <w:rFonts w:ascii="Times New Roman" w:eastAsia="Times New Roman" w:hAnsi="Times New Roman" w:cs="Times New Roman"/>
          <w:b/>
          <w:color w:val="000000"/>
          <w:sz w:val="28"/>
          <w:szCs w:val="2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субъекта РФ (за период с начала года, %)</w:t>
      </w:r>
      <w:r w:rsidRPr="00153E07">
        <w:rPr>
          <w:rFonts w:ascii="Times New Roman" w:eastAsia="Times New Roman" w:hAnsi="Times New Roman" w:cs="Times New Roman"/>
          <w:sz w:val="28"/>
          <w:szCs w:val="28"/>
        </w:rPr>
        <w:t xml:space="preserve"> – показатель характеризует покрытие собственными доходами расходов субъекта Российской Федерации, определяя самостоятельность субъекта Российской Федерации;</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24</w:t>
      </w:r>
      <w:r w:rsidR="00153E07" w:rsidRPr="00355F6A">
        <w:rPr>
          <w:rFonts w:ascii="Times New Roman" w:eastAsia="Times New Roman" w:hAnsi="Times New Roman" w:cs="Times New Roman"/>
          <w:b/>
          <w:sz w:val="28"/>
          <w:szCs w:val="28"/>
        </w:rPr>
        <w:t>. Темп</w:t>
      </w:r>
      <w:r w:rsidR="00153E07" w:rsidRPr="00153E07">
        <w:rPr>
          <w:rFonts w:ascii="Times New Roman" w:eastAsia="Times New Roman" w:hAnsi="Times New Roman" w:cs="Times New Roman"/>
          <w:b/>
          <w:sz w:val="28"/>
          <w:szCs w:val="28"/>
        </w:rPr>
        <w:t xml:space="preserve"> роста налоговых и неналоговых доходов консолидированного бюджета субъекта Российской Федерации</w:t>
      </w:r>
      <w:r w:rsidR="00153E07" w:rsidRPr="00153E07">
        <w:rPr>
          <w:rFonts w:ascii="Times New Roman" w:eastAsia="Times New Roman" w:hAnsi="Times New Roman" w:cs="Times New Roman"/>
          <w:sz w:val="28"/>
          <w:szCs w:val="28"/>
        </w:rPr>
        <w:t xml:space="preserve"> (за период с начала года в % к соответствующему периоду прошлого года) – характеризует текущую ситуацию в экономике субъекта Российской Федерации его направленность на развитие;</w:t>
      </w:r>
    </w:p>
    <w:p w:rsidR="00153E07" w:rsidRPr="00153E07" w:rsidRDefault="00355F6A" w:rsidP="00D527CE">
      <w:pPr>
        <w:tabs>
          <w:tab w:val="left" w:pos="2177"/>
        </w:tabs>
        <w:spacing w:after="0" w:line="240" w:lineRule="auto"/>
        <w:ind w:firstLine="709"/>
        <w:jc w:val="both"/>
        <w:rPr>
          <w:rFonts w:ascii="Times New Roman" w:eastAsia="Times New Roman" w:hAnsi="Times New Roman" w:cs="Times New Roman"/>
          <w:sz w:val="28"/>
          <w:szCs w:val="28"/>
        </w:rPr>
      </w:pPr>
      <w:r w:rsidRPr="00355F6A">
        <w:rPr>
          <w:rFonts w:ascii="Times New Roman" w:eastAsia="Times New Roman" w:hAnsi="Times New Roman" w:cs="Times New Roman"/>
          <w:b/>
          <w:sz w:val="28"/>
          <w:szCs w:val="28"/>
        </w:rPr>
        <w:t>25</w:t>
      </w:r>
      <w:r w:rsidR="00153E07" w:rsidRPr="00355F6A">
        <w:rPr>
          <w:rFonts w:ascii="Times New Roman" w:eastAsia="Times New Roman" w:hAnsi="Times New Roman" w:cs="Times New Roman"/>
          <w:b/>
          <w:sz w:val="28"/>
          <w:szCs w:val="28"/>
        </w:rPr>
        <w:t>. Доля</w:t>
      </w:r>
      <w:r w:rsidR="00153E07" w:rsidRPr="00153E07">
        <w:rPr>
          <w:rFonts w:ascii="Times New Roman" w:eastAsia="Times New Roman" w:hAnsi="Times New Roman" w:cs="Times New Roman"/>
          <w:b/>
          <w:sz w:val="28"/>
          <w:szCs w:val="28"/>
        </w:rPr>
        <w:t xml:space="preserve"> капитальных расходов в общем объеме расходов консолидированного бюджета субъекта Российской Федерации</w:t>
      </w:r>
      <w:r w:rsidR="00153E07" w:rsidRPr="00153E07">
        <w:rPr>
          <w:rFonts w:ascii="Times New Roman" w:eastAsia="Times New Roman" w:hAnsi="Times New Roman" w:cs="Times New Roman"/>
          <w:sz w:val="28"/>
          <w:szCs w:val="28"/>
        </w:rPr>
        <w:t xml:space="preserve"> (за период с начала года, в %) – характеризует ориентированность консолидированных бюджетов субъектов Российской Федерации на долгосрочные капитальные вложения, определяет развитие регионов.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Целевыми показателями для данной системы индикаторов выступят прогнозируемые показатели социально-экономического развития Бардымского муниципального района.</w:t>
      </w:r>
    </w:p>
    <w:p w:rsidR="00153E07" w:rsidRPr="00153E07" w:rsidRDefault="00153E07" w:rsidP="00D527CE">
      <w:pPr>
        <w:spacing w:line="240" w:lineRule="auto"/>
        <w:jc w:val="both"/>
        <w:rPr>
          <w:rFonts w:ascii="Times New Roman" w:hAnsi="Times New Roman" w:cs="Times New Roman"/>
          <w:sz w:val="28"/>
          <w:szCs w:val="28"/>
        </w:rPr>
      </w:pPr>
    </w:p>
    <w:p w:rsidR="00153E07" w:rsidRPr="00153E07" w:rsidRDefault="00153E07" w:rsidP="00D527CE">
      <w:pPr>
        <w:pStyle w:val="1"/>
        <w:numPr>
          <w:ilvl w:val="1"/>
          <w:numId w:val="7"/>
        </w:numPr>
        <w:spacing w:line="240" w:lineRule="auto"/>
      </w:pPr>
      <w:r w:rsidRPr="00153E07">
        <w:t>Прогноз основных показателей социально-экономического развития Бардымского муниципального района до 2030 года</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Прогноз основных показателей социально-экономического развития Бардымского муниципального района составлен в соответствии с ключевых показателями и индикаторами Стратегии социально-экономического развития Бардымского муниципального района. Прогнозируемые показатели представлены в приложени</w:t>
      </w:r>
      <w:r w:rsidR="00227D40">
        <w:rPr>
          <w:rFonts w:ascii="Times New Roman" w:eastAsia="Times New Roman" w:hAnsi="Times New Roman" w:cs="Times New Roman"/>
          <w:sz w:val="28"/>
          <w:szCs w:val="28"/>
        </w:rPr>
        <w:t xml:space="preserve">и </w:t>
      </w:r>
      <w:r w:rsidR="005145F6">
        <w:rPr>
          <w:rFonts w:ascii="Times New Roman" w:eastAsia="Times New Roman" w:hAnsi="Times New Roman" w:cs="Times New Roman"/>
          <w:sz w:val="28"/>
          <w:szCs w:val="28"/>
        </w:rPr>
        <w:t xml:space="preserve">5 </w:t>
      </w:r>
      <w:r w:rsidR="0075760E">
        <w:rPr>
          <w:rFonts w:ascii="Times New Roman" w:eastAsia="Times New Roman" w:hAnsi="Times New Roman" w:cs="Times New Roman"/>
          <w:sz w:val="28"/>
          <w:szCs w:val="28"/>
        </w:rPr>
        <w:t xml:space="preserve">и </w:t>
      </w:r>
      <w:r w:rsidR="005145F6">
        <w:rPr>
          <w:rFonts w:ascii="Times New Roman" w:eastAsia="Times New Roman" w:hAnsi="Times New Roman" w:cs="Times New Roman"/>
          <w:sz w:val="28"/>
          <w:szCs w:val="28"/>
        </w:rPr>
        <w:t>на рисунках 3.2</w:t>
      </w:r>
      <w:r w:rsidRPr="00153E07">
        <w:rPr>
          <w:rFonts w:ascii="Times New Roman" w:eastAsia="Times New Roman" w:hAnsi="Times New Roman" w:cs="Times New Roman"/>
          <w:sz w:val="28"/>
          <w:szCs w:val="28"/>
        </w:rPr>
        <w:t>.</w:t>
      </w:r>
      <w:r w:rsidR="00227D40">
        <w:rPr>
          <w:rFonts w:ascii="Times New Roman" w:eastAsia="Times New Roman" w:hAnsi="Times New Roman" w:cs="Times New Roman"/>
          <w:sz w:val="28"/>
          <w:szCs w:val="28"/>
        </w:rPr>
        <w:t xml:space="preserve"> – 3.5.</w:t>
      </w:r>
    </w:p>
    <w:p w:rsidR="00433854"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lastRenderedPageBreak/>
        <w:drawing>
          <wp:inline distT="0" distB="0" distL="0" distR="0">
            <wp:extent cx="4572000" cy="2743200"/>
            <wp:effectExtent l="1905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3.2 - Численность постоянного населения, тыс.чел.</w:t>
      </w:r>
    </w:p>
    <w:p w:rsidR="00433854" w:rsidRDefault="00433854" w:rsidP="00153E07">
      <w:pPr>
        <w:tabs>
          <w:tab w:val="left" w:pos="2177"/>
        </w:tabs>
        <w:spacing w:after="0"/>
        <w:ind w:firstLine="709"/>
        <w:jc w:val="both"/>
        <w:rPr>
          <w:rFonts w:ascii="Times New Roman" w:eastAsia="Times New Roman" w:hAnsi="Times New Roman" w:cs="Times New Roman"/>
          <w:sz w:val="28"/>
          <w:szCs w:val="28"/>
        </w:rPr>
      </w:pPr>
    </w:p>
    <w:p w:rsidR="005145F6" w:rsidRDefault="005145F6" w:rsidP="00153E07">
      <w:pPr>
        <w:tabs>
          <w:tab w:val="left" w:pos="2177"/>
        </w:tabs>
        <w:spacing w:after="0"/>
        <w:ind w:firstLine="709"/>
        <w:jc w:val="both"/>
        <w:rPr>
          <w:rFonts w:ascii="Times New Roman" w:eastAsia="Times New Roman" w:hAnsi="Times New Roman" w:cs="Times New Roman"/>
          <w:sz w:val="28"/>
          <w:szCs w:val="28"/>
        </w:rPr>
      </w:pP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0" t="0" r="0" b="0"/>
            <wp:docPr id="2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3.3 – Индекс промышленного производства</w:t>
      </w:r>
    </w:p>
    <w:p w:rsidR="005145F6" w:rsidRDefault="005145F6" w:rsidP="00D527CE">
      <w:pPr>
        <w:tabs>
          <w:tab w:val="left" w:pos="2177"/>
        </w:tabs>
        <w:spacing w:after="0" w:line="240" w:lineRule="auto"/>
        <w:ind w:firstLine="709"/>
        <w:jc w:val="center"/>
        <w:rPr>
          <w:rFonts w:ascii="Times New Roman" w:eastAsia="Times New Roman" w:hAnsi="Times New Roman" w:cs="Times New Roman"/>
          <w:sz w:val="28"/>
          <w:szCs w:val="28"/>
        </w:rPr>
      </w:pPr>
    </w:p>
    <w:p w:rsidR="005145F6" w:rsidRP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lastRenderedPageBreak/>
        <w:drawing>
          <wp:inline distT="0" distB="0" distL="0" distR="0">
            <wp:extent cx="4572000" cy="2743200"/>
            <wp:effectExtent l="0" t="0" r="0" b="0"/>
            <wp:docPr id="2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3.4 – Динамика начисленной заработной платы работников предприятий и организаций</w:t>
      </w: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p>
    <w:p w:rsidR="005145F6" w:rsidRDefault="005145F6" w:rsidP="005145F6">
      <w:pPr>
        <w:tabs>
          <w:tab w:val="left" w:pos="2177"/>
        </w:tabs>
        <w:spacing w:after="0"/>
        <w:ind w:firstLine="709"/>
        <w:jc w:val="center"/>
        <w:rPr>
          <w:rFonts w:ascii="Times New Roman" w:eastAsia="Times New Roman" w:hAnsi="Times New Roman" w:cs="Times New Roman"/>
          <w:sz w:val="28"/>
          <w:szCs w:val="28"/>
        </w:rPr>
      </w:pPr>
      <w:r w:rsidRPr="005145F6">
        <w:rPr>
          <w:rFonts w:ascii="Times New Roman" w:eastAsia="Times New Roman" w:hAnsi="Times New Roman" w:cs="Times New Roman"/>
          <w:noProof/>
          <w:sz w:val="28"/>
          <w:szCs w:val="28"/>
        </w:rPr>
        <w:drawing>
          <wp:inline distT="0" distB="0" distL="0" distR="0">
            <wp:extent cx="4572000" cy="2743200"/>
            <wp:effectExtent l="19050" t="0" r="19050" b="0"/>
            <wp:docPr id="26"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5145F6" w:rsidRPr="00D53C12" w:rsidRDefault="005145F6" w:rsidP="00D527CE">
      <w:pPr>
        <w:tabs>
          <w:tab w:val="left" w:pos="2177"/>
        </w:tabs>
        <w:spacing w:after="0" w:line="240" w:lineRule="auto"/>
        <w:ind w:firstLine="709"/>
        <w:jc w:val="center"/>
        <w:rPr>
          <w:rFonts w:ascii="Times New Roman" w:eastAsia="Times New Roman" w:hAnsi="Times New Roman" w:cs="Times New Roman"/>
          <w:b/>
          <w:sz w:val="28"/>
          <w:szCs w:val="28"/>
        </w:rPr>
      </w:pPr>
      <w:r w:rsidRPr="00D53C12">
        <w:rPr>
          <w:rFonts w:ascii="Times New Roman" w:eastAsia="Times New Roman" w:hAnsi="Times New Roman" w:cs="Times New Roman"/>
          <w:b/>
          <w:sz w:val="28"/>
          <w:szCs w:val="28"/>
        </w:rPr>
        <w:t>Рисунок 3.5 – Темп роста неналоговых доходов консолидированного бюджета Бардымского муниципального района</w:t>
      </w:r>
    </w:p>
    <w:p w:rsidR="005145F6" w:rsidRDefault="005145F6" w:rsidP="00D527CE">
      <w:pPr>
        <w:tabs>
          <w:tab w:val="left" w:pos="2177"/>
        </w:tabs>
        <w:spacing w:after="0" w:line="240" w:lineRule="auto"/>
        <w:ind w:firstLine="709"/>
        <w:jc w:val="center"/>
        <w:rPr>
          <w:rFonts w:ascii="Times New Roman" w:eastAsia="Times New Roman" w:hAnsi="Times New Roman" w:cs="Times New Roman"/>
          <w:sz w:val="28"/>
          <w:szCs w:val="28"/>
        </w:rPr>
      </w:pPr>
    </w:p>
    <w:p w:rsidR="005145F6" w:rsidRPr="00153E07" w:rsidRDefault="005145F6" w:rsidP="00153E07">
      <w:pPr>
        <w:tabs>
          <w:tab w:val="left" w:pos="2177"/>
        </w:tabs>
        <w:spacing w:after="0"/>
        <w:ind w:firstLine="709"/>
        <w:jc w:val="both"/>
        <w:rPr>
          <w:rFonts w:ascii="Times New Roman" w:eastAsia="Times New Roman" w:hAnsi="Times New Roman" w:cs="Times New Roman"/>
          <w:sz w:val="28"/>
          <w:szCs w:val="28"/>
        </w:rPr>
      </w:pPr>
    </w:p>
    <w:p w:rsidR="00153E07" w:rsidRPr="00153E07" w:rsidRDefault="00153E07" w:rsidP="00153E07">
      <w:pPr>
        <w:spacing w:after="160" w:line="259" w:lineRule="auto"/>
        <w:jc w:val="both"/>
        <w:rPr>
          <w:rFonts w:ascii="Times New Roman" w:eastAsiaTheme="majorEastAsia" w:hAnsi="Times New Roman" w:cs="Times New Roman"/>
          <w:b/>
          <w:bCs/>
          <w:sz w:val="28"/>
          <w:szCs w:val="28"/>
        </w:rPr>
      </w:pPr>
      <w:r w:rsidRPr="00153E07">
        <w:rPr>
          <w:rFonts w:ascii="Times New Roman" w:hAnsi="Times New Roman" w:cs="Times New Roman"/>
          <w:sz w:val="28"/>
          <w:szCs w:val="28"/>
        </w:rPr>
        <w:br w:type="page"/>
      </w:r>
    </w:p>
    <w:p w:rsidR="00153E07" w:rsidRPr="00153E07" w:rsidRDefault="00153E07" w:rsidP="00543488">
      <w:pPr>
        <w:pStyle w:val="1"/>
        <w:numPr>
          <w:ilvl w:val="1"/>
          <w:numId w:val="7"/>
        </w:numPr>
        <w:spacing w:line="240" w:lineRule="auto"/>
      </w:pPr>
      <w:r w:rsidRPr="00153E07">
        <w:lastRenderedPageBreak/>
        <w:t>Система оценки и контроля (мониторинга) реализации Стратегии социально-экономического развития Бардымского муниципального района на 2018-2030 годы</w:t>
      </w:r>
    </w:p>
    <w:p w:rsidR="0075760E" w:rsidRPr="0075760E" w:rsidRDefault="00E65761" w:rsidP="00543488">
      <w:pPr>
        <w:spacing w:line="240" w:lineRule="auto"/>
        <w:ind w:firstLine="709"/>
        <w:jc w:val="both"/>
        <w:rPr>
          <w:rFonts w:ascii="Times New Roman" w:hAnsi="Times New Roman" w:cs="Times New Roman"/>
          <w:b/>
          <w:sz w:val="28"/>
          <w:szCs w:val="28"/>
        </w:rPr>
      </w:pPr>
      <w:r w:rsidRPr="0075760E">
        <w:rPr>
          <w:rFonts w:ascii="Times New Roman" w:eastAsia="Times New Roman" w:hAnsi="Times New Roman" w:cs="Times New Roman"/>
          <w:b/>
          <w:sz w:val="28"/>
          <w:szCs w:val="28"/>
        </w:rPr>
        <w:t xml:space="preserve">Стратегической целью стратегии развития является </w:t>
      </w:r>
      <w:r w:rsidR="0075760E" w:rsidRPr="0075760E">
        <w:rPr>
          <w:rFonts w:ascii="Times New Roman" w:hAnsi="Times New Roman" w:cs="Times New Roman"/>
          <w:b/>
          <w:sz w:val="28"/>
          <w:szCs w:val="28"/>
        </w:rPr>
        <w:t>повышение качества жизни и создание благоприятных условий для жизни и деятельности населения района.</w:t>
      </w:r>
    </w:p>
    <w:p w:rsidR="00153E07" w:rsidRPr="00153E07" w:rsidRDefault="00153E07" w:rsidP="00543488">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Контроль за реализацией Стратегии социально-экономического развития Бардымского муниципального района осуществляется Управлением финансов и планово-экономическим отделом </w:t>
      </w:r>
      <w:r w:rsidR="00AE52B1">
        <w:rPr>
          <w:rFonts w:ascii="Times New Roman" w:eastAsia="Times New Roman" w:hAnsi="Times New Roman" w:cs="Times New Roman"/>
          <w:sz w:val="28"/>
          <w:szCs w:val="28"/>
        </w:rPr>
        <w:t xml:space="preserve">Администрации </w:t>
      </w:r>
      <w:r w:rsidRPr="00153E07">
        <w:rPr>
          <w:rFonts w:ascii="Times New Roman" w:eastAsia="Times New Roman" w:hAnsi="Times New Roman" w:cs="Times New Roman"/>
          <w:sz w:val="28"/>
          <w:szCs w:val="28"/>
        </w:rPr>
        <w:t>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Итоги мониторинга Стратегии подводятся ежегодно в сводных аналитических отчетах, подготавливаемых соисполнителями по итогам отчетного финансового года с выводами о степени достижения целей и необходимости корректировки стратегического плана.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Годовой отчет о реализации Стратегии социально-экономического развития содержит:</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 конкретные результаты, достигнутые за отчетный период;</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а.1) сведения о достижении целевых показателей (индикаторов)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б) перечень контрольных событий, выполненных и не выполненных (с указанием причин) в установленные сроки согласно плану реализации;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перечень мероприятий, выполненных и не выполненных (с указанием причин) в установленные сроки;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 анализ факторов, повлиявших на ход реализации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 данные об использовании бюджетных ассигнований и иных средств на выполнение мероприятий;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е) информацию о внесенных ответственным исполнителем изменениях в государственную программу;</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ж) аналитический отчет о выполнении мероприятий приоритетных национальных проектов;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 оценку эффективности государственной программы;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w:t>
      </w:r>
      <w:r w:rsidR="00D53C12">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предложения об изменении форм и методов управления реализацией государственной программы, о сокращении (увеличении) финансирования и (или) корректировке, досрочном прекращении основных мероприятий или государственной программы в целом;</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к)иную информацию в соответствии с методическими указаниями.</w:t>
      </w:r>
      <w:r w:rsidRPr="00153E07">
        <w:rPr>
          <w:rStyle w:val="aff2"/>
          <w:rFonts w:ascii="Times New Roman" w:eastAsia="Times New Roman" w:hAnsi="Times New Roman" w:cs="Times New Roman"/>
          <w:sz w:val="28"/>
          <w:szCs w:val="28"/>
        </w:rPr>
        <w:footnoteReference w:id="11"/>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Система оценки эффективности реализации муниципальной программы основывается на положениях </w:t>
      </w:r>
      <w:hyperlink r:id="rId104" w:anchor="Par890" w:history="1">
        <w:r w:rsidRPr="00153E07">
          <w:rPr>
            <w:rFonts w:ascii="Times New Roman" w:eastAsia="Times New Roman" w:hAnsi="Times New Roman" w:cs="Times New Roman"/>
            <w:sz w:val="28"/>
            <w:szCs w:val="28"/>
          </w:rPr>
          <w:t>м</w:t>
        </w:r>
      </w:hyperlink>
      <w:r w:rsidRPr="00153E07">
        <w:rPr>
          <w:rFonts w:ascii="Times New Roman" w:hAnsi="Times New Roman" w:cs="Times New Roman"/>
          <w:sz w:val="28"/>
          <w:szCs w:val="28"/>
        </w:rPr>
        <w:t>етодики</w:t>
      </w:r>
      <w:r w:rsidRPr="00153E07">
        <w:rPr>
          <w:rFonts w:ascii="Times New Roman" w:eastAsia="Times New Roman" w:hAnsi="Times New Roman" w:cs="Times New Roman"/>
          <w:sz w:val="28"/>
          <w:szCs w:val="28"/>
        </w:rPr>
        <w:t xml:space="preserve"> оценки эффективности реализации муниципальных программ.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В соответствии с методикой, для оценки степени достижения целей и решения задач Стратегии определяется степень достижения целевых значений каждого показателя (индикатора), предусмотренных Стратегией.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Степень достижения целевого значения индикатора рассчитывается по следующим формулам: </w:t>
      </w:r>
    </w:p>
    <w:p w:rsidR="00153E07" w:rsidRPr="00153E07" w:rsidRDefault="00153E07" w:rsidP="00D527CE">
      <w:pPr>
        <w:pStyle w:val="af1"/>
        <w:numPr>
          <w:ilvl w:val="0"/>
          <w:numId w:val="13"/>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индикаторов, желаемой тенденцией развития которых является увеличение значений: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8"/>
                <w:sz w:val="28"/>
                <w:szCs w:val="28"/>
              </w:rPr>
              <w:object w:dxaOrig="1160" w:dyaOrig="660">
                <v:shape id="_x0000_i1027" type="#_x0000_t75" style="width:57.75pt;height:32.25pt" o:ole="">
                  <v:imagedata r:id="rId105" o:title=""/>
                </v:shape>
                <o:OLEObject Type="Embed" ProgID="Equation.3" ShapeID="_x0000_i1027" DrawAspect="Content" ObjectID="_1583327338" r:id="rId106"/>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(3.1)</w:t>
            </w:r>
          </w:p>
          <w:p w:rsidR="00153E07" w:rsidRPr="00153E07" w:rsidRDefault="00153E07" w:rsidP="00D527CE">
            <w:pPr>
              <w:tabs>
                <w:tab w:val="left" w:pos="2177"/>
              </w:tabs>
              <w:jc w:val="both"/>
              <w:rPr>
                <w:rFonts w:ascii="Times New Roman" w:eastAsia="Times New Roman" w:hAnsi="Times New Roman" w:cs="Times New Roman"/>
                <w:sz w:val="28"/>
                <w:szCs w:val="28"/>
              </w:rPr>
            </w:pPr>
          </w:p>
        </w:tc>
      </w:tr>
    </w:tbl>
    <w:p w:rsidR="00153E07" w:rsidRPr="00153E07" w:rsidRDefault="00153E07" w:rsidP="00D527CE">
      <w:pPr>
        <w:pStyle w:val="af1"/>
        <w:numPr>
          <w:ilvl w:val="0"/>
          <w:numId w:val="13"/>
        </w:numPr>
        <w:tabs>
          <w:tab w:val="left" w:pos="2177"/>
        </w:tabs>
        <w:spacing w:after="0" w:line="240" w:lineRule="auto"/>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для индикаторов, желаемой тенденцией развития которых является снижение значений:</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8"/>
                <w:sz w:val="28"/>
                <w:szCs w:val="28"/>
              </w:rPr>
              <w:object w:dxaOrig="1160" w:dyaOrig="660">
                <v:shape id="_x0000_i1028" type="#_x0000_t75" style="width:57.75pt;height:32.25pt" o:ole="">
                  <v:imagedata r:id="rId107" o:title=""/>
                </v:shape>
                <o:OLEObject Type="Embed" ProgID="Equation.3" ShapeID="_x0000_i1028" DrawAspect="Content" ObjectID="_1583327339" r:id="rId108"/>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(3.2)</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где: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СД – степень достижения целевого значения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ЗПф – фактическое (текущее) значение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ЗПц – целевое (плановое) значение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Степень реализации ключевого показателя Стратегии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4"/>
                <w:sz w:val="28"/>
                <w:szCs w:val="28"/>
              </w:rPr>
              <w:object w:dxaOrig="1400" w:dyaOrig="960">
                <v:shape id="_x0000_i1029" type="#_x0000_t75" style="width:69pt;height:46.5pt" o:ole="">
                  <v:imagedata r:id="rId109" o:title=""/>
                </v:shape>
                <o:OLEObject Type="Embed" ProgID="Equation.3" ShapeID="_x0000_i1029" DrawAspect="Content" ObjectID="_1583327340" r:id="rId110"/>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(3.3)</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Где: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СРп – степень реализации ключевого показателя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СД - степень достижения целевого значения индикатора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lang w:val="en-US"/>
        </w:rPr>
        <w:t>N</w:t>
      </w:r>
      <w:r w:rsidRPr="00153E07">
        <w:rPr>
          <w:rFonts w:ascii="Times New Roman" w:eastAsia="Times New Roman" w:hAnsi="Times New Roman" w:cs="Times New Roman"/>
          <w:sz w:val="28"/>
          <w:szCs w:val="28"/>
        </w:rPr>
        <w:t xml:space="preserve"> – число индикаторов, включаемых в данный ключевой показатель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 использовании данной формулы в случаях, если значение СД&gt; 1, значение СД принимается равным 1.</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Степень реализации Стратегии социально-экономического развития рассчитывается по формуле:</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153E07" w:rsidRPr="00153E07" w:rsidTr="00153E07">
        <w:tc>
          <w:tcPr>
            <w:tcW w:w="4785"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position w:val="-24"/>
                <w:sz w:val="28"/>
                <w:szCs w:val="28"/>
              </w:rPr>
              <w:object w:dxaOrig="1800" w:dyaOrig="960">
                <v:shape id="_x0000_i1030" type="#_x0000_t75" style="width:90.75pt;height:46.5pt" o:ole="">
                  <v:imagedata r:id="rId111" o:title=""/>
                </v:shape>
                <o:OLEObject Type="Embed" ProgID="Equation.3" ShapeID="_x0000_i1030" DrawAspect="Content" ObjectID="_1583327341" r:id="rId112"/>
              </w:object>
            </w:r>
            <w:r w:rsidRPr="00153E07">
              <w:rPr>
                <w:rFonts w:ascii="Times New Roman" w:eastAsia="Times New Roman" w:hAnsi="Times New Roman" w:cs="Times New Roman"/>
                <w:sz w:val="28"/>
                <w:szCs w:val="28"/>
              </w:rPr>
              <w:t>;</w:t>
            </w:r>
          </w:p>
        </w:tc>
        <w:tc>
          <w:tcPr>
            <w:tcW w:w="4786" w:type="dxa"/>
          </w:tcPr>
          <w:p w:rsidR="00153E07" w:rsidRPr="00153E07" w:rsidRDefault="00153E07" w:rsidP="00D527CE">
            <w:pPr>
              <w:tabs>
                <w:tab w:val="left" w:pos="2177"/>
              </w:tabs>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(3.3)</w:t>
            </w:r>
          </w:p>
        </w:tc>
      </w:tr>
    </w:tbl>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где: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СРссэр – степень реализации Стратегии социально-экономического развития,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СРп - степень реализации ключевого показателя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lang w:val="en-US"/>
        </w:rPr>
        <w:t>M</w:t>
      </w:r>
      <w:r w:rsidRPr="00153E07">
        <w:rPr>
          <w:rFonts w:ascii="Times New Roman" w:eastAsia="Times New Roman" w:hAnsi="Times New Roman" w:cs="Times New Roman"/>
          <w:sz w:val="28"/>
          <w:szCs w:val="28"/>
        </w:rPr>
        <w:t xml:space="preserve"> – количество ключевых показателей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реализации ключевых показателей и всей Стратегии в целом признается высокой в случае, если значения СРп и СРссэр составляют не менее 0,9.</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Эффективность реализации ключевых показателей и всей Стратегии в целом признается средней в случае, если значения СРп и СРссэр составляют не менее 0,8.</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Эффективность реализации ключевых показателей и всей Стратегии в целом признается удовлетворительной в случае, если значения СРп и СРссэр составляют не менее 0,7.</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остальных случаях эффективность реализации ключевых показателей и всей Стратегии в целом признается неудовлетворительной.</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Целью оценки и контроля (мониторинга) стратегии социально-экономического развития является выявление вопросов, которые требуют наибольшей проработки и корректировки стратегического плана.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Таким образом, в процессе реализации Стратегии ответственному исполнителю необходимо подготавливать предложения об изменении форм и методов управления реализацией государственной программы, о сокращении (увеличении) финансирования и (или) корректировке, досрочном прекращении основных мероприятий.</w:t>
      </w:r>
    </w:p>
    <w:p w:rsidR="00153E07" w:rsidRPr="00153E07" w:rsidRDefault="00153E07" w:rsidP="00D527CE">
      <w:pPr>
        <w:spacing w:after="160" w:line="240" w:lineRule="auto"/>
        <w:jc w:val="both"/>
        <w:rPr>
          <w:rFonts w:ascii="Times New Roman" w:eastAsiaTheme="majorEastAsia" w:hAnsi="Times New Roman" w:cs="Times New Roman"/>
          <w:b/>
          <w:bCs/>
          <w:sz w:val="28"/>
          <w:szCs w:val="28"/>
        </w:rPr>
      </w:pPr>
    </w:p>
    <w:p w:rsidR="00153E07" w:rsidRPr="00153E07" w:rsidRDefault="00153E07" w:rsidP="00D527CE">
      <w:pPr>
        <w:pStyle w:val="1"/>
        <w:numPr>
          <w:ilvl w:val="1"/>
          <w:numId w:val="7"/>
        </w:numPr>
        <w:spacing w:line="240" w:lineRule="auto"/>
      </w:pPr>
      <w:r w:rsidRPr="00153E07">
        <w:t>Оценка социально-экономических последствий реализации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Для успешного социально-экономического развития Бардымского муниципального района необходима современная инженерная и транспортная инфраструктура, которая обеспечит потребности и транспортную доступность новых производств, а также их конкурентоспособность.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Таким образом, </w:t>
      </w:r>
      <w:r w:rsidRPr="00D53C12">
        <w:rPr>
          <w:rFonts w:ascii="Times New Roman" w:eastAsia="Times New Roman" w:hAnsi="Times New Roman" w:cs="Times New Roman"/>
          <w:b/>
          <w:sz w:val="28"/>
          <w:szCs w:val="28"/>
        </w:rPr>
        <w:t>основными проектами в направлении экономического развития Бардымского муниципального района выступают</w:t>
      </w:r>
      <w:r w:rsidRPr="00153E07">
        <w:rPr>
          <w:rFonts w:ascii="Times New Roman" w:eastAsia="Times New Roman" w:hAnsi="Times New Roman" w:cs="Times New Roman"/>
          <w:sz w:val="28"/>
          <w:szCs w:val="28"/>
        </w:rPr>
        <w:t>:</w:t>
      </w:r>
    </w:p>
    <w:p w:rsidR="00153E07" w:rsidRPr="00153E07" w:rsidRDefault="00AE52B1"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00153E07" w:rsidRPr="00153E07">
        <w:rPr>
          <w:rFonts w:ascii="Times New Roman" w:eastAsia="Times New Roman" w:hAnsi="Times New Roman" w:cs="Times New Roman"/>
          <w:sz w:val="28"/>
          <w:szCs w:val="28"/>
        </w:rPr>
        <w:t>оздание комплексной особой экономической зоны с привлечением существующих КФХ и ЛПХ, а также новых инвесторов;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производств</w:t>
      </w:r>
      <w:r w:rsidR="00AE52B1">
        <w:rPr>
          <w:rFonts w:ascii="Times New Roman" w:eastAsia="Times New Roman" w:hAnsi="Times New Roman" w:cs="Times New Roman"/>
          <w:sz w:val="28"/>
          <w:szCs w:val="28"/>
        </w:rPr>
        <w:t xml:space="preserve">о </w:t>
      </w:r>
      <w:r w:rsidRPr="00153E07">
        <w:rPr>
          <w:rFonts w:ascii="Times New Roman" w:eastAsia="Times New Roman" w:hAnsi="Times New Roman" w:cs="Times New Roman"/>
          <w:sz w:val="28"/>
          <w:szCs w:val="28"/>
        </w:rPr>
        <w:t>профилированных железных листов, брикетов из дробленой древесины;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организация производства комбикормов, строительство тепличных хозяйств, мясо- и молокоперерабатывающих производств;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организация кооператива по о</w:t>
      </w:r>
      <w:r w:rsidR="00F805FA">
        <w:rPr>
          <w:rFonts w:ascii="Times New Roman" w:eastAsia="Times New Roman" w:hAnsi="Times New Roman" w:cs="Times New Roman"/>
          <w:sz w:val="28"/>
          <w:szCs w:val="28"/>
        </w:rPr>
        <w:t>казанию бытовых услуг населению.</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Реализация вышеуказанных проектов повлечет за собой появление новых рабочих мест. Недостаток рабочей силы в районе возможно компенсировать за счет миграционного прироста населения. Привлечению населения в район будет способствовать развитие социальной инфраструктуры.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D53C12">
        <w:rPr>
          <w:rFonts w:ascii="Times New Roman" w:eastAsia="Times New Roman" w:hAnsi="Times New Roman" w:cs="Times New Roman"/>
          <w:b/>
          <w:sz w:val="28"/>
          <w:szCs w:val="28"/>
        </w:rPr>
        <w:t>Проектами развития социальной инфраструктуры</w:t>
      </w:r>
      <w:r w:rsidRPr="00153E07">
        <w:rPr>
          <w:rFonts w:ascii="Times New Roman" w:eastAsia="Times New Roman" w:hAnsi="Times New Roman" w:cs="Times New Roman"/>
          <w:sz w:val="28"/>
          <w:szCs w:val="28"/>
        </w:rPr>
        <w:t xml:space="preserve"> в Бардымском муниципальном районе выступают:</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мусороперегрузочной станции;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газификация сельских поселений;</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новых современных и реконструкция имеющихся объектов культуры;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строительство новых и реконструкция имеющихся школ и детских садов;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спортивных объектов;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общежития для студентов краевого политехнического колледжа;</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оптико-волоконных линий связи;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антенн сотовой связи;</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линий электропередач, водопроводов;</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зон отдыха, парков культуры;</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ремонт сельских дорог;</w:t>
      </w:r>
    </w:p>
    <w:p w:rsidR="00153E07" w:rsidRPr="00153E07" w:rsidRDefault="00153E07" w:rsidP="00D527CE">
      <w:pPr>
        <w:pStyle w:val="af1"/>
        <w:numPr>
          <w:ilvl w:val="0"/>
          <w:numId w:val="15"/>
        </w:numPr>
        <w:spacing w:after="0" w:line="240" w:lineRule="auto"/>
        <w:ind w:left="0" w:firstLine="0"/>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обустройство инфраструктуры туристических объектов показа.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социальной инфраструктуры, доступность ресурсов информационно-коммуникационных технологий в муниципальном районе способствует притоку и удержанию в районе населения.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В Бардымском филиале ГАПОУ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Краевой политехнический колледж</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ежегодно обучается 250 студентов. 37% обучающихся проживают в удаленных населенных пунктах Бардымского района и преимущественно являются членами малообеспеченных семей.</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 xml:space="preserve">В связи с этим становится острой проблема проживания студентов, и контроля за их общественным поведением.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Практически все выпускники 9-х классов таких школ как: Кармановская ООШ, Елпачихинская СОШ,</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Константиновская ООШ,</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Акбашевская ООШ, Бичуринская СОШ, Сарашевская СОШ, Печменская СОШ поступают</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по схожим профессиям и специальностям, в учебные заведения среднего профессионального образования южной зоны в г.Чернушка, г.Оса, г.Чайковский, так как в Бардымском филиале отсутствует общежитие.</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Уезжая из Бардымского района, выпускники школ в своей основной массе не возвращаются обратно. Наличие общежития в Краевом политехническом колледже позволит молодежи получать профессиональное образование в своем родном районе, что будет способствовать удержанию</w:t>
      </w:r>
      <w:r w:rsidR="006D54FD">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молодых специалистов и квалифицированных рабочих в родном районе.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Кроме того, наличие общежития позволит контролировать условия проживания и времяпровождения студентов, что будет способствовать снижению преступности в Бардымском районе.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Отсутствие стадиона является препятствием для проведения на качественном уровне с учетом современных требований занятий по физической культуре и спортивно-массовых мероприятий для жителей с.Барда. Состав стадиона: мини-футбольное поле, беговые дорожки, трибуны, ограждения. Данный стадион будет являться спортивным объектом, на котором в дневное время занимаются студенты, а ранним утром, во второй половине дня и вечером пользуются жители района различного возрастного состава от молодежи до пенсионеров.</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Строительство стадиона обеспечит потребность студентов и жителей районного центра в занятиях физической культурой и спортом на открытом воздухе, что будет способствовать созданию условий для укрепления здоровья обучающихся и граждан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Стадион может выступать в качестве центра притяжения и проведения районных и краевых массовых спортивных мероприятий на открытом воздухе.</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Появление новых рабочих мест в Бардымском районе будет способствовать спросу на качественное жилье, что увеличит темпы роста жилищного строительства.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Создание агропромышленного кластера и производственных предприятий в районе будет способствовать развитию банковского сектора и кредитной инфраструктуры в муниципальном районе.</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Развитие транспортной инфраструктуры позволит наладить систему товародвижения, сократить затраты на закупку и обеспечить конкурентоспособность производимой продукции.</w:t>
      </w:r>
    </w:p>
    <w:p w:rsidR="00E65761" w:rsidRPr="00153E07" w:rsidRDefault="00E65761" w:rsidP="00D527CE">
      <w:pPr>
        <w:tabs>
          <w:tab w:val="left" w:pos="2177"/>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Прогнозные показатели социально-экономических последствий реализации Стратегии представлены в приложениях 5-7.</w:t>
      </w:r>
    </w:p>
    <w:p w:rsidR="00153E07" w:rsidRPr="00153E07" w:rsidRDefault="00153E07" w:rsidP="00D527CE">
      <w:pPr>
        <w:spacing w:after="160" w:line="240" w:lineRule="auto"/>
        <w:jc w:val="both"/>
        <w:rPr>
          <w:rFonts w:ascii="Times New Roman" w:hAnsi="Times New Roman" w:cs="Times New Roman"/>
          <w:sz w:val="28"/>
          <w:szCs w:val="28"/>
        </w:rPr>
      </w:pPr>
    </w:p>
    <w:p w:rsidR="00153E07" w:rsidRPr="00153E07" w:rsidRDefault="00153E07" w:rsidP="00D527CE">
      <w:pPr>
        <w:pStyle w:val="1"/>
        <w:numPr>
          <w:ilvl w:val="1"/>
          <w:numId w:val="7"/>
        </w:numPr>
        <w:spacing w:line="240" w:lineRule="auto"/>
      </w:pPr>
      <w:r w:rsidRPr="00153E07">
        <w:t>Механизмы реализации Стратегии социально-экономического развития Бардымского муниципального района на период 2018-2030 годы</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Механизмами реализации стратегии социально-экономического развития выступает совокупность принципов, функций, методов и инструментов управленческого воздействия на процесс социально-экономического развития территории, применяемых территориальными органами власти для достижения стратегических целей и обеспечения приоритетов развития региона.</w:t>
      </w:r>
      <w:r w:rsidRPr="00153E07">
        <w:rPr>
          <w:rFonts w:ascii="Times New Roman" w:eastAsia="Times New Roman" w:hAnsi="Times New Roman" w:cs="Times New Roman"/>
          <w:sz w:val="28"/>
          <w:szCs w:val="28"/>
          <w:vertAlign w:val="superscript"/>
        </w:rPr>
        <w:footnoteReference w:id="12"/>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Принципами реализации стратегии являются: системность, эффективность, адаптивность, непрерывность, целенаправленность и приоритетность, социальное партнерство, гласность и открытость.</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Наиболее важным принципом в данной стратегии является принцип социального партнерства, который заключается во взаимодействии и согласовании интересов стейкхолдеров в рамках реализации стратегии социально-экономического развития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Стейкхолдерами выступают заинтересованные лица, участники разработки и реализации стратегии, к которым относятся органы государственной власти, научная общественность, бизнес-сообщество и население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Ключевым моментом стратегии является переход к другой модели развития, который включает в себя развитие компенсирующих отраслей народного хозяйства.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Механизмы реализации, как правило, основываются на организационно-правовом и ресурсном обеспечении Стратегии. </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Организационно-правовое обеспечение реализации стратегии социально-экономического развития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Федеральный закон от 28.06.2014 № 172-ФЗ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 стратегическом планировании в Российской Федерации;</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 xml:space="preserve">Федеральный закон от 06.10.2003 № 131-ФЗ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Об общих принципах организации местного самоуправления в Российской Федерации</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Распоряжение Правительства Российской Федерации от 07.02.2011 № 165-р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Об утверждении </w:t>
      </w:r>
      <w:hyperlink r:id="rId113" w:anchor="Par28" w:history="1">
        <w:r w:rsidRPr="00153E07">
          <w:rPr>
            <w:rFonts w:ascii="Times New Roman" w:eastAsia="Times New Roman" w:hAnsi="Times New Roman" w:cs="Times New Roman"/>
            <w:sz w:val="28"/>
            <w:szCs w:val="28"/>
          </w:rPr>
          <w:t>Стратеги</w:t>
        </w:r>
      </w:hyperlink>
      <w:r w:rsidRPr="00153E07">
        <w:rPr>
          <w:rFonts w:ascii="Times New Roman" w:eastAsia="Times New Roman" w:hAnsi="Times New Roman" w:cs="Times New Roman"/>
          <w:sz w:val="28"/>
          <w:szCs w:val="28"/>
        </w:rPr>
        <w:t>и социально-экономического развития Приволжского федерального округа на период до 2020 года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Стандарт деятельности органов местного самоуправления Пермского края по обеспечению благоприятного инвестиционного климата, утвержденного Протоколом Совета Пермского краевого регионального отделения Общероссийской общественной организации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Деловая Россия</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от 21.03.2014 № 3/14;</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Постановление Законодательного собрания Пермского края </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Об утверждении </w:t>
      </w:r>
      <w:hyperlink r:id="rId114" w:anchor="Par32" w:history="1">
        <w:r w:rsidRPr="00153E07">
          <w:rPr>
            <w:rFonts w:ascii="Times New Roman" w:eastAsia="Times New Roman" w:hAnsi="Times New Roman" w:cs="Times New Roman"/>
            <w:sz w:val="28"/>
            <w:szCs w:val="28"/>
          </w:rPr>
          <w:t>Стратеги</w:t>
        </w:r>
      </w:hyperlink>
      <w:r w:rsidRPr="00153E07">
        <w:rPr>
          <w:rFonts w:ascii="Times New Roman" w:eastAsia="Times New Roman" w:hAnsi="Times New Roman" w:cs="Times New Roman"/>
          <w:sz w:val="28"/>
          <w:szCs w:val="28"/>
        </w:rPr>
        <w:t>и социально-экономического развития Пермского края до 2026 года</w:t>
      </w:r>
      <w:r w:rsidR="00DE2D0E">
        <w:rPr>
          <w:rFonts w:ascii="Times New Roman" w:eastAsia="Times New Roman" w:hAnsi="Times New Roman" w:cs="Times New Roman"/>
          <w:sz w:val="28"/>
          <w:szCs w:val="28"/>
        </w:rPr>
        <w:t>»</w:t>
      </w:r>
      <w:r w:rsidRPr="00153E07">
        <w:rPr>
          <w:rFonts w:ascii="Times New Roman" w:eastAsia="Times New Roman" w:hAnsi="Times New Roman" w:cs="Times New Roman"/>
          <w:sz w:val="28"/>
          <w:szCs w:val="28"/>
        </w:rPr>
        <w:t xml:space="preserve"> от 01.12.2011 № 3046;</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Устав Бардымского муниципального района Пермского края;</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Схема территориального планирования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Генеральные планы поселений, входящие в состав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Муниципальные целевые программы Бардымского муниципального района;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Инвестиционные муниципальные проекты (программы)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Стратегическое планирование социально-экономического развития территории сдержит два ключевых этапа:</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 разработки стратегии социально-экономического развития территории;</w:t>
      </w:r>
    </w:p>
    <w:p w:rsidR="00153E07" w:rsidRPr="00153E07" w:rsidRDefault="00153E07" w:rsidP="00D527CE">
      <w:pPr>
        <w:pStyle w:val="af1"/>
        <w:numPr>
          <w:ilvl w:val="0"/>
          <w:numId w:val="16"/>
        </w:numPr>
        <w:tabs>
          <w:tab w:val="left" w:pos="0"/>
        </w:tabs>
        <w:spacing w:after="0" w:line="240" w:lineRule="auto"/>
        <w:ind w:left="0"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этап реализации стратегии социально-экономического развития территории.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Из данных этапов вытекают функции управления реализацией стратегии: планирование, исполнение, контроль и мониторинг реализации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Финансирование Стратегии осуществляется за счет средств бюджета Бардымского муниципального района, средств краевого и федерального бюджетов, средств субъектов малого и среднего предпринимательства, а также организаций, образующих инфраструктуру поддержки предпринимательства и субъектов предпринимательства Бардымского муниципального района</w:t>
      </w:r>
      <w:r w:rsidR="00CB7DA8">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в размерах, предусмотренных целевыми программами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Финансирование мероприятий за счет средств районного бюджета предполагает ежегодное утверждение предусмотренных сумм на эти цели при формировании бюджета на очередной финансовый год. В ходе реализации Стратегии возможно корректировка объемов финансирования отдельных мероприятий в соответствии с полученной экономией всех средств, предусмотренных на эти цели, а также дополнительное финансирование за счет свободного остатка средств бюджета Бардымского муниципального района.</w:t>
      </w:r>
    </w:p>
    <w:p w:rsidR="00153E07" w:rsidRPr="00153E07" w:rsidRDefault="00153E07" w:rsidP="00D527CE">
      <w:pPr>
        <w:spacing w:line="240" w:lineRule="auto"/>
        <w:ind w:firstLine="709"/>
        <w:contextualSpacing/>
        <w:jc w:val="both"/>
        <w:rPr>
          <w:rFonts w:ascii="Times New Roman" w:hAnsi="Times New Roman" w:cs="Times New Roman"/>
          <w:sz w:val="28"/>
          <w:szCs w:val="28"/>
        </w:rPr>
      </w:pPr>
    </w:p>
    <w:p w:rsidR="00153E07" w:rsidRPr="00D53C12" w:rsidRDefault="0075760E" w:rsidP="00D527CE">
      <w:pPr>
        <w:spacing w:line="240" w:lineRule="auto"/>
        <w:ind w:firstLine="709"/>
        <w:contextualSpacing/>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3.10. </w:t>
      </w:r>
      <w:r w:rsidR="00153E07" w:rsidRPr="00D53C12">
        <w:rPr>
          <w:rFonts w:ascii="Times New Roman" w:hAnsi="Times New Roman" w:cs="Times New Roman"/>
          <w:b/>
          <w:sz w:val="28"/>
          <w:szCs w:val="28"/>
        </w:rPr>
        <w:t>Контроль и мониторинг реализации Стратегии</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Один из аспектов деятельности администрации Бардымского района направлен на осуществление комплексного управления реализацией стратегии, включающая установленные полномочия. А именно определение эффективных методов по организации стратегии работ, также координировании работ исполнителей мероприятий и контроле качества работ, а также сроков реализации исполнения договоров и контрактов. </w:t>
      </w:r>
    </w:p>
    <w:p w:rsid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Организаторами реализации основных направлении развития, которые соответствуют заданным программам выступает администрация Бардымского муниципального района. </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Проект Стратегии разрабатывается администрацией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с привлечением всех профильных структурных подразделений,  общественных, научных и иных организаций с учетом требований законодательства Российской Федерации о государственной, коммерческой, служебной и иной охраняемой законом тайне.</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Разработанный проект Стратегии вносится в установленном порядке в представительный орган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 Земское Собрание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(далее – Земское Собрание) и выносится на общественные слушания с учетом требований законодательства Российской Федерации, в том числе законодательства Российской Федерации о государственной, коммерческой, служебной и иной охраняемой законом тайне путем размещения проекта на официальном сайте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а также на общедоступном информационном ресурсе стратегического планирования в информаци</w:t>
      </w:r>
      <w:r w:rsidR="00D53C12">
        <w:rPr>
          <w:rFonts w:ascii="Times New Roman" w:eastAsia="Times New Roman" w:hAnsi="Times New Roman" w:cs="Times New Roman"/>
          <w:sz w:val="28"/>
          <w:szCs w:val="28"/>
        </w:rPr>
        <w:t>онно-телекоммуникационной сети «</w:t>
      </w:r>
      <w:r w:rsidRPr="006C167F">
        <w:rPr>
          <w:rFonts w:ascii="Times New Roman" w:eastAsia="Times New Roman" w:hAnsi="Times New Roman" w:cs="Times New Roman"/>
          <w:sz w:val="28"/>
          <w:szCs w:val="28"/>
        </w:rPr>
        <w:t>Интернет».</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Форма, порядок и сроки проведения общественных слушаний проекта Стратегии определяются органом местного самоуправления и публикуются на официальном сайте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Замечания и предложения, поступившие в ходе общественных слушаний проекта Стратегии, рассматриваются администрацией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и с учетом мнений профильных структурных подразделений, принимаются или отклоняются. Перечень полученных замечаний и предложений может быть приложен к проекту Стратегии для рассмотрения Земским Собранием.</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Стратегия утверждается Земским Собранием.</w:t>
      </w:r>
    </w:p>
    <w:p w:rsidR="006C167F" w:rsidRPr="006C167F" w:rsidRDefault="006C167F" w:rsidP="00D527CE">
      <w:pPr>
        <w:tabs>
          <w:tab w:val="left" w:pos="2177"/>
        </w:tabs>
        <w:spacing w:after="0" w:line="240" w:lineRule="auto"/>
        <w:ind w:firstLine="709"/>
        <w:jc w:val="both"/>
        <w:rPr>
          <w:rFonts w:ascii="Times New Roman" w:eastAsia="Times New Roman" w:hAnsi="Times New Roman" w:cs="Times New Roman"/>
          <w:sz w:val="28"/>
          <w:szCs w:val="28"/>
        </w:rPr>
      </w:pPr>
      <w:r w:rsidRPr="006C167F">
        <w:rPr>
          <w:rFonts w:ascii="Times New Roman" w:eastAsia="Times New Roman" w:hAnsi="Times New Roman" w:cs="Times New Roman"/>
          <w:sz w:val="28"/>
          <w:szCs w:val="28"/>
        </w:rPr>
        <w:t xml:space="preserve">Утверждённая Земским Собранием Стратегия социально-экономического развития </w:t>
      </w:r>
      <w:r w:rsidR="00E97C6A">
        <w:rPr>
          <w:rFonts w:ascii="Times New Roman" w:eastAsia="Times New Roman" w:hAnsi="Times New Roman" w:cs="Times New Roman"/>
          <w:sz w:val="28"/>
          <w:szCs w:val="28"/>
        </w:rPr>
        <w:t>Бардымс</w:t>
      </w:r>
      <w:r w:rsidRPr="006C167F">
        <w:rPr>
          <w:rFonts w:ascii="Times New Roman" w:eastAsia="Times New Roman" w:hAnsi="Times New Roman" w:cs="Times New Roman"/>
          <w:sz w:val="28"/>
          <w:szCs w:val="28"/>
        </w:rPr>
        <w:t>кого муниципального района на 201</w:t>
      </w:r>
      <w:r w:rsidR="00D53C12">
        <w:rPr>
          <w:rFonts w:ascii="Times New Roman" w:eastAsia="Times New Roman" w:hAnsi="Times New Roman" w:cs="Times New Roman"/>
          <w:sz w:val="28"/>
          <w:szCs w:val="28"/>
        </w:rPr>
        <w:t>8</w:t>
      </w:r>
      <w:r w:rsidRPr="006C167F">
        <w:rPr>
          <w:rFonts w:ascii="Times New Roman" w:eastAsia="Times New Roman" w:hAnsi="Times New Roman" w:cs="Times New Roman"/>
          <w:sz w:val="28"/>
          <w:szCs w:val="28"/>
        </w:rPr>
        <w:t xml:space="preserve">-2030 годы размещается на официальном сайте Земского собрания в разделе «Решения Земского собрания», на сайте администрации </w:t>
      </w:r>
      <w:r w:rsidR="00E97C6A">
        <w:rPr>
          <w:rFonts w:ascii="Times New Roman" w:eastAsia="Times New Roman" w:hAnsi="Times New Roman" w:cs="Times New Roman"/>
          <w:sz w:val="28"/>
          <w:szCs w:val="28"/>
        </w:rPr>
        <w:t>Бардымского</w:t>
      </w:r>
      <w:r w:rsidRPr="006C167F">
        <w:rPr>
          <w:rFonts w:ascii="Times New Roman" w:eastAsia="Times New Roman" w:hAnsi="Times New Roman" w:cs="Times New Roman"/>
          <w:sz w:val="28"/>
          <w:szCs w:val="28"/>
        </w:rPr>
        <w:t xml:space="preserve"> муниципального района в разделе «Перспективы развития», а также на общедоступном информационном ресурсе стратегического планирования в информационно-телекоммуникационной сети </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Интернет</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 xml:space="preserve"> (далее - сеть </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Интернет</w:t>
      </w:r>
      <w:r w:rsidR="00D53C12">
        <w:rPr>
          <w:rFonts w:ascii="Times New Roman" w:eastAsia="Times New Roman" w:hAnsi="Times New Roman" w:cs="Times New Roman"/>
          <w:sz w:val="28"/>
          <w:szCs w:val="28"/>
        </w:rPr>
        <w:t>»</w:t>
      </w:r>
      <w:r w:rsidRPr="006C167F">
        <w:rPr>
          <w:rFonts w:ascii="Times New Roman" w:eastAsia="Times New Roman" w:hAnsi="Times New Roman" w:cs="Times New Roman"/>
          <w:sz w:val="28"/>
          <w:szCs w:val="28"/>
        </w:rPr>
        <w:t>).</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 xml:space="preserve">Мониторинг и контроль реализации стратегии осуществляют соответствующие направлениям развития подразделения Администрации Бардымского муниципального района Пермского края, а также Земское Собрание </w:t>
      </w:r>
      <w:r w:rsidRPr="00153E07">
        <w:rPr>
          <w:rFonts w:ascii="Times New Roman" w:eastAsia="Times New Roman" w:hAnsi="Times New Roman" w:cs="Times New Roman"/>
          <w:sz w:val="28"/>
          <w:szCs w:val="28"/>
        </w:rPr>
        <w:lastRenderedPageBreak/>
        <w:t>Бардымского муниципального района, Контрольно-счетная палата Бардымского муниципального района.</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Администрация Бардымского муниципального района осуществляет управление Стратегией</w:t>
      </w:r>
      <w:r w:rsidR="006C167F">
        <w:rPr>
          <w:rFonts w:ascii="Times New Roman" w:eastAsia="Times New Roman" w:hAnsi="Times New Roman" w:cs="Times New Roman"/>
          <w:sz w:val="28"/>
          <w:szCs w:val="28"/>
        </w:rPr>
        <w:t xml:space="preserve"> </w:t>
      </w:r>
      <w:r w:rsidRPr="00153E07">
        <w:rPr>
          <w:rFonts w:ascii="Times New Roman" w:eastAsia="Times New Roman" w:hAnsi="Times New Roman" w:cs="Times New Roman"/>
          <w:sz w:val="28"/>
          <w:szCs w:val="28"/>
        </w:rPr>
        <w:t>и ежегодно через систему количественных и качественных индикативных показателей представляет отчет о ходе ее реализации Земскому Собранию</w:t>
      </w:r>
      <w:r w:rsidR="00F805FA">
        <w:rPr>
          <w:rFonts w:ascii="Times New Roman" w:eastAsia="Times New Roman" w:hAnsi="Times New Roman" w:cs="Times New Roman"/>
          <w:sz w:val="28"/>
          <w:szCs w:val="28"/>
        </w:rPr>
        <w:t xml:space="preserve"> Бардымского района </w:t>
      </w:r>
      <w:r w:rsidRPr="00153E07">
        <w:rPr>
          <w:rFonts w:ascii="Times New Roman" w:eastAsia="Times New Roman" w:hAnsi="Times New Roman" w:cs="Times New Roman"/>
          <w:sz w:val="28"/>
          <w:szCs w:val="28"/>
        </w:rPr>
        <w:t>Пермского края.</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t>В Стратегии социально-экономического развития Бардымского муниципального района используется преимущественно программно-целевой метод управления стратегией. Инструментами реализации Стратегии являются муниципальные целевые программы Бардымского муниципального района. Перечень муниципальных целевых программ Бардымского муниципального района представлен в таблице 3.</w:t>
      </w:r>
      <w:r w:rsidR="00D53C12">
        <w:rPr>
          <w:rFonts w:ascii="Times New Roman" w:eastAsia="Times New Roman" w:hAnsi="Times New Roman" w:cs="Times New Roman"/>
          <w:sz w:val="28"/>
          <w:szCs w:val="28"/>
        </w:rPr>
        <w:t>7</w:t>
      </w:r>
      <w:r w:rsidRPr="00153E07">
        <w:rPr>
          <w:rFonts w:ascii="Times New Roman" w:eastAsia="Times New Roman" w:hAnsi="Times New Roman" w:cs="Times New Roman"/>
          <w:sz w:val="28"/>
          <w:szCs w:val="28"/>
        </w:rPr>
        <w:t>.</w:t>
      </w:r>
    </w:p>
    <w:p w:rsidR="00153E07" w:rsidRPr="00153E07" w:rsidRDefault="00153E07" w:rsidP="00D527CE">
      <w:pPr>
        <w:tabs>
          <w:tab w:val="left" w:pos="2177"/>
        </w:tabs>
        <w:spacing w:after="0" w:line="240" w:lineRule="auto"/>
        <w:ind w:firstLine="709"/>
        <w:jc w:val="both"/>
        <w:rPr>
          <w:rFonts w:ascii="Times New Roman" w:eastAsia="Times New Roman" w:hAnsi="Times New Roman" w:cs="Times New Roman"/>
          <w:sz w:val="28"/>
          <w:szCs w:val="28"/>
        </w:rPr>
      </w:pPr>
    </w:p>
    <w:p w:rsidR="00153E07" w:rsidRPr="00153E07" w:rsidRDefault="00153E07" w:rsidP="00153E07">
      <w:pPr>
        <w:tabs>
          <w:tab w:val="left" w:pos="2177"/>
        </w:tabs>
        <w:spacing w:after="0"/>
        <w:ind w:firstLine="709"/>
        <w:jc w:val="both"/>
        <w:rPr>
          <w:rFonts w:ascii="Times New Roman" w:eastAsia="Times New Roman" w:hAnsi="Times New Roman" w:cs="Times New Roman"/>
          <w:sz w:val="28"/>
          <w:szCs w:val="28"/>
        </w:rPr>
        <w:sectPr w:rsidR="00153E07" w:rsidRPr="00153E07" w:rsidSect="001D3C25">
          <w:pgSz w:w="11906" w:h="16838"/>
          <w:pgMar w:top="851" w:right="567" w:bottom="851" w:left="1418" w:header="709" w:footer="709" w:gutter="0"/>
          <w:cols w:space="708"/>
          <w:docGrid w:linePitch="360"/>
        </w:sectPr>
      </w:pPr>
    </w:p>
    <w:p w:rsidR="00153E07" w:rsidRPr="00153E07" w:rsidRDefault="00153E07" w:rsidP="00F805FA">
      <w:pPr>
        <w:tabs>
          <w:tab w:val="left" w:pos="2177"/>
        </w:tabs>
        <w:spacing w:after="0"/>
        <w:ind w:firstLine="709"/>
        <w:jc w:val="right"/>
        <w:rPr>
          <w:rFonts w:ascii="Times New Roman" w:eastAsia="Times New Roman" w:hAnsi="Times New Roman" w:cs="Times New Roman"/>
          <w:sz w:val="28"/>
          <w:szCs w:val="28"/>
        </w:rPr>
      </w:pPr>
      <w:r w:rsidRPr="00153E07">
        <w:rPr>
          <w:rFonts w:ascii="Times New Roman" w:eastAsia="Times New Roman" w:hAnsi="Times New Roman" w:cs="Times New Roman"/>
          <w:sz w:val="28"/>
          <w:szCs w:val="28"/>
        </w:rPr>
        <w:lastRenderedPageBreak/>
        <w:t>Таблица 3.</w:t>
      </w:r>
      <w:r w:rsidR="00CB7DA8">
        <w:rPr>
          <w:rFonts w:ascii="Times New Roman" w:eastAsia="Times New Roman" w:hAnsi="Times New Roman" w:cs="Times New Roman"/>
          <w:sz w:val="28"/>
          <w:szCs w:val="28"/>
        </w:rPr>
        <w:t>7</w:t>
      </w:r>
    </w:p>
    <w:p w:rsidR="00153E07" w:rsidRPr="00F805FA" w:rsidRDefault="00153E07" w:rsidP="00F805FA">
      <w:pPr>
        <w:tabs>
          <w:tab w:val="left" w:pos="2177"/>
        </w:tabs>
        <w:spacing w:after="0"/>
        <w:jc w:val="center"/>
        <w:rPr>
          <w:rFonts w:ascii="Times New Roman" w:eastAsia="Times New Roman" w:hAnsi="Times New Roman" w:cs="Times New Roman"/>
          <w:b/>
          <w:sz w:val="28"/>
          <w:szCs w:val="28"/>
        </w:rPr>
      </w:pPr>
      <w:r w:rsidRPr="00F805FA">
        <w:rPr>
          <w:rFonts w:ascii="Times New Roman" w:eastAsia="Times New Roman" w:hAnsi="Times New Roman" w:cs="Times New Roman"/>
          <w:b/>
          <w:sz w:val="28"/>
          <w:szCs w:val="28"/>
        </w:rPr>
        <w:t>Перечень муниципальных целевых программ Бардымского муниципального района</w:t>
      </w:r>
    </w:p>
    <w:tbl>
      <w:tblPr>
        <w:tblW w:w="4935" w:type="pct"/>
        <w:tblLayout w:type="fixed"/>
        <w:tblLook w:val="04A0"/>
      </w:tblPr>
      <w:tblGrid>
        <w:gridCol w:w="415"/>
        <w:gridCol w:w="1206"/>
        <w:gridCol w:w="1326"/>
        <w:gridCol w:w="2549"/>
        <w:gridCol w:w="1243"/>
        <w:gridCol w:w="970"/>
        <w:gridCol w:w="770"/>
        <w:gridCol w:w="770"/>
        <w:gridCol w:w="756"/>
      </w:tblGrid>
      <w:tr w:rsidR="00153E07" w:rsidRPr="00BE1E96" w:rsidTr="00BE1E96">
        <w:trPr>
          <w:cantSplit/>
          <w:trHeight w:val="1007"/>
        </w:trPr>
        <w:tc>
          <w:tcPr>
            <w:tcW w:w="207"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Цели</w:t>
            </w:r>
          </w:p>
        </w:tc>
        <w:tc>
          <w:tcPr>
            <w:tcW w:w="602" w:type="pct"/>
            <w:tcBorders>
              <w:top w:val="single" w:sz="4" w:space="0" w:color="auto"/>
              <w:left w:val="nil"/>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Задачи</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Программа / Подпрограмма</w:t>
            </w:r>
          </w:p>
        </w:tc>
        <w:tc>
          <w:tcPr>
            <w:tcW w:w="1274"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Ожидаемый результат</w:t>
            </w:r>
          </w:p>
        </w:tc>
        <w:tc>
          <w:tcPr>
            <w:tcW w:w="621"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Объем финансирования, тыс.руб.</w:t>
            </w:r>
          </w:p>
        </w:tc>
        <w:tc>
          <w:tcPr>
            <w:tcW w:w="485"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Сроки реализации, год</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2018, тыс. руб.</w:t>
            </w:r>
          </w:p>
        </w:tc>
        <w:tc>
          <w:tcPr>
            <w:tcW w:w="385"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2019 тыс. руб.</w:t>
            </w:r>
          </w:p>
        </w:tc>
        <w:tc>
          <w:tcPr>
            <w:tcW w:w="378" w:type="pct"/>
            <w:tcBorders>
              <w:top w:val="single" w:sz="4" w:space="0" w:color="auto"/>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2020 тыс. руб.</w:t>
            </w:r>
          </w:p>
        </w:tc>
      </w:tr>
      <w:tr w:rsidR="00153E07" w:rsidRPr="00BE1E96" w:rsidTr="00BE1E96">
        <w:trPr>
          <w:trHeight w:val="2986"/>
        </w:trPr>
        <w:tc>
          <w:tcPr>
            <w:tcW w:w="20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Цель: Развитие человеческого потенциала</w:t>
            </w:r>
          </w:p>
        </w:tc>
        <w:tc>
          <w:tcPr>
            <w:tcW w:w="602" w:type="pct"/>
            <w:tcBorders>
              <w:top w:val="nil"/>
              <w:left w:val="nil"/>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образования</w:t>
            </w:r>
          </w:p>
        </w:tc>
        <w:tc>
          <w:tcPr>
            <w:tcW w:w="662"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образования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bCs/>
                <w:sz w:val="20"/>
                <w:szCs w:val="20"/>
                <w:vertAlign w:val="superscript"/>
              </w:rPr>
              <w:t>Конечным результатом реализации муниципальной программы является предоставление общедоступного и бесплатного дошкольного, общего образования, дополнительного образования и воспитания детей. Сфера образования является инвестициями в будущее, поскольку молодое поколение, способное к самореализации, к успешной профессиональной деятельности, обеспечит социально-экономическое развитие района, края, страны.</w:t>
            </w:r>
          </w:p>
        </w:tc>
        <w:tc>
          <w:tcPr>
            <w:tcW w:w="621"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bCs/>
                <w:sz w:val="20"/>
                <w:szCs w:val="20"/>
                <w:vertAlign w:val="superscript"/>
              </w:rPr>
              <w:t>1336004,6</w:t>
            </w:r>
          </w:p>
        </w:tc>
        <w:tc>
          <w:tcPr>
            <w:tcW w:w="4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bCs/>
                <w:sz w:val="20"/>
                <w:szCs w:val="20"/>
                <w:vertAlign w:val="superscript"/>
              </w:rPr>
              <w:t>454492,6</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bCs/>
                <w:sz w:val="20"/>
                <w:szCs w:val="20"/>
                <w:vertAlign w:val="superscript"/>
              </w:rPr>
              <w:t>439083</w:t>
            </w:r>
          </w:p>
        </w:tc>
        <w:tc>
          <w:tcPr>
            <w:tcW w:w="378"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bCs/>
                <w:sz w:val="20"/>
                <w:szCs w:val="20"/>
                <w:vertAlign w:val="superscript"/>
              </w:rPr>
              <w:t>442429</w:t>
            </w:r>
          </w:p>
        </w:tc>
      </w:tr>
      <w:tr w:rsidR="00153E07" w:rsidRPr="00BE1E96" w:rsidTr="00BE1E96">
        <w:trPr>
          <w:trHeight w:val="1257"/>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физической культуры и спорта</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физической культуры и спорта, пропаганда здорового образа жизни в Бардымском муниципальном районе</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 Увеличение численности населения, систематически занимающихся физической культурой и спортом, в том числе детей, подростков и молодежи с 24,5 в 2018 году до 30% в 2020 году.</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1814</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738</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538</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538</w:t>
            </w:r>
          </w:p>
        </w:tc>
      </w:tr>
      <w:tr w:rsidR="00153E07" w:rsidRPr="00BE1E96" w:rsidTr="00BE1E96">
        <w:trPr>
          <w:trHeight w:val="1133"/>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 Увеличение числа спортсменов Бардымского муниципального района, завоевавших призовые места на краевых и Всероссийских соревнованиях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37"/>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 Увеличение численности населения, вовлечённых в систему массовых физкультурно-спортивных мероприятий.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94"/>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 Увеличение количества вновь построенных и реконструированных спортивных объектов: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42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4.1. реконструкция стадиона в с.Барда;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4.2. реконструкция хоккейной коробки  в с. Барда;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86"/>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4.3. строительство спортивных залов  в с. Новый Ашап, с. Федорки, с. Брюзли, плоскостные сооружения в с, с.Краснояр-I</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285"/>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 Увеличение публикаций в средствах массовой информации физкультурно-оздоровительных и спортивных мероприятий, публикаций по пропаганде здорового образа жизни.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08"/>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6.Увеличение доли учащихся и студентов систематически занимающихся ФКС с 56,9  в 2015 году до 59,1 в 2019 году.</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001"/>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7. Увеличение доли лиц с ограниченными возможностями здоровья занимающихся  ФКС с 1,9  в 2015 году до 13,2 в 2018 году.</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75"/>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культуры и искусства Бардымского муниципального района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культуры и искусства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удовлетворенности жителей Бардымского муниципального района качеством предоставления государственных и муниципальных услуг в сфере культуры до 88% к 2020 году;</w:t>
            </w:r>
          </w:p>
        </w:tc>
        <w:tc>
          <w:tcPr>
            <w:tcW w:w="621"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96585,5</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32195,2</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32195,2</w:t>
            </w:r>
          </w:p>
        </w:tc>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32195,2</w:t>
            </w:r>
          </w:p>
        </w:tc>
      </w:tr>
      <w:tr w:rsidR="00153E07" w:rsidRPr="00BE1E96" w:rsidTr="00BE1E96">
        <w:trPr>
          <w:trHeight w:val="853"/>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xml:space="preserve">- увеличение количества участников культурно-досуговых мероприятий к 2020 году на 7,2 </w:t>
            </w:r>
            <w:r w:rsidRPr="00BE1E96">
              <w:rPr>
                <w:rFonts w:ascii="Times New Roman" w:eastAsia="Times New Roman" w:hAnsi="Times New Roman" w:cs="Times New Roman"/>
                <w:i/>
                <w:iCs/>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 xml:space="preserve"> (по сравнению с предыдущим периодом);</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185"/>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количества библиографических записей в сводном электронном каталоге библиотек России (по сравнению с предыдущим годом) до 2,2 % к 2017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86"/>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xml:space="preserve">- увеличение доли публичных библиотек, подключенных к сети </w:t>
            </w:r>
            <w:r w:rsidR="00DE2D0E" w:rsidRPr="00BE1E96">
              <w:rPr>
                <w:rFonts w:ascii="Times New Roman" w:eastAsia="Times New Roman" w:hAnsi="Times New Roman" w:cs="Times New Roman"/>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Интернет</w:t>
            </w:r>
            <w:r w:rsidR="00DE2D0E" w:rsidRPr="00BE1E96">
              <w:rPr>
                <w:rFonts w:ascii="Times New Roman" w:eastAsia="Times New Roman" w:hAnsi="Times New Roman" w:cs="Times New Roman"/>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 (в общем количестве библиотек Бардымского муниципального района) до 100 %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091"/>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представленных (во всех формах) зрителю музейных предметов (в общем количестве музейных предметов основного фонда) до 34 %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54"/>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xml:space="preserve">- увеличение доли музеев, имеющих сайт в сети </w:t>
            </w:r>
            <w:r w:rsidR="00DE2D0E" w:rsidRPr="00BE1E96">
              <w:rPr>
                <w:rFonts w:ascii="Times New Roman" w:eastAsia="Times New Roman" w:hAnsi="Times New Roman" w:cs="Times New Roman"/>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Интернет</w:t>
            </w:r>
            <w:r w:rsidR="00DE2D0E" w:rsidRPr="00BE1E96">
              <w:rPr>
                <w:rFonts w:ascii="Times New Roman" w:eastAsia="Times New Roman" w:hAnsi="Times New Roman" w:cs="Times New Roman"/>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 в общем количестве музеев до 100 %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53"/>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количества выставочных проектов до 100%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91"/>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посещаемости учреждений культуры на 35% к 2020 году (по отношению к 2012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59"/>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количества виртуальных экспозиции до 2 %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7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посещаемости музейных учреждений до 0,45%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93"/>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посещение музеев Пермского края в вечернее и ночное время до 2%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64"/>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количество обменных межмузейных выставок до 2%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86"/>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bCs/>
                <w:color w:val="000000"/>
                <w:sz w:val="20"/>
                <w:szCs w:val="20"/>
                <w:vertAlign w:val="superscript"/>
              </w:rPr>
              <w:t>- отношение средней заработной платы работников учреждений культуры к средней заработной плате в Бардымском районе – 100,0% к 2020году;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16"/>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bCs/>
                <w:color w:val="000000"/>
                <w:sz w:val="20"/>
                <w:szCs w:val="20"/>
                <w:vertAlign w:val="superscript"/>
              </w:rPr>
              <w:t>- увеличение доли детей, привлекаемых к участию в творческих мероприятиях (в общем числе детей) до 4,1 %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4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ежегодное количество молодежи, охваченной патриотическими общественными практиками не менее 400 человек;</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1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молодежи охваченными общественными добровольческими практиками до 10 %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851"/>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объектов культурного наследия, информация о которых внесена в электронную базу данных единого государственного реестра объектов культурного наследия (памятников истории и культуры) народов Российской Федерации, (в общем количестве объектов культурного наследия) до 10 %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908"/>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объектов культурного наследия, находящихся в удовлетворительном состоянии (не требуется проведение капитального ремонта), от общего количества объектов культурного наследия, расположенных на территории Бардымского района до 50 %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74"/>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количество начатых строек (переносов, реконструкций) объектов инфраструктуры сферы культуры – 2 объекта к 2020 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86"/>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инфраструктурных объектов сферы культуры, по которым проведены работы по приведению в нормативное состоянии е до 40 % к 2020году;</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441"/>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доля граждан, положительно оценивающих состояние межнациональных отношений, в общем количестве граждан Российской Федерации, проживающих в Пермском крае муниципального района – 89,3%;</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96"/>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уровень толерантного отношения к представителям другой национальности – 90,3%;</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9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численность участников мероприятий, направленных на этнокультурное развитие народов России и поддержку языкового многообразия – 103%;</w:t>
            </w:r>
          </w:p>
        </w:tc>
        <w:tc>
          <w:tcPr>
            <w:tcW w:w="621"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cantSplit/>
          <w:trHeight w:val="2110"/>
        </w:trPr>
        <w:tc>
          <w:tcPr>
            <w:tcW w:w="207"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tcBorders>
              <w:top w:val="nil"/>
              <w:left w:val="nil"/>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Повышение эффективности муниципального управления в Бардымском муниципальном районе</w:t>
            </w:r>
          </w:p>
        </w:tc>
        <w:tc>
          <w:tcPr>
            <w:tcW w:w="662"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Профессиональная переподготовка и повышения квалификации кадров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Формирование системы профессионального и личностного роста муниципальных служащих и работников Администрации Бардымского муниципального района Пермского края, ее структурных подразделений и администраций сельских поселений Бардымского муниципального района Пермского края</w:t>
            </w:r>
          </w:p>
        </w:tc>
        <w:tc>
          <w:tcPr>
            <w:tcW w:w="621"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600</w:t>
            </w:r>
          </w:p>
        </w:tc>
        <w:tc>
          <w:tcPr>
            <w:tcW w:w="4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200</w:t>
            </w:r>
          </w:p>
        </w:tc>
        <w:tc>
          <w:tcPr>
            <w:tcW w:w="378"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200 </w:t>
            </w:r>
          </w:p>
        </w:tc>
      </w:tr>
      <w:tr w:rsidR="00153E07" w:rsidRPr="00BE1E96" w:rsidTr="00BE1E96">
        <w:trPr>
          <w:trHeight w:val="1001"/>
        </w:trPr>
        <w:tc>
          <w:tcPr>
            <w:tcW w:w="20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Экономическое развитие</w:t>
            </w: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Повышение занятости, доходов и качества жизни сельского населения, рост доходности и эффективности сельскохозяйственных товаропроизводителей</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543488">
              <w:rPr>
                <w:rFonts w:ascii="Times New Roman" w:eastAsia="Times New Roman" w:hAnsi="Times New Roman" w:cs="Times New Roman"/>
                <w:color w:val="000000"/>
                <w:sz w:val="20"/>
                <w:szCs w:val="20"/>
              </w:rPr>
              <w:t xml:space="preserve">Муниципальная программа </w:t>
            </w:r>
            <w:r w:rsidR="00DE2D0E" w:rsidRPr="00543488">
              <w:rPr>
                <w:rFonts w:ascii="Times New Roman" w:eastAsia="Times New Roman" w:hAnsi="Times New Roman" w:cs="Times New Roman"/>
                <w:color w:val="000000"/>
                <w:sz w:val="20"/>
                <w:szCs w:val="20"/>
              </w:rPr>
              <w:t>«</w:t>
            </w:r>
            <w:r w:rsidRPr="00543488">
              <w:rPr>
                <w:rFonts w:ascii="Times New Roman" w:eastAsia="Times New Roman" w:hAnsi="Times New Roman" w:cs="Times New Roman"/>
                <w:color w:val="000000"/>
                <w:sz w:val="20"/>
                <w:szCs w:val="20"/>
              </w:rPr>
              <w:t xml:space="preserve">Создание условий для устойчивого экономического </w:t>
            </w:r>
            <w:r w:rsidRPr="00543488">
              <w:rPr>
                <w:rFonts w:ascii="Times New Roman" w:eastAsia="Times New Roman" w:hAnsi="Times New Roman" w:cs="Times New Roman"/>
                <w:color w:val="000000"/>
                <w:sz w:val="20"/>
                <w:szCs w:val="20"/>
              </w:rPr>
              <w:lastRenderedPageBreak/>
              <w:t>развития</w:t>
            </w:r>
            <w:r w:rsidR="00DE2D0E" w:rsidRPr="00543488">
              <w:rPr>
                <w:rFonts w:ascii="Times New Roman" w:eastAsia="Times New Roman" w:hAnsi="Times New Roman" w:cs="Times New Roman"/>
                <w:color w:val="000000"/>
                <w:sz w:val="20"/>
                <w:szCs w:val="20"/>
              </w:rPr>
              <w:t>»</w:t>
            </w:r>
            <w:r w:rsidRPr="00543488">
              <w:rPr>
                <w:rFonts w:ascii="Times New Roman" w:eastAsia="Times New Roman" w:hAnsi="Times New Roman" w:cs="Times New Roman"/>
                <w:color w:val="000000"/>
                <w:sz w:val="20"/>
                <w:szCs w:val="20"/>
              </w:rPr>
              <w:t xml:space="preserve"> / Подпрограмма</w:t>
            </w:r>
            <w:r w:rsidRPr="00BE1E96">
              <w:rPr>
                <w:rFonts w:ascii="Times New Roman" w:eastAsia="Times New Roman" w:hAnsi="Times New Roman" w:cs="Times New Roman"/>
                <w:b/>
                <w:color w:val="000000"/>
                <w:sz w:val="20"/>
                <w:szCs w:val="20"/>
                <w:vertAlign w:val="superscript"/>
              </w:rPr>
              <w:t xml:space="preserve">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сельского хозяйства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lastRenderedPageBreak/>
              <w:t>- освоение интенсивных технологий в растениеводстве;</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30865,2</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10288,4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10288,4</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10288,4</w:t>
            </w:r>
          </w:p>
        </w:tc>
      </w:tr>
      <w:tr w:rsidR="00153E07" w:rsidRPr="00BE1E96" w:rsidTr="00BE1E96">
        <w:trPr>
          <w:trHeight w:val="97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xml:space="preserve">- </w:t>
            </w:r>
            <w:r w:rsidRPr="00543488">
              <w:rPr>
                <w:rFonts w:ascii="Times New Roman" w:eastAsia="Times New Roman" w:hAnsi="Times New Roman" w:cs="Times New Roman"/>
                <w:b/>
                <w:color w:val="000000"/>
                <w:sz w:val="20"/>
                <w:szCs w:val="20"/>
                <w:vertAlign w:val="superscript"/>
              </w:rPr>
              <w:t>увеличение</w:t>
            </w:r>
            <w:r w:rsidRPr="00BE1E96">
              <w:rPr>
                <w:rFonts w:ascii="Times New Roman" w:eastAsia="Times New Roman" w:hAnsi="Times New Roman" w:cs="Times New Roman"/>
                <w:color w:val="000000"/>
                <w:sz w:val="20"/>
                <w:szCs w:val="20"/>
                <w:vertAlign w:val="superscript"/>
              </w:rPr>
              <w:t xml:space="preserve"> внесения минеральных удобрений и выполнение работ по защите растений от вредителей и болезней;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2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переход на посев перспективных высокоурожайных сортов, повышение качества производимой продукции;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31"/>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посевных площадей сельскохозяйственных культур, а также озимых и зернобобовых культур;</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04"/>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решение задач ускоренного наращивания производства мяса и молока;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111"/>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сохранение уровня занятости в сельском хозяйстве, повышение имиджа и профессиональной привлекательности сельскохозяйственной отрасли;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0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доходов и качества жизни сельского населения Бардымского муниципального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числа субъектов малых форм хозяйствования в сельской местности;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28"/>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содействие росту доходности и эффективности деятельности субъектов малых форм хозяйствования;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1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привлечение инвестиций из внебюджетных источников (собственных, заемных);</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3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проведение сельскохозяйственных ярмарок с целью привлечения на них участников из числа МФХ;</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9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выполнение задач и достижение предусмотренных подпрограммами показателей, эффективность реализации подпрограмм;</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объем привлечения федеральных и краевых бюджетных средств;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22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nil"/>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качества оказания государственных услуг, выполнения работ и исполнения государственных функций в сфере развития сельского хозяйства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001"/>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Создание благоприятных условий способствующих развитию СМСП, увеличению количества зарегистрированных СМСП и объемов, производимых ими товаров (работ, услуг), росту налогооблагаемой базы.</w:t>
            </w:r>
          </w:p>
        </w:tc>
        <w:tc>
          <w:tcPr>
            <w:tcW w:w="662" w:type="pct"/>
            <w:vMerge w:val="restart"/>
            <w:tcBorders>
              <w:top w:val="nil"/>
              <w:left w:val="single" w:sz="4" w:space="0" w:color="auto"/>
              <w:bottom w:val="single" w:sz="4" w:space="0" w:color="auto"/>
              <w:right w:val="nil"/>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543488">
              <w:rPr>
                <w:rFonts w:ascii="Times New Roman" w:eastAsia="Times New Roman" w:hAnsi="Times New Roman" w:cs="Times New Roman"/>
                <w:color w:val="000000"/>
                <w:szCs w:val="20"/>
              </w:rPr>
              <w:t xml:space="preserve">Муниципальная программа </w:t>
            </w:r>
            <w:r w:rsidR="00DE2D0E" w:rsidRPr="00543488">
              <w:rPr>
                <w:rFonts w:ascii="Times New Roman" w:eastAsia="Times New Roman" w:hAnsi="Times New Roman" w:cs="Times New Roman"/>
                <w:color w:val="000000"/>
                <w:szCs w:val="20"/>
              </w:rPr>
              <w:t>«</w:t>
            </w:r>
            <w:r w:rsidRPr="00543488">
              <w:rPr>
                <w:rFonts w:ascii="Times New Roman" w:eastAsia="Times New Roman" w:hAnsi="Times New Roman" w:cs="Times New Roman"/>
                <w:color w:val="000000"/>
                <w:szCs w:val="20"/>
              </w:rPr>
              <w:t xml:space="preserve">Создание условий для устойчивого </w:t>
            </w:r>
            <w:r w:rsidRPr="00543488">
              <w:rPr>
                <w:rFonts w:ascii="Times New Roman" w:eastAsia="Times New Roman" w:hAnsi="Times New Roman" w:cs="Times New Roman"/>
                <w:color w:val="000000"/>
                <w:szCs w:val="20"/>
              </w:rPr>
              <w:lastRenderedPageBreak/>
              <w:t>экономического развития</w:t>
            </w:r>
            <w:r w:rsidR="00DE2D0E" w:rsidRPr="00543488">
              <w:rPr>
                <w:rFonts w:ascii="Times New Roman" w:eastAsia="Times New Roman" w:hAnsi="Times New Roman" w:cs="Times New Roman"/>
                <w:color w:val="000000"/>
                <w:szCs w:val="20"/>
              </w:rPr>
              <w:t>»</w:t>
            </w:r>
            <w:r w:rsidRPr="00543488">
              <w:rPr>
                <w:rFonts w:ascii="Times New Roman" w:eastAsia="Times New Roman" w:hAnsi="Times New Roman" w:cs="Times New Roman"/>
                <w:color w:val="000000"/>
                <w:szCs w:val="20"/>
              </w:rPr>
              <w:t xml:space="preserve"> /</w:t>
            </w:r>
            <w:r w:rsidRPr="00543488">
              <w:rPr>
                <w:rFonts w:ascii="Times New Roman" w:eastAsia="Times New Roman" w:hAnsi="Times New Roman" w:cs="Times New Roman"/>
                <w:b/>
                <w:color w:val="000000"/>
                <w:szCs w:val="20"/>
              </w:rPr>
              <w:t xml:space="preserve"> </w:t>
            </w:r>
            <w:r w:rsidRPr="00543488">
              <w:rPr>
                <w:rFonts w:ascii="Times New Roman" w:eastAsia="Times New Roman" w:hAnsi="Times New Roman" w:cs="Times New Roman"/>
                <w:color w:val="000000"/>
                <w:sz w:val="20"/>
                <w:szCs w:val="20"/>
              </w:rPr>
              <w:t xml:space="preserve">Подпрограмма </w:t>
            </w:r>
            <w:r w:rsidR="00DE2D0E" w:rsidRPr="00543488">
              <w:rPr>
                <w:rFonts w:ascii="Times New Roman" w:eastAsia="Times New Roman" w:hAnsi="Times New Roman" w:cs="Times New Roman"/>
                <w:color w:val="000000"/>
                <w:sz w:val="20"/>
                <w:szCs w:val="20"/>
              </w:rPr>
              <w:t>«</w:t>
            </w:r>
            <w:r w:rsidRPr="00543488">
              <w:rPr>
                <w:rFonts w:ascii="Times New Roman" w:eastAsia="Times New Roman" w:hAnsi="Times New Roman" w:cs="Times New Roman"/>
                <w:color w:val="000000"/>
                <w:sz w:val="20"/>
                <w:szCs w:val="20"/>
              </w:rPr>
              <w:t>Развитие малого и среднего</w:t>
            </w:r>
            <w:r w:rsidRPr="00543488">
              <w:rPr>
                <w:rFonts w:ascii="Times New Roman" w:eastAsia="Times New Roman" w:hAnsi="Times New Roman" w:cs="Times New Roman"/>
                <w:color w:val="000000"/>
                <w:sz w:val="20"/>
                <w:szCs w:val="20"/>
                <w:vertAlign w:val="superscript"/>
              </w:rPr>
              <w:t xml:space="preserve"> предпринимательства Бардымского муниципального района</w:t>
            </w:r>
            <w:r w:rsidR="00DE2D0E" w:rsidRPr="00543488">
              <w:rPr>
                <w:rFonts w:ascii="Times New Roman" w:eastAsia="Times New Roman" w:hAnsi="Times New Roman" w:cs="Times New Roman"/>
                <w:color w:val="000000"/>
                <w:sz w:val="20"/>
                <w:szCs w:val="20"/>
                <w:vertAlign w:val="superscript"/>
              </w:rPr>
              <w:t>»</w:t>
            </w:r>
          </w:p>
        </w:tc>
        <w:tc>
          <w:tcPr>
            <w:tcW w:w="1274" w:type="pct"/>
            <w:tcBorders>
              <w:top w:val="single" w:sz="4" w:space="0" w:color="auto"/>
              <w:left w:val="single" w:sz="4" w:space="0" w:color="auto"/>
              <w:bottom w:val="single" w:sz="4" w:space="0" w:color="auto"/>
              <w:right w:val="single" w:sz="4" w:space="0" w:color="auto"/>
            </w:tcBorders>
            <w:shd w:val="clear" w:color="auto" w:fill="auto"/>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lastRenderedPageBreak/>
              <w:t>- количество субъектов малого и среднего предпринимательства, получивших финансовую поддержку (2 в год)</w:t>
            </w:r>
          </w:p>
        </w:tc>
        <w:tc>
          <w:tcPr>
            <w:tcW w:w="621" w:type="pct"/>
            <w:vMerge w:val="restar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1500</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500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500</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500</w:t>
            </w:r>
          </w:p>
        </w:tc>
      </w:tr>
      <w:tr w:rsidR="00153E07" w:rsidRPr="00BE1E96" w:rsidTr="00BE1E96">
        <w:trPr>
          <w:trHeight w:val="46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nil"/>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single" w:sz="4" w:space="0" w:color="auto"/>
              <w:bottom w:val="single" w:sz="4" w:space="0" w:color="auto"/>
              <w:right w:val="single" w:sz="4" w:space="0" w:color="auto"/>
            </w:tcBorders>
            <w:shd w:val="clear" w:color="auto" w:fill="auto"/>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количество проведенных мероприятий (3 в год)</w:t>
            </w:r>
          </w:p>
        </w:tc>
        <w:tc>
          <w:tcPr>
            <w:tcW w:w="621" w:type="pct"/>
            <w:vMerge/>
            <w:tcBorders>
              <w:top w:val="nil"/>
              <w:left w:val="nil"/>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1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nil"/>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single" w:sz="4" w:space="0" w:color="auto"/>
              <w:bottom w:val="single" w:sz="4" w:space="0" w:color="auto"/>
              <w:right w:val="single" w:sz="4" w:space="0" w:color="auto"/>
            </w:tcBorders>
            <w:shd w:val="clear" w:color="auto" w:fill="auto"/>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количества субъектов, получивших консультационную поддержку до 230 к 2020г.</w:t>
            </w:r>
          </w:p>
        </w:tc>
        <w:tc>
          <w:tcPr>
            <w:tcW w:w="621" w:type="pct"/>
            <w:vMerge/>
            <w:tcBorders>
              <w:top w:val="nil"/>
              <w:left w:val="nil"/>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5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nil"/>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single" w:sz="4" w:space="0" w:color="auto"/>
              <w:bottom w:val="single" w:sz="4" w:space="0" w:color="auto"/>
              <w:right w:val="single" w:sz="4" w:space="0" w:color="auto"/>
            </w:tcBorders>
            <w:shd w:val="clear" w:color="auto" w:fill="auto"/>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количество организаций, образующих инфраструктуру поддержки субъектов малого и среднего предпринимательства, получивших поддержку (1 в год)</w:t>
            </w:r>
          </w:p>
        </w:tc>
        <w:tc>
          <w:tcPr>
            <w:tcW w:w="621" w:type="pct"/>
            <w:vMerge/>
            <w:tcBorders>
              <w:top w:val="nil"/>
              <w:left w:val="nil"/>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497"/>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nil"/>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single" w:sz="4" w:space="0" w:color="auto"/>
              <w:bottom w:val="single" w:sz="4" w:space="0" w:color="auto"/>
              <w:right w:val="single" w:sz="4" w:space="0" w:color="auto"/>
            </w:tcBorders>
            <w:shd w:val="clear" w:color="auto" w:fill="auto"/>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количество субъектов, получивших имущественную поддержку (1 в год)</w:t>
            </w:r>
          </w:p>
        </w:tc>
        <w:tc>
          <w:tcPr>
            <w:tcW w:w="621" w:type="pct"/>
            <w:vMerge/>
            <w:tcBorders>
              <w:top w:val="nil"/>
              <w:left w:val="nil"/>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nil"/>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single" w:sz="4" w:space="0" w:color="auto"/>
              <w:bottom w:val="single" w:sz="4" w:space="0" w:color="auto"/>
              <w:right w:val="single" w:sz="4" w:space="0" w:color="auto"/>
            </w:tcBorders>
            <w:shd w:val="clear" w:color="auto" w:fill="auto"/>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количества зарегистрированных субъектов малого и среднего предпринимательства до 680 к 2020 г.</w:t>
            </w:r>
          </w:p>
        </w:tc>
        <w:tc>
          <w:tcPr>
            <w:tcW w:w="621" w:type="pct"/>
            <w:vMerge/>
            <w:tcBorders>
              <w:top w:val="nil"/>
              <w:left w:val="nil"/>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32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Улучшение условий жизнедеятельности, инвестиционного климата в сфере АПК за счет реализации инфраструктурных мероприятий в рамках программы, содействие созданию высокотехнологичных рабочих мест, активизация участия граждан в решении вопросов местного значения, формирование в Пермском крае позитивного отношения к развитию сельских территорий Бардымского района</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Создание условий для устойчивого экономического развития</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 / Подпрограмма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Устойчивое развитие сельских территорий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улучшение жилищных условий участников подпрограммы с использованием средств социальной выплаты 13сельских семей, в том числе 9 молодых семей и молодых специалистов;</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10500</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3500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3500</w:t>
            </w:r>
          </w:p>
        </w:tc>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3500</w:t>
            </w:r>
          </w:p>
        </w:tc>
      </w:tr>
      <w:tr w:rsidR="00153E07" w:rsidRPr="00BE1E96" w:rsidTr="00BE1E96">
        <w:trPr>
          <w:trHeight w:val="1118"/>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удовлетворение потребностей организаций АПК Бардымского района в молодых специалистах на 100 % и социальной сферы - на 100 %;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9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коэффициента рождаемости сельского населения Бардымского района на 20 % и ожидаемой продолжительности жизни – на 20 %;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10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достижение совокупного экономического эффекта в объеме 2416,4 млн.руб., в т.ч. за счет прироста продукции сельского хозяйства на основе улучшения условий жизни специалистов АПК 142,8 млн.руб., реализации мероприятий по развитию газификации и водоснабжения - 896 млн.руб., привлечения внебюджетных средств 254,02 млн.руб.</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cantSplit/>
          <w:trHeight w:val="126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tcBorders>
              <w:top w:val="nil"/>
              <w:left w:val="nil"/>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Реализация полномочий в сфере сельского хозяйства</w:t>
            </w:r>
          </w:p>
        </w:tc>
        <w:tc>
          <w:tcPr>
            <w:tcW w:w="662"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Создание условий для устойчивого экономического развития</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 / Подпрограмма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Обеспечение реализации программы</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Реализация муниципальной программы позволит к 2020 году:- освоение бюджета программы на 90%</w:t>
            </w:r>
          </w:p>
        </w:tc>
        <w:tc>
          <w:tcPr>
            <w:tcW w:w="621"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9983,1</w:t>
            </w:r>
          </w:p>
        </w:tc>
        <w:tc>
          <w:tcPr>
            <w:tcW w:w="4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3327,7</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3327,7</w:t>
            </w:r>
          </w:p>
        </w:tc>
        <w:tc>
          <w:tcPr>
            <w:tcW w:w="378"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3327,7</w:t>
            </w: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Создание в Бардымском районе современного высокоэффективного и конкурентоспособного туристского комплекса, обеспечивающего, с одной стороны, широкие возможности для удовлетворения потребностей населения в туристских услугах, а с другой стороны, вклад в развитие экономики района, в том числе за счет налоговых поступлений в бюджет, сохранения и увеличения количества рабочих мест, сохранения и рационального использования природно-рекреационного и культурно-исторического потенциала района</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туризма в Бардымском муниципальном районе</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Количественные показатели:</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300</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100</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100</w:t>
            </w:r>
          </w:p>
        </w:tc>
      </w:tr>
      <w:tr w:rsidR="00153E07" w:rsidRPr="00BE1E96" w:rsidTr="00BE1E96">
        <w:trPr>
          <w:trHeight w:val="68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рост туристского потока в Бардымском муниципальном районе к 2020 году;</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привлечение инвестиций на развитие индустрии туризма в сумме не менее 5,0 млн. руб.;</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7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создание не менее 30 новых рабочих мест во вновь образуемых и действующих предприятиях туриндустрии, в том числе в связанных с туризмом отраслях и в сегменте частного предпринимательства;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сохранение объектов историко-культурного наследия.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Качественные показатели: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2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удовлетворение потребности населения в туристско-рекреационных услугах;</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84"/>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создание условий для активного отдыха и укрепление здоровья населения Бардымского муниципального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12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приобщение населения к культурным ценностям; повышение благосостояния местного населения формирование положительного имиджа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03"/>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расширение географии и ежегодное увеличение потока туристов на 10%;</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появление межрайонных туристических маршрутов;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79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улучшение качества обслуживания туристов и населения района и предоставляемых им услуг;</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11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приведение внешнего вида объектов инфраструктуры и туристских маршрутов соответствующему уровню для приема туристов;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привлечение инвесторов для развития инфраструктуры туризма;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получение дополнительных доходов в бюджет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возрождение, сохранение и рациональное использование историко - культурного и природного наследия.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cantSplit/>
          <w:trHeight w:val="24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tcBorders>
              <w:top w:val="nil"/>
              <w:left w:val="nil"/>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Обеспечение сбалансированности и устойчивости бюджета Бардымского муниципального района, повышение эффективности и качества управления муниципальными финансами Бардымского муниципального района</w:t>
            </w:r>
          </w:p>
        </w:tc>
        <w:tc>
          <w:tcPr>
            <w:tcW w:w="662"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Управление муниципальными финансами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Бюджет Бардымского муниципального района сформирован по программно-целевым принципам</w:t>
            </w:r>
          </w:p>
        </w:tc>
        <w:tc>
          <w:tcPr>
            <w:tcW w:w="621"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122604,05</w:t>
            </w:r>
          </w:p>
        </w:tc>
        <w:tc>
          <w:tcPr>
            <w:tcW w:w="4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52594,2</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34962,4</w:t>
            </w:r>
          </w:p>
        </w:tc>
        <w:tc>
          <w:tcPr>
            <w:tcW w:w="378"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35047,4</w:t>
            </w:r>
          </w:p>
        </w:tc>
      </w:tr>
      <w:tr w:rsidR="00153E07" w:rsidRPr="00BE1E96" w:rsidTr="00BE1E96">
        <w:trPr>
          <w:trHeight w:val="57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Создание условий для эффективного использования и вовлечения в хозяйственный оборот объектов недвижимости, свободных земельных участков, бесхозного имущества</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lastRenderedPageBreak/>
              <w:t>«</w:t>
            </w:r>
            <w:r w:rsidRPr="00BE1E96">
              <w:rPr>
                <w:rFonts w:ascii="Times New Roman" w:eastAsia="Times New Roman" w:hAnsi="Times New Roman" w:cs="Times New Roman"/>
                <w:b/>
                <w:color w:val="000000"/>
                <w:sz w:val="20"/>
                <w:szCs w:val="20"/>
                <w:vertAlign w:val="superscript"/>
              </w:rPr>
              <w:t>Управление муниципальным имуществом и земельными ресурсами Бардымского муниципального района</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lastRenderedPageBreak/>
              <w:t>- увеличение площади вовлеченных в оборот земельных участков.</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16256,1</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5418,7</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5418,7</w:t>
            </w:r>
          </w:p>
        </w:tc>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5418,7</w:t>
            </w:r>
          </w:p>
        </w:tc>
      </w:tr>
      <w:tr w:rsidR="00153E07" w:rsidRPr="00BE1E96" w:rsidTr="00BE1E96">
        <w:trPr>
          <w:trHeight w:val="21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увеличение поступлений по земельному налогу, арендной плате за землю и доходам от продажи земельных участков в консолидированный бюджет Бардымского муниципального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создание единой базы данных учета муниципального имущества.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доход от использования и реализации муниципального имущества.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5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регистрация права собственности на все объекты, включенные в реестр муниципальной собственности Бардымского муниципального имущества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обеспечение земельными участками многодетных семей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5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обеспечение проведения работ по внесению в государственный кадастр недвижимости  сведений о границах населенных пунктов в виде координатного описания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834"/>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Повышение качества работы Администрации Бардымского муниципального района за счет использования информационных и телекоммуникационных технологий</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Совершенствование использования информационно-коммуникационных технологий в деятельности Администрации Бардымского муниципального района и ее структурных подразделений</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установка и ввод в эксплуатацию сервера;</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1200</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400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400</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400</w:t>
            </w:r>
          </w:p>
        </w:tc>
      </w:tr>
      <w:tr w:rsidR="00153E07" w:rsidRPr="00BE1E96" w:rsidTr="00BE1E96">
        <w:trPr>
          <w:trHeight w:val="149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совершенствование технического оснащения;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27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оснащение аппаратной платформы лицензионным программным обеспечением</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cantSplit/>
          <w:trHeight w:val="12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tcBorders>
              <w:top w:val="nil"/>
              <w:left w:val="nil"/>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и поддержка некоммерческих общественных организаций в Бардымском муниципальном районе</w:t>
            </w:r>
          </w:p>
        </w:tc>
        <w:tc>
          <w:tcPr>
            <w:tcW w:w="662"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и поддержка некоммерческих общественных организаций в Бардымском муниципальном районе</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увеличение доли жителей Бардымского муниципального района, принимающих участие в деятельности общественных организаций и объединений</w:t>
            </w:r>
          </w:p>
        </w:tc>
        <w:tc>
          <w:tcPr>
            <w:tcW w:w="621"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2400</w:t>
            </w:r>
          </w:p>
        </w:tc>
        <w:tc>
          <w:tcPr>
            <w:tcW w:w="4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800</w:t>
            </w:r>
          </w:p>
        </w:tc>
        <w:tc>
          <w:tcPr>
            <w:tcW w:w="385"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800</w:t>
            </w:r>
          </w:p>
        </w:tc>
        <w:tc>
          <w:tcPr>
            <w:tcW w:w="378"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800</w:t>
            </w:r>
          </w:p>
        </w:tc>
      </w:tr>
      <w:tr w:rsidR="00153E07" w:rsidRPr="00BE1E96" w:rsidTr="00BE1E96">
        <w:trPr>
          <w:trHeight w:val="1065"/>
        </w:trPr>
        <w:tc>
          <w:tcPr>
            <w:tcW w:w="207"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lastRenderedPageBreak/>
              <w:t>Создание комфортной среды проживания</w:t>
            </w: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Улучшение условий и охраны труда, направленных на сохранение жизни и здоровья работников в процессе трудовой деятельности</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Бардымского муниципального района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Охрана труда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стабилизация и снижение уровня травматизма, профзаболеваний и аварийности;</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450</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150</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150</w:t>
            </w:r>
          </w:p>
        </w:tc>
      </w:tr>
      <w:tr w:rsidR="00153E07" w:rsidRPr="00BE1E96" w:rsidTr="00BE1E96">
        <w:trPr>
          <w:trHeight w:val="28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предотвращение материального ущерба от аварий, производственного травматизма и профзаболеваемости.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xml:space="preserve">Удовлетворение потребностей населения в пассажирских перевозках автомобильным транспортом общего пользования по регулярным автобусным маршрутам городского и внутрирайонного сообщения, вывд МУП </w:t>
            </w:r>
            <w:r w:rsidR="00DE2D0E" w:rsidRPr="00BE1E96">
              <w:rPr>
                <w:rFonts w:ascii="Times New Roman" w:eastAsia="Times New Roman" w:hAnsi="Times New Roman" w:cs="Times New Roman"/>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Бардмское ПАТП</w:t>
            </w:r>
            <w:r w:rsidR="00DE2D0E" w:rsidRPr="00BE1E96">
              <w:rPr>
                <w:rFonts w:ascii="Times New Roman" w:eastAsia="Times New Roman" w:hAnsi="Times New Roman" w:cs="Times New Roman"/>
                <w:color w:val="000000"/>
                <w:sz w:val="20"/>
                <w:szCs w:val="20"/>
                <w:vertAlign w:val="superscript"/>
              </w:rPr>
              <w:t>»</w:t>
            </w:r>
            <w:r w:rsidRPr="00BE1E96">
              <w:rPr>
                <w:rFonts w:ascii="Times New Roman" w:eastAsia="Times New Roman" w:hAnsi="Times New Roman" w:cs="Times New Roman"/>
                <w:color w:val="000000"/>
                <w:sz w:val="20"/>
                <w:szCs w:val="20"/>
                <w:vertAlign w:val="superscript"/>
              </w:rPr>
              <w:t xml:space="preserve"> из криисной ситуации.</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пассажирского автомобильного транспорта общего пользования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сохранение доли населенных пунктов, охваченных автобусным сообщением;</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12292</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2564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4864</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4864</w:t>
            </w:r>
          </w:p>
        </w:tc>
      </w:tr>
      <w:tr w:rsidR="00153E07" w:rsidRPr="00BE1E96" w:rsidTr="00BE1E96">
        <w:trPr>
          <w:trHeight w:val="9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улучшение качества предоставления транспортных услуг населению;</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безопасности перевозки пассажиров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39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Создание материальной базы развития социальной и инженерной инфраструктуры. Повышение уровня и качества жизни населения Бардымского района на основе повышения уровня развития социальной инфраструктуры и инженерного обустройства населенных пунктов. Улучшение состояния здоровья населения Бардымского района, в том числе на основе повышения роли физкультуры и спорта.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Бардымского муниципального района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Муниципальное хозяйство</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 / Подпрограмма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Содержание и развитие инженерной инфраструктуры</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эффективности, доступности и качества обслуживания населения;</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146542,31</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50875,45</w:t>
            </w:r>
          </w:p>
        </w:tc>
        <w:tc>
          <w:tcPr>
            <w:tcW w:w="385"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44725,59</w:t>
            </w:r>
          </w:p>
        </w:tc>
        <w:tc>
          <w:tcPr>
            <w:tcW w:w="378"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50941,27</w:t>
            </w:r>
          </w:p>
        </w:tc>
      </w:tr>
      <w:tr w:rsidR="00153E07" w:rsidRPr="00BE1E96" w:rsidTr="00BE1E96">
        <w:trPr>
          <w:trHeight w:val="1411"/>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уровня комфортности, качества жизни населения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и сохранение территориальной сети автомобильных дорог Бардымского муниципального района</w:t>
            </w: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Бардымского муниципального района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Муниципальное хозяйство</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 / Подпрограмма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Развитие и содержание транспортной системы</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pacing w:val="2"/>
                <w:sz w:val="20"/>
                <w:szCs w:val="20"/>
                <w:vertAlign w:val="superscript"/>
              </w:rPr>
              <w:t>- соответствие дорожной сети нормативным требованиям;</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2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pacing w:val="2"/>
                <w:sz w:val="20"/>
                <w:szCs w:val="20"/>
                <w:vertAlign w:val="superscript"/>
              </w:rPr>
              <w:t>- обеспечение софинансирования объектов, заявляемых в федеральные целевые и инвестиционные программы;</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30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000000"/>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проведение проектно-изыскательских работ и обеспечение разработки проектно-сметной документации для объектов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000000"/>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57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информационного пространства в Бардымском районе, создание современной материально-технической базы</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Развитие МАУ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Редакция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Тан</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Рассвет</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информированность населения о текущих событиях района, деятельности Администрации и Земского собрания Бардымского муниципального района;</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27180,6</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9060,2</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9060,2</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9060,2</w:t>
            </w:r>
          </w:p>
        </w:tc>
      </w:tr>
      <w:tr w:rsidR="00153E07" w:rsidRPr="00BE1E96" w:rsidTr="00BE1E96">
        <w:trPr>
          <w:trHeight w:val="428"/>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lang w:eastAsia="en-US"/>
              </w:rPr>
              <w:t>- сохранение и развитие языка, культуры, национальных традиций;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обеспечение увеличения тиража газеты</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15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Развитие информационного пространства в Бардымском районе, создание современной материально-технической базы телерадиовещания</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Развитие МБУ МТРВ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Тол буйлары</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 xml:space="preserve"> (Притулвье)</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информированность населения о текущих событиях района, деятельности администрации муниципального района и Земского Собрания;</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24634,2</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8211,4</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8211,4</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8211,4</w:t>
            </w:r>
          </w:p>
        </w:tc>
      </w:tr>
      <w:tr w:rsidR="00153E07" w:rsidRPr="00BE1E96" w:rsidTr="00BE1E96">
        <w:trPr>
          <w:trHeight w:val="57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привлечение молодого поколения к участию в политической, общественной и социально-культурной жизни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8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сохранение и развитие языка, культуры, национальных традиций;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воспитание подрастающего поколения в духе патриотизма, толерантности, веротерпимости;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переход на цифровое вещание,</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9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обеспечение 100 процентного охвата  вещания Бардымского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Повышение уровня защиты населения и территории района от пожаров, чрезвычайных ситуаций природного и техногенного характера. Повышение эффективности спасения людей при ликвидации пожаров и чрезвычайных ситуаций</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Бардымского муниципального района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Безопасность</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преодоление неблагоприятных тенденций роста количества чрезвычайных ситуаций и материального ущерба от них;</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5374,8</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1791,6</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1791,6</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1791,6</w:t>
            </w: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снижение рисков возникновения чрезвычайных ситуаций для населения в районах, подверженных воздействию неблагоприятных факторов;</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высокий уровень готовности оперативного реагирования сил и средств при угрозе возникновения чрезвычайной ситуации и ее ликвидации;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снижение гибели, травматизма людей и размера материальных потерь от пожаров и чрезвычайных ситуаций;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сокращение затрат на ликвидацию чрезвычайных ситуаций;</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29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повышение уровня проведения аварийно-спасательных и других неотложных работ, за счет обеспечения подразделений необходимым оборудованием, вооружением и снаряжением;</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0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сохранение и создание новых рабочих мест</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1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Обеспечение безопасности граждан на территории Бардымского муниципального района. Закрепление положительной тенденции по улучшению качества мер защиты населения снижению преступности и профилактика правонарушений в районе</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Профилактика преступлений и правонарушений на территории Бардымского муниципального района</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Снижение к 2018 году по сравнению с 2015 г.:</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w:t>
            </w:r>
          </w:p>
        </w:tc>
        <w:tc>
          <w:tcPr>
            <w:tcW w:w="378" w:type="pct"/>
            <w:vMerge w:val="restart"/>
            <w:tcBorders>
              <w:top w:val="nil"/>
              <w:left w:val="single" w:sz="4" w:space="0" w:color="auto"/>
              <w:bottom w:val="single" w:sz="4" w:space="0" w:color="auto"/>
              <w:right w:val="single" w:sz="4" w:space="0" w:color="auto"/>
            </w:tcBorders>
            <w:shd w:val="clear" w:color="auto" w:fill="auto"/>
            <w:vAlign w:val="bottom"/>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w:t>
            </w:r>
          </w:p>
        </w:tc>
      </w:tr>
      <w:tr w:rsidR="00153E07" w:rsidRPr="00BE1E96" w:rsidTr="00BE1E96">
        <w:trPr>
          <w:trHeight w:val="67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уровня смертности в результате преступлений - на 40.0 %;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количества лиц, совершивших преступления, в т.ч.:</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48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несовершеннолетних - на 36 %;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1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ранее судимых - на 23.0 %;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 состоянии алкогольного опьянения - на 9%;</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87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количества зарегистрированных преступлений, совершенных в т.ч.:</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46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 общественных местах - на 5 %;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1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 быту - на 5 %;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31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количества ДТП - на 18 %;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уровня смертности в результате ДТП - на 50 %.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 Увеличение к 2018 году по сравнению с 2015 г.:</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78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числа действующих добровольных дружин по охране общественного порядка (далее - ДНД) - в 1.6 раза;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1265"/>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количества выявленных правонарушений в сфере природопользования - в 1.5 раза: количество жителей, участвующих в деятельности ДНД - в 2 раза;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844"/>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выявленных преступлений, связанных с незаконным оборотом наркотических средств - в 1,5 раза;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BE1E96">
        <w:trPr>
          <w:trHeight w:val="63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 доли раскрытых преступлений - на 2.8 %.</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894"/>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Защита окружающей среды и населения от негативного воздействия отходов, развитие системы сбора и утилизации отходов, улучшение экологического состояния территории Бардымского района</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b/>
                <w:color w:val="000000"/>
                <w:sz w:val="20"/>
                <w:szCs w:val="20"/>
                <w:vertAlign w:val="superscript"/>
              </w:rPr>
            </w:pPr>
            <w:r w:rsidRPr="00BE1E96">
              <w:rPr>
                <w:rFonts w:ascii="Times New Roman" w:eastAsia="Times New Roman" w:hAnsi="Times New Roman" w:cs="Times New Roman"/>
                <w:b/>
                <w:color w:val="000000"/>
                <w:sz w:val="20"/>
                <w:szCs w:val="20"/>
                <w:vertAlign w:val="superscript"/>
              </w:rPr>
              <w:t xml:space="preserve">Муниципальная программа </w:t>
            </w:r>
            <w:r w:rsidR="00DE2D0E" w:rsidRPr="00BE1E96">
              <w:rPr>
                <w:rFonts w:ascii="Times New Roman" w:eastAsia="Times New Roman" w:hAnsi="Times New Roman" w:cs="Times New Roman"/>
                <w:b/>
                <w:color w:val="000000"/>
                <w:sz w:val="20"/>
                <w:szCs w:val="20"/>
                <w:vertAlign w:val="superscript"/>
              </w:rPr>
              <w:t>«</w:t>
            </w:r>
            <w:r w:rsidRPr="00BE1E96">
              <w:rPr>
                <w:rFonts w:ascii="Times New Roman" w:eastAsia="Times New Roman" w:hAnsi="Times New Roman" w:cs="Times New Roman"/>
                <w:b/>
                <w:color w:val="000000"/>
                <w:sz w:val="20"/>
                <w:szCs w:val="20"/>
                <w:vertAlign w:val="superscript"/>
              </w:rPr>
              <w:t>Благоустройство и охрана окружающей среды Бардымского муниципального района на 2018- 2020 годы</w:t>
            </w:r>
            <w:r w:rsidR="00DE2D0E" w:rsidRPr="00BE1E96">
              <w:rPr>
                <w:rFonts w:ascii="Times New Roman" w:eastAsia="Times New Roman" w:hAnsi="Times New Roman" w:cs="Times New Roman"/>
                <w:b/>
                <w:color w:val="000000"/>
                <w:sz w:val="20"/>
                <w:szCs w:val="20"/>
                <w:vertAlign w:val="superscript"/>
              </w:rPr>
              <w:t>»</w:t>
            </w: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sz w:val="20"/>
                <w:szCs w:val="20"/>
                <w:vertAlign w:val="superscript"/>
              </w:rPr>
              <w:t>Снижение количества объектов размещения отходов, не отвечающих экологическим требованиям.</w:t>
            </w:r>
          </w:p>
        </w:tc>
        <w:tc>
          <w:tcPr>
            <w:tcW w:w="621"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3330</w:t>
            </w:r>
          </w:p>
        </w:tc>
        <w:tc>
          <w:tcPr>
            <w:tcW w:w="4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2018-2020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1110</w:t>
            </w:r>
          </w:p>
        </w:tc>
        <w:tc>
          <w:tcPr>
            <w:tcW w:w="385"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1110</w:t>
            </w:r>
          </w:p>
        </w:tc>
        <w:tc>
          <w:tcPr>
            <w:tcW w:w="378" w:type="pct"/>
            <w:vMerge w:val="restart"/>
            <w:tcBorders>
              <w:top w:val="nil"/>
              <w:left w:val="single" w:sz="4" w:space="0" w:color="auto"/>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eastAsia="Times New Roman" w:hAnsi="Times New Roman" w:cs="Times New Roman"/>
                <w:color w:val="000000"/>
                <w:sz w:val="20"/>
                <w:szCs w:val="20"/>
                <w:vertAlign w:val="superscript"/>
              </w:rPr>
              <w:t>1110</w:t>
            </w:r>
          </w:p>
        </w:tc>
      </w:tr>
      <w:tr w:rsidR="00153E07" w:rsidRPr="00BE1E96" w:rsidTr="00884844">
        <w:trPr>
          <w:trHeight w:val="56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sz w:val="20"/>
                <w:szCs w:val="20"/>
                <w:vertAlign w:val="superscript"/>
              </w:rPr>
              <w:t>Внедрение системы раздельного сбора отходов потребления.</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972"/>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sz w:val="20"/>
                <w:szCs w:val="20"/>
                <w:vertAlign w:val="superscript"/>
              </w:rPr>
              <w:t>Создание действующей эффективной системы управления отходами на территории Бардымского муниципального района.</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560"/>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sz w:val="20"/>
                <w:szCs w:val="20"/>
                <w:vertAlign w:val="superscript"/>
              </w:rPr>
              <w:t>Функционирование системы учета обращения с отходами.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r w:rsidR="00153E07" w:rsidRPr="00BE1E96" w:rsidTr="00884844">
        <w:trPr>
          <w:trHeight w:val="696"/>
        </w:trPr>
        <w:tc>
          <w:tcPr>
            <w:tcW w:w="207" w:type="pct"/>
            <w:vMerge/>
            <w:tcBorders>
              <w:top w:val="nil"/>
              <w:left w:val="single" w:sz="4" w:space="0" w:color="auto"/>
              <w:bottom w:val="single" w:sz="4" w:space="0" w:color="auto"/>
              <w:right w:val="single" w:sz="4" w:space="0" w:color="auto"/>
            </w:tcBorders>
            <w:textDirection w:val="btLr"/>
            <w:vAlign w:val="center"/>
            <w:hideMark/>
          </w:tcPr>
          <w:p w:rsidR="00153E07" w:rsidRPr="00BE1E96" w:rsidRDefault="00153E07" w:rsidP="00153E07">
            <w:pPr>
              <w:spacing w:after="0" w:line="240" w:lineRule="auto"/>
              <w:ind w:left="113" w:right="113"/>
              <w:jc w:val="both"/>
              <w:rPr>
                <w:rFonts w:ascii="Times New Roman" w:eastAsia="Times New Roman" w:hAnsi="Times New Roman" w:cs="Times New Roman"/>
                <w:color w:val="000000"/>
                <w:sz w:val="20"/>
                <w:szCs w:val="20"/>
                <w:vertAlign w:val="superscript"/>
              </w:rPr>
            </w:pPr>
          </w:p>
        </w:tc>
        <w:tc>
          <w:tcPr>
            <w:tcW w:w="60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662"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1274" w:type="pct"/>
            <w:tcBorders>
              <w:top w:val="nil"/>
              <w:left w:val="nil"/>
              <w:bottom w:val="single" w:sz="4" w:space="0" w:color="auto"/>
              <w:right w:val="single" w:sz="4" w:space="0" w:color="auto"/>
            </w:tcBorders>
            <w:shd w:val="clear" w:color="auto" w:fill="auto"/>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r w:rsidRPr="00BE1E96">
              <w:rPr>
                <w:rFonts w:ascii="Times New Roman" w:hAnsi="Times New Roman" w:cs="Times New Roman"/>
                <w:sz w:val="20"/>
                <w:szCs w:val="20"/>
                <w:vertAlign w:val="superscript"/>
              </w:rPr>
              <w:t>Создание банка данных поставщиков отходов и объектов санитарной очистки.</w:t>
            </w:r>
          </w:p>
        </w:tc>
        <w:tc>
          <w:tcPr>
            <w:tcW w:w="621"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4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85"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c>
          <w:tcPr>
            <w:tcW w:w="378" w:type="pct"/>
            <w:vMerge/>
            <w:tcBorders>
              <w:top w:val="nil"/>
              <w:left w:val="single" w:sz="4" w:space="0" w:color="auto"/>
              <w:bottom w:val="single" w:sz="4" w:space="0" w:color="auto"/>
              <w:right w:val="single" w:sz="4" w:space="0" w:color="auto"/>
            </w:tcBorders>
            <w:vAlign w:val="center"/>
            <w:hideMark/>
          </w:tcPr>
          <w:p w:rsidR="00153E07" w:rsidRPr="00BE1E96" w:rsidRDefault="00153E07" w:rsidP="00153E07">
            <w:pPr>
              <w:spacing w:after="0" w:line="240" w:lineRule="auto"/>
              <w:jc w:val="both"/>
              <w:rPr>
                <w:rFonts w:ascii="Times New Roman" w:eastAsia="Times New Roman" w:hAnsi="Times New Roman" w:cs="Times New Roman"/>
                <w:color w:val="000000"/>
                <w:sz w:val="20"/>
                <w:szCs w:val="20"/>
                <w:vertAlign w:val="superscript"/>
              </w:rPr>
            </w:pPr>
          </w:p>
        </w:tc>
      </w:tr>
    </w:tbl>
    <w:p w:rsidR="00153E07" w:rsidRPr="00BE1E96" w:rsidRDefault="00153E07" w:rsidP="00153E07">
      <w:pPr>
        <w:tabs>
          <w:tab w:val="left" w:pos="2177"/>
        </w:tabs>
        <w:spacing w:after="0"/>
        <w:jc w:val="both"/>
        <w:rPr>
          <w:rFonts w:ascii="Times New Roman" w:eastAsia="Times New Roman" w:hAnsi="Times New Roman" w:cs="Times New Roman"/>
          <w:sz w:val="20"/>
          <w:szCs w:val="20"/>
          <w:vertAlign w:val="superscript"/>
        </w:rPr>
      </w:pPr>
    </w:p>
    <w:p w:rsidR="005D24C1" w:rsidRDefault="005D24C1" w:rsidP="00153E07">
      <w:pPr>
        <w:tabs>
          <w:tab w:val="left" w:pos="2177"/>
        </w:tabs>
        <w:spacing w:after="0"/>
        <w:jc w:val="both"/>
        <w:rPr>
          <w:rFonts w:ascii="Times New Roman" w:eastAsia="Times New Roman" w:hAnsi="Times New Roman" w:cs="Times New Roman"/>
          <w:sz w:val="20"/>
          <w:szCs w:val="20"/>
        </w:rPr>
      </w:pPr>
    </w:p>
    <w:p w:rsidR="005D24C1" w:rsidRDefault="005D24C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5D24C1" w:rsidRDefault="005D24C1" w:rsidP="005D24C1">
      <w:pPr>
        <w:jc w:val="right"/>
        <w:rPr>
          <w:rFonts w:ascii="Times New Roman" w:hAnsi="Times New Roman" w:cs="Times New Roman"/>
          <w:b/>
          <w:sz w:val="24"/>
          <w:szCs w:val="24"/>
        </w:rPr>
      </w:pPr>
      <w:r w:rsidRPr="00884844">
        <w:rPr>
          <w:rFonts w:ascii="Times New Roman" w:hAnsi="Times New Roman" w:cs="Times New Roman"/>
          <w:b/>
          <w:sz w:val="24"/>
          <w:szCs w:val="24"/>
        </w:rPr>
        <w:lastRenderedPageBreak/>
        <w:t>Приложение 1</w:t>
      </w:r>
    </w:p>
    <w:p w:rsidR="00443EEA" w:rsidRPr="00B41D81" w:rsidRDefault="00443EEA" w:rsidP="00443EEA">
      <w:pPr>
        <w:jc w:val="center"/>
        <w:rPr>
          <w:rFonts w:ascii="Times New Roman" w:hAnsi="Times New Roman" w:cs="Times New Roman"/>
          <w:b/>
          <w:sz w:val="24"/>
          <w:szCs w:val="24"/>
        </w:rPr>
      </w:pPr>
      <w:r w:rsidRPr="00B41D81">
        <w:rPr>
          <w:rFonts w:ascii="Times New Roman" w:eastAsia="Times New Roman" w:hAnsi="Times New Roman" w:cs="Times New Roman"/>
          <w:b/>
          <w:sz w:val="28"/>
          <w:szCs w:val="28"/>
        </w:rPr>
        <w:t>Информация о дефиците / профиците бюджетов в разрезе сельских поселений</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Бюджет Бардымского муниципального района</w:t>
      </w: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452424"/>
            <wp:effectExtent l="19050" t="0" r="317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2010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212698"/>
            <wp:effectExtent l="19050" t="0" r="317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2011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070456"/>
            <wp:effectExtent l="19050" t="0" r="3175"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2012 году, %</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0425" cy="3103564"/>
            <wp:effectExtent l="19050" t="0" r="3175" b="0"/>
            <wp:docPr id="7"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84844" w:rsidRDefault="00884844"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2013 году, %</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169920"/>
            <wp:effectExtent l="19050" t="0" r="0"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2014 году, %</w:t>
      </w: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413760"/>
            <wp:effectExtent l="19050" t="0" r="0"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84844" w:rsidRDefault="00884844" w:rsidP="005D24C1">
      <w:pPr>
        <w:jc w:val="center"/>
        <w:rPr>
          <w:rFonts w:ascii="Times New Roman" w:hAnsi="Times New Roman" w:cs="Times New Roman"/>
          <w:b/>
          <w:sz w:val="24"/>
          <w:szCs w:val="24"/>
        </w:rPr>
      </w:pP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2015 году, %</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7E6E64">
        <w:rPr>
          <w:rFonts w:ascii="Times New Roman" w:hAnsi="Times New Roman" w:cs="Times New Roman"/>
          <w:noProof/>
          <w:sz w:val="24"/>
          <w:szCs w:val="24"/>
        </w:rPr>
        <w:drawing>
          <wp:inline distT="0" distB="0" distL="0" distR="0">
            <wp:extent cx="5946321" cy="3213463"/>
            <wp:effectExtent l="19050" t="0" r="0" b="0"/>
            <wp:docPr id="10"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 xml:space="preserve">Структура доходов сельских поселений Бардымского муниципального района </w:t>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в 2016 году, %</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3260675"/>
            <wp:effectExtent l="0" t="0" r="0"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Бардымского сельского поселения</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3348584"/>
            <wp:effectExtent l="0" t="0" r="0" b="0"/>
            <wp:docPr id="1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Березниковского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0425" cy="2715623"/>
            <wp:effectExtent l="0" t="0" r="0" b="0"/>
            <wp:docPr id="1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Бичуринского сельского поселения</w:t>
      </w:r>
    </w:p>
    <w:p w:rsidR="005D24C1" w:rsidRDefault="005D24C1"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Default="00884844" w:rsidP="005D24C1">
      <w:pPr>
        <w:jc w:val="center"/>
        <w:rPr>
          <w:rFonts w:ascii="Times New Roman" w:hAnsi="Times New Roman" w:cs="Times New Roman"/>
          <w:b/>
          <w:sz w:val="24"/>
          <w:szCs w:val="24"/>
        </w:rPr>
      </w:pPr>
    </w:p>
    <w:p w:rsidR="00884844" w:rsidRPr="00884844" w:rsidRDefault="00884844" w:rsidP="005D24C1">
      <w:pPr>
        <w:jc w:val="center"/>
        <w:rPr>
          <w:rFonts w:ascii="Times New Roman" w:hAnsi="Times New Roman" w:cs="Times New Roman"/>
          <w:b/>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3600" cy="3114675"/>
            <wp:effectExtent l="0" t="0" r="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Брюзлинского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43600" cy="3219450"/>
            <wp:effectExtent l="0" t="0" r="0"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Елпачихинского сельского поселения</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2801557"/>
            <wp:effectExtent l="0" t="0" r="0" b="0"/>
            <wp:docPr id="1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Красноярского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867400" cy="3152775"/>
            <wp:effectExtent l="0" t="0" r="0" b="0"/>
            <wp:docPr id="17"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Новоашапского сельского поселения</w:t>
      </w:r>
    </w:p>
    <w:p w:rsidR="005D24C1" w:rsidRDefault="005D24C1"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3098116"/>
            <wp:effectExtent l="0" t="0" r="0" b="0"/>
            <wp:docPr id="18"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Печменского сельского поселения</w:t>
      </w:r>
    </w:p>
    <w:p w:rsidR="005D24C1" w:rsidRDefault="005D24C1"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884844" w:rsidRDefault="00884844" w:rsidP="005D24C1">
      <w:pPr>
        <w:jc w:val="center"/>
        <w:rPr>
          <w:rFonts w:ascii="Times New Roman" w:hAnsi="Times New Roman" w:cs="Times New Roman"/>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924550" cy="3181350"/>
            <wp:effectExtent l="0" t="0" r="0" b="0"/>
            <wp:docPr id="19"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Сарашевского сельского поселения</w:t>
      </w:r>
    </w:p>
    <w:p w:rsidR="005D24C1" w:rsidRDefault="005D24C1" w:rsidP="005D24C1">
      <w:pPr>
        <w:rPr>
          <w:rFonts w:ascii="Times New Roman" w:hAnsi="Times New Roman" w:cs="Times New Roman"/>
          <w:sz w:val="24"/>
          <w:szCs w:val="24"/>
        </w:rPr>
      </w:pPr>
    </w:p>
    <w:p w:rsidR="005D24C1" w:rsidRDefault="005D24C1" w:rsidP="005D24C1">
      <w:pP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819775" cy="3667125"/>
            <wp:effectExtent l="0" t="0" r="0" b="0"/>
            <wp:docPr id="20"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D24C1"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Тюндюковского сельского поселения</w:t>
      </w:r>
    </w:p>
    <w:p w:rsidR="00884844" w:rsidRDefault="00884844" w:rsidP="005D24C1">
      <w:pPr>
        <w:jc w:val="center"/>
        <w:rPr>
          <w:rFonts w:ascii="Times New Roman" w:hAnsi="Times New Roman" w:cs="Times New Roman"/>
          <w:b/>
          <w:sz w:val="24"/>
          <w:szCs w:val="24"/>
        </w:rPr>
      </w:pPr>
    </w:p>
    <w:p w:rsidR="00884844" w:rsidRPr="00884844" w:rsidRDefault="00884844" w:rsidP="005D24C1">
      <w:pPr>
        <w:jc w:val="center"/>
        <w:rPr>
          <w:rFonts w:ascii="Times New Roman" w:hAnsi="Times New Roman" w:cs="Times New Roman"/>
          <w:b/>
          <w:sz w:val="24"/>
          <w:szCs w:val="24"/>
        </w:rPr>
      </w:pP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drawing>
          <wp:inline distT="0" distB="0" distL="0" distR="0">
            <wp:extent cx="5657850" cy="2743200"/>
            <wp:effectExtent l="0" t="0" r="0" b="0"/>
            <wp:docPr id="21"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Федорковского сельского поселения</w:t>
      </w:r>
    </w:p>
    <w:p w:rsidR="005D24C1" w:rsidRDefault="005D24C1" w:rsidP="005D24C1">
      <w:pPr>
        <w:jc w:val="center"/>
        <w:rPr>
          <w:rFonts w:ascii="Times New Roman" w:hAnsi="Times New Roman" w:cs="Times New Roman"/>
          <w:sz w:val="24"/>
          <w:szCs w:val="24"/>
        </w:rPr>
      </w:pPr>
      <w:r w:rsidRPr="00205255">
        <w:rPr>
          <w:rFonts w:ascii="Times New Roman" w:hAnsi="Times New Roman" w:cs="Times New Roman"/>
          <w:noProof/>
          <w:sz w:val="24"/>
          <w:szCs w:val="24"/>
        </w:rPr>
        <w:lastRenderedPageBreak/>
        <w:drawing>
          <wp:inline distT="0" distB="0" distL="0" distR="0">
            <wp:extent cx="5940425" cy="2884071"/>
            <wp:effectExtent l="19050" t="0" r="22225" b="0"/>
            <wp:docPr id="22"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D24C1" w:rsidRPr="00884844" w:rsidRDefault="005D24C1" w:rsidP="005D24C1">
      <w:pPr>
        <w:jc w:val="center"/>
        <w:rPr>
          <w:rFonts w:ascii="Times New Roman" w:hAnsi="Times New Roman" w:cs="Times New Roman"/>
          <w:b/>
          <w:sz w:val="24"/>
          <w:szCs w:val="24"/>
        </w:rPr>
      </w:pPr>
      <w:r w:rsidRPr="00884844">
        <w:rPr>
          <w:rFonts w:ascii="Times New Roman" w:hAnsi="Times New Roman" w:cs="Times New Roman"/>
          <w:b/>
          <w:sz w:val="24"/>
          <w:szCs w:val="24"/>
        </w:rPr>
        <w:t>Дефицит / профицит бюджета Шермейского сельского поселения</w:t>
      </w:r>
    </w:p>
    <w:p w:rsidR="005D24C1" w:rsidRPr="006B1969" w:rsidRDefault="005D24C1" w:rsidP="005D24C1">
      <w:pPr>
        <w:rPr>
          <w:rFonts w:ascii="Times New Roman" w:hAnsi="Times New Roman" w:cs="Times New Roman"/>
          <w:sz w:val="24"/>
          <w:szCs w:val="24"/>
        </w:rPr>
      </w:pPr>
    </w:p>
    <w:p w:rsidR="005D24C1" w:rsidRDefault="005D24C1">
      <w:pPr>
        <w:rPr>
          <w:rFonts w:ascii="Times New Roman" w:eastAsia="Times New Roman" w:hAnsi="Times New Roman" w:cs="Times New Roman"/>
          <w:sz w:val="20"/>
          <w:szCs w:val="20"/>
        </w:rPr>
      </w:pPr>
    </w:p>
    <w:p w:rsidR="005D24C1" w:rsidRPr="00F805FA" w:rsidRDefault="005D24C1" w:rsidP="00153E07">
      <w:pPr>
        <w:tabs>
          <w:tab w:val="left" w:pos="2177"/>
        </w:tabs>
        <w:spacing w:after="0"/>
        <w:jc w:val="both"/>
        <w:rPr>
          <w:rFonts w:ascii="Times New Roman" w:eastAsia="Times New Roman" w:hAnsi="Times New Roman" w:cs="Times New Roman"/>
          <w:sz w:val="20"/>
          <w:szCs w:val="20"/>
        </w:rPr>
      </w:pPr>
    </w:p>
    <w:p w:rsidR="005D24C1" w:rsidRDefault="005D24C1" w:rsidP="00153E07">
      <w:pPr>
        <w:spacing w:after="160" w:line="259" w:lineRule="auto"/>
        <w:jc w:val="both"/>
        <w:rPr>
          <w:rFonts w:ascii="Times New Roman" w:hAnsi="Times New Roman" w:cs="Times New Roman"/>
          <w:sz w:val="20"/>
          <w:szCs w:val="20"/>
        </w:rPr>
        <w:sectPr w:rsidR="005D24C1" w:rsidSect="001D3C25">
          <w:headerReference w:type="default" r:id="rId134"/>
          <w:pgSz w:w="11906" w:h="16838"/>
          <w:pgMar w:top="851" w:right="567" w:bottom="851" w:left="1418" w:header="709" w:footer="709" w:gutter="0"/>
          <w:cols w:space="708"/>
          <w:docGrid w:linePitch="360"/>
        </w:sectPr>
      </w:pPr>
    </w:p>
    <w:p w:rsidR="005D24C1" w:rsidRPr="00884844" w:rsidRDefault="005D24C1" w:rsidP="005D24C1">
      <w:pPr>
        <w:spacing w:after="0"/>
        <w:ind w:firstLine="709"/>
        <w:jc w:val="right"/>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lastRenderedPageBreak/>
        <w:t>Приложение 2</w:t>
      </w:r>
    </w:p>
    <w:p w:rsidR="005D24C1" w:rsidRPr="00884844" w:rsidRDefault="005D24C1" w:rsidP="005D24C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Коэффициенты корреляции Пирсона, отражающие тесноту взаимосвязи факторов, влияющих на экономический рост Бардымского муниципального района</w:t>
      </w:r>
    </w:p>
    <w:tbl>
      <w:tblPr>
        <w:tblW w:w="5000" w:type="pct"/>
        <w:tblLayout w:type="fixed"/>
        <w:tblLook w:val="04A0"/>
      </w:tblPr>
      <w:tblGrid>
        <w:gridCol w:w="2070"/>
        <w:gridCol w:w="990"/>
        <w:gridCol w:w="884"/>
        <w:gridCol w:w="881"/>
        <w:gridCol w:w="884"/>
        <w:gridCol w:w="881"/>
        <w:gridCol w:w="884"/>
        <w:gridCol w:w="881"/>
        <w:gridCol w:w="884"/>
        <w:gridCol w:w="881"/>
        <w:gridCol w:w="884"/>
        <w:gridCol w:w="881"/>
        <w:gridCol w:w="884"/>
        <w:gridCol w:w="946"/>
        <w:gridCol w:w="765"/>
        <w:gridCol w:w="872"/>
      </w:tblGrid>
      <w:tr w:rsidR="005D24C1" w:rsidRPr="005D24C1" w:rsidTr="00424AF3">
        <w:trPr>
          <w:cantSplit/>
          <w:trHeight w:val="2417"/>
        </w:trPr>
        <w:tc>
          <w:tcPr>
            <w:tcW w:w="674"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i/>
                <w:iCs/>
                <w:color w:val="000000"/>
                <w:sz w:val="19"/>
                <w:szCs w:val="19"/>
              </w:rPr>
            </w:pPr>
            <w:r w:rsidRPr="00884844">
              <w:rPr>
                <w:rFonts w:ascii="Times New Roman" w:eastAsia="Times New Roman" w:hAnsi="Times New Roman" w:cs="Times New Roman"/>
                <w:b/>
                <w:i/>
                <w:iCs/>
                <w:color w:val="000000"/>
                <w:sz w:val="19"/>
                <w:szCs w:val="19"/>
              </w:rPr>
              <w:t> </w:t>
            </w:r>
          </w:p>
        </w:tc>
        <w:tc>
          <w:tcPr>
            <w:tcW w:w="322"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Объем отгруженных товаров собственного производства, работ и услуг</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Курс доллара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Количество зарегистрированных организаций</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Численность постоянного населения на конец года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Численность населения в трудоспособном возрасте</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Среднесписочная численность работников организаций</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Производительность труда, тыс.</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Доходы бюджета района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Расходы бюджета района</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Соотношение покуп. способности зар. платы и прожит. минимума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Инвестиции в основной капитал</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Число ИП и КФХ.</w:t>
            </w:r>
          </w:p>
        </w:tc>
        <w:tc>
          <w:tcPr>
            <w:tcW w:w="308"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Выбросы в атмосферу загрязняющих веществ от стац. источн. в расчете на 1 жителя</w:t>
            </w:r>
          </w:p>
        </w:tc>
        <w:tc>
          <w:tcPr>
            <w:tcW w:w="24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Естественный прирост населения</w:t>
            </w:r>
          </w:p>
        </w:tc>
        <w:tc>
          <w:tcPr>
            <w:tcW w:w="284"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19"/>
                <w:szCs w:val="19"/>
              </w:rPr>
            </w:pPr>
            <w:r w:rsidRPr="00884844">
              <w:rPr>
                <w:rFonts w:ascii="Times New Roman" w:eastAsia="Times New Roman" w:hAnsi="Times New Roman" w:cs="Times New Roman"/>
                <w:b/>
                <w:color w:val="000000"/>
                <w:sz w:val="19"/>
                <w:szCs w:val="19"/>
              </w:rPr>
              <w:t>Заявленная предприятиями и организациями потребность в работниках</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Курс доллара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Количество зарегистрированных организаций</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-0,690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-0,811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постоянного населения на конец года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-0,125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-0,577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населения в трудоспособном возрасте</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-0,620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-0,957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Среднесписочная численность работников организаций</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-0,182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-0,746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0,821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Производительность труда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0,786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0,849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-0,981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-0,905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-0,729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1,000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Доходы бюджета района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-0,482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0,260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0,385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-0,140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-0,527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1,000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 xml:space="preserve">Расходы бюджета </w:t>
            </w:r>
            <w:r w:rsidRPr="005D24C1">
              <w:rPr>
                <w:rFonts w:ascii="Times New Roman" w:eastAsia="Times New Roman" w:hAnsi="Times New Roman" w:cs="Times New Roman"/>
                <w:color w:val="000000"/>
                <w:sz w:val="19"/>
                <w:szCs w:val="19"/>
              </w:rPr>
              <w:lastRenderedPageBreak/>
              <w:t>района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-0,870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-0,837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0,504</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0,765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0,345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-0,817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0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sz w:val="19"/>
                <w:szCs w:val="19"/>
              </w:rPr>
            </w:pPr>
            <w:r w:rsidRPr="005D24C1">
              <w:rPr>
                <w:rFonts w:ascii="Times New Roman" w:eastAsia="Times New Roman" w:hAnsi="Times New Roman" w:cs="Times New Roman"/>
                <w:color w:val="000000"/>
                <w:sz w:val="19"/>
                <w:szCs w:val="19"/>
              </w:rPr>
              <w:lastRenderedPageBreak/>
              <w:t>Соотношение покуп. способности зар. платы и прожит. минимума</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-0,485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-0,243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-0,208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-0,605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0,109</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0,294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0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sz w:val="19"/>
                <w:szCs w:val="19"/>
              </w:rPr>
            </w:pPr>
            <w:r w:rsidRPr="005D24C1">
              <w:rPr>
                <w:rFonts w:ascii="Times New Roman" w:eastAsia="Times New Roman" w:hAnsi="Times New Roman" w:cs="Times New Roman"/>
                <w:sz w:val="19"/>
                <w:szCs w:val="19"/>
              </w:rPr>
              <w:t>Инвестиции в основной капитал</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-0,495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-0,461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0,028</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0,639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0,099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0,275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-0,011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31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Число ИП и КФХ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0,405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-0,805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0,035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-0,047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0,557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-0,540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126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Выбросы в атмосферу загрязняющих веществ от стационарных  источников в расчете на одного жителя</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0,248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-0,116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0,862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-0,118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0,107</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0,047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0,136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-0,063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-0,396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0,331</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630"/>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Естественный прирост населения</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-0,444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-0,645</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0,918</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0,589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0,673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0,703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-0,826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0,277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0,614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-0,433</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0,392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-0,776</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0,293</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945"/>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Заявленная предприятиями и организациями потребность в работниках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0,146</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-0,579</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0,232</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0,736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0,434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0,421</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-0,174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0,017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0,354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-0,336</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-0,313</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0,096</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0,657</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0,346</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trHeight w:val="421"/>
        </w:trPr>
        <w:tc>
          <w:tcPr>
            <w:tcW w:w="674"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19"/>
                <w:szCs w:val="19"/>
              </w:rPr>
            </w:pPr>
            <w:r w:rsidRPr="005D24C1">
              <w:rPr>
                <w:rFonts w:ascii="Times New Roman" w:eastAsia="Times New Roman" w:hAnsi="Times New Roman" w:cs="Times New Roman"/>
                <w:color w:val="000000"/>
                <w:sz w:val="19"/>
                <w:szCs w:val="19"/>
              </w:rPr>
              <w:t>Численность безработных</w:t>
            </w:r>
          </w:p>
        </w:tc>
        <w:tc>
          <w:tcPr>
            <w:tcW w:w="322"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0,179</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-0,472</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0,534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0,237</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0,594</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0,894</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-0,450</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-0,460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0,031</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-0,890</w:t>
            </w:r>
          </w:p>
        </w:tc>
        <w:tc>
          <w:tcPr>
            <w:tcW w:w="287"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0,335</w:t>
            </w:r>
          </w:p>
        </w:tc>
        <w:tc>
          <w:tcPr>
            <w:tcW w:w="28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-0,653</w:t>
            </w:r>
          </w:p>
        </w:tc>
        <w:tc>
          <w:tcPr>
            <w:tcW w:w="308"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0,005</w:t>
            </w:r>
          </w:p>
        </w:tc>
        <w:tc>
          <w:tcPr>
            <w:tcW w:w="249"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0,587</w:t>
            </w:r>
          </w:p>
        </w:tc>
        <w:tc>
          <w:tcPr>
            <w:tcW w:w="284" w:type="pct"/>
            <w:tcBorders>
              <w:top w:val="nil"/>
              <w:left w:val="nil"/>
              <w:bottom w:val="single" w:sz="4" w:space="0" w:color="auto"/>
              <w:right w:val="single" w:sz="4" w:space="0" w:color="auto"/>
            </w:tcBorders>
            <w:shd w:val="clear" w:color="auto" w:fill="auto"/>
            <w:noWrap/>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0,456</w:t>
            </w:r>
          </w:p>
        </w:tc>
      </w:tr>
    </w:tbl>
    <w:p w:rsidR="005D24C1" w:rsidRPr="005D24C1" w:rsidRDefault="005D24C1" w:rsidP="005D24C1">
      <w:pPr>
        <w:spacing w:after="0"/>
        <w:ind w:firstLine="709"/>
        <w:rPr>
          <w:rFonts w:ascii="Times New Roman" w:eastAsia="Times New Roman" w:hAnsi="Times New Roman" w:cs="Times New Roman"/>
          <w:szCs w:val="24"/>
        </w:rPr>
      </w:pPr>
    </w:p>
    <w:p w:rsidR="005D24C1" w:rsidRPr="005D24C1" w:rsidRDefault="005D24C1" w:rsidP="005D24C1">
      <w:pPr>
        <w:spacing w:after="0"/>
        <w:ind w:firstLine="709"/>
        <w:rPr>
          <w:rFonts w:ascii="Times New Roman" w:eastAsia="Times New Roman" w:hAnsi="Times New Roman" w:cs="Times New Roman"/>
          <w:szCs w:val="24"/>
        </w:rPr>
      </w:pPr>
    </w:p>
    <w:p w:rsidR="005D24C1" w:rsidRPr="00884844" w:rsidRDefault="005D24C1" w:rsidP="005D24C1">
      <w:pPr>
        <w:jc w:val="right"/>
        <w:rPr>
          <w:rFonts w:ascii="Times New Roman" w:eastAsia="Times New Roman" w:hAnsi="Times New Roman" w:cs="Times New Roman"/>
          <w:b/>
          <w:sz w:val="28"/>
          <w:szCs w:val="28"/>
        </w:rPr>
      </w:pPr>
      <w:r w:rsidRPr="005D24C1">
        <w:rPr>
          <w:rFonts w:ascii="Times New Roman" w:eastAsia="Times New Roman" w:hAnsi="Times New Roman" w:cs="Times New Roman"/>
          <w:szCs w:val="24"/>
        </w:rPr>
        <w:br w:type="page"/>
      </w:r>
      <w:r w:rsidRPr="00884844">
        <w:rPr>
          <w:rFonts w:ascii="Times New Roman" w:eastAsia="Times New Roman" w:hAnsi="Times New Roman" w:cs="Times New Roman"/>
          <w:b/>
          <w:sz w:val="28"/>
          <w:szCs w:val="28"/>
        </w:rPr>
        <w:lastRenderedPageBreak/>
        <w:t>Приложение 3</w:t>
      </w:r>
    </w:p>
    <w:p w:rsidR="005D24C1" w:rsidRPr="00884844" w:rsidRDefault="005D24C1" w:rsidP="005D24C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Характеристика коэффициентов корреляции Пирсона в соответствии с критериями Чеддока</w:t>
      </w:r>
    </w:p>
    <w:tbl>
      <w:tblPr>
        <w:tblW w:w="5000" w:type="pct"/>
        <w:tblLayout w:type="fixed"/>
        <w:tblLook w:val="04A0"/>
      </w:tblPr>
      <w:tblGrid>
        <w:gridCol w:w="2322"/>
        <w:gridCol w:w="1177"/>
        <w:gridCol w:w="738"/>
        <w:gridCol w:w="734"/>
        <w:gridCol w:w="1032"/>
        <w:gridCol w:w="881"/>
        <w:gridCol w:w="1032"/>
        <w:gridCol w:w="881"/>
        <w:gridCol w:w="737"/>
        <w:gridCol w:w="586"/>
        <w:gridCol w:w="1032"/>
        <w:gridCol w:w="881"/>
        <w:gridCol w:w="642"/>
        <w:gridCol w:w="943"/>
        <w:gridCol w:w="623"/>
        <w:gridCol w:w="1111"/>
      </w:tblGrid>
      <w:tr w:rsidR="005D24C1" w:rsidRPr="00884844" w:rsidTr="00424AF3">
        <w:trPr>
          <w:cantSplit/>
          <w:trHeight w:val="2835"/>
        </w:trPr>
        <w:tc>
          <w:tcPr>
            <w:tcW w:w="75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i/>
                <w:iCs/>
                <w:color w:val="000000"/>
                <w:sz w:val="20"/>
                <w:szCs w:val="20"/>
              </w:rPr>
            </w:pPr>
            <w:r w:rsidRPr="00884844">
              <w:rPr>
                <w:rFonts w:ascii="Times New Roman" w:eastAsia="Times New Roman" w:hAnsi="Times New Roman" w:cs="Times New Roman"/>
                <w:b/>
                <w:i/>
                <w:iCs/>
                <w:color w:val="000000"/>
                <w:sz w:val="20"/>
                <w:szCs w:val="20"/>
              </w:rPr>
              <w:t> </w:t>
            </w:r>
          </w:p>
        </w:tc>
        <w:tc>
          <w:tcPr>
            <w:tcW w:w="383"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Объем отгруженных товаров собственного производства, выполненных работ и услуг</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Курс доллара</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Количество зарегистрированных организаций</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Численность постоянного населения на конец года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Численность населения в трудоспособном возрасте</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Среднесписочная численность работников организаций</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Производительность труда</w:t>
            </w:r>
          </w:p>
        </w:tc>
        <w:tc>
          <w:tcPr>
            <w:tcW w:w="240"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Доходы бюджета района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Расходы бюджета района</w:t>
            </w:r>
          </w:p>
        </w:tc>
        <w:tc>
          <w:tcPr>
            <w:tcW w:w="336"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19"/>
                <w:szCs w:val="19"/>
              </w:rPr>
              <w:t>Соотношение покуп. способности зар. платы и прожит. минимума</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Инвестиции в основной капитал</w:t>
            </w:r>
          </w:p>
        </w:tc>
        <w:tc>
          <w:tcPr>
            <w:tcW w:w="209"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Число ИП и КФХ</w:t>
            </w:r>
          </w:p>
        </w:tc>
        <w:tc>
          <w:tcPr>
            <w:tcW w:w="307"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Выбросы в атмосферу загрязняющих веществ от стационарных  источников в расчете на одного жителя</w:t>
            </w:r>
          </w:p>
        </w:tc>
        <w:tc>
          <w:tcPr>
            <w:tcW w:w="203"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Естественный прирост населения</w:t>
            </w:r>
          </w:p>
        </w:tc>
        <w:tc>
          <w:tcPr>
            <w:tcW w:w="362" w:type="pct"/>
            <w:tcBorders>
              <w:top w:val="single" w:sz="4" w:space="0" w:color="auto"/>
              <w:left w:val="nil"/>
              <w:bottom w:val="single" w:sz="4" w:space="0" w:color="auto"/>
              <w:right w:val="single" w:sz="4" w:space="0" w:color="auto"/>
            </w:tcBorders>
            <w:shd w:val="clear" w:color="auto" w:fill="auto"/>
            <w:textDirection w:val="btLr"/>
            <w:vAlign w:val="center"/>
            <w:hideMark/>
          </w:tcPr>
          <w:p w:rsidR="005D24C1" w:rsidRPr="00884844" w:rsidRDefault="005D24C1" w:rsidP="00424AF3">
            <w:pPr>
              <w:spacing w:after="0" w:line="240" w:lineRule="auto"/>
              <w:ind w:left="113" w:right="113"/>
              <w:jc w:val="center"/>
              <w:rPr>
                <w:rFonts w:ascii="Times New Roman" w:eastAsia="Times New Roman" w:hAnsi="Times New Roman" w:cs="Times New Roman"/>
                <w:b/>
                <w:color w:val="000000"/>
                <w:sz w:val="20"/>
                <w:szCs w:val="20"/>
              </w:rPr>
            </w:pPr>
            <w:r w:rsidRPr="00884844">
              <w:rPr>
                <w:rFonts w:ascii="Times New Roman" w:eastAsia="Times New Roman" w:hAnsi="Times New Roman" w:cs="Times New Roman"/>
                <w:b/>
                <w:color w:val="000000"/>
                <w:sz w:val="20"/>
                <w:szCs w:val="20"/>
              </w:rPr>
              <w:t>Заявленная предприятиями и организациями потребность в работниках</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Курс доллара, 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3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Количество зарегистрированных организаций, ед.</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постоянного населения на конец года,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населения в трудоспособном возрасте,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Среднесписочная численность работников организаций, чел.</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Производительность труда, тыс.руб./чел.</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Доходы бюджета района, тыс.руб.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Расходы бюджета района, тыс.руб.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191"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19"/>
                <w:szCs w:val="19"/>
              </w:rPr>
              <w:t>Соотношение покуп. способности зар. платы и прожит. минимума</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Инвестиции в основной капитал, млн.руб.</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Число ИП и КФХ, ед.</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09"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lastRenderedPageBreak/>
              <w:t>Выбросы в атмосферу загрязняющих веществ от стационарных  источников в расчете на одного жителя, кг.</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07"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Естественный прирост населения,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очень высокая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03"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134"/>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Заявленная предприятиями и организациями потребность в работниках,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362" w:type="pct"/>
            <w:tcBorders>
              <w:top w:val="nil"/>
              <w:left w:val="nil"/>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w:t>
            </w:r>
          </w:p>
        </w:tc>
      </w:tr>
      <w:tr w:rsidR="005D24C1" w:rsidRPr="005D24C1" w:rsidTr="00424AF3">
        <w:trPr>
          <w:cantSplit/>
          <w:trHeight w:val="1260"/>
        </w:trPr>
        <w:tc>
          <w:tcPr>
            <w:tcW w:w="756" w:type="pct"/>
            <w:tcBorders>
              <w:top w:val="nil"/>
              <w:left w:val="single" w:sz="4" w:space="0" w:color="auto"/>
              <w:bottom w:val="single" w:sz="4" w:space="0" w:color="auto"/>
              <w:right w:val="single" w:sz="4" w:space="0" w:color="auto"/>
            </w:tcBorders>
            <w:shd w:val="clear" w:color="auto" w:fill="auto"/>
            <w:vAlign w:val="center"/>
            <w:hideMark/>
          </w:tcPr>
          <w:p w:rsidR="005D24C1" w:rsidRPr="005D24C1" w:rsidRDefault="005D24C1" w:rsidP="00424AF3">
            <w:pPr>
              <w:spacing w:after="0" w:line="240" w:lineRule="auto"/>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Численность безработных зарегистрированных в государственных службах занятости, человек</w:t>
            </w:r>
          </w:p>
        </w:tc>
        <w:tc>
          <w:tcPr>
            <w:tcW w:w="38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3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240"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умеренная</w:t>
            </w:r>
          </w:p>
        </w:tc>
        <w:tc>
          <w:tcPr>
            <w:tcW w:w="191"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336"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высокая</w:t>
            </w:r>
          </w:p>
        </w:tc>
        <w:tc>
          <w:tcPr>
            <w:tcW w:w="28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c>
          <w:tcPr>
            <w:tcW w:w="209"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обратная, значительная</w:t>
            </w:r>
          </w:p>
        </w:tc>
        <w:tc>
          <w:tcPr>
            <w:tcW w:w="307"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слабая</w:t>
            </w:r>
          </w:p>
        </w:tc>
        <w:tc>
          <w:tcPr>
            <w:tcW w:w="203"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значительная</w:t>
            </w:r>
          </w:p>
        </w:tc>
        <w:tc>
          <w:tcPr>
            <w:tcW w:w="362" w:type="pct"/>
            <w:tcBorders>
              <w:top w:val="nil"/>
              <w:left w:val="nil"/>
              <w:bottom w:val="single" w:sz="4" w:space="0" w:color="auto"/>
              <w:right w:val="single" w:sz="4" w:space="0" w:color="auto"/>
            </w:tcBorders>
            <w:shd w:val="clear" w:color="auto" w:fill="auto"/>
            <w:textDirection w:val="btLr"/>
            <w:vAlign w:val="center"/>
            <w:hideMark/>
          </w:tcPr>
          <w:p w:rsidR="005D24C1" w:rsidRPr="005D24C1" w:rsidRDefault="005D24C1" w:rsidP="00424AF3">
            <w:pPr>
              <w:spacing w:after="0" w:line="240" w:lineRule="auto"/>
              <w:ind w:left="113" w:right="113"/>
              <w:jc w:val="center"/>
              <w:rPr>
                <w:rFonts w:ascii="Times New Roman" w:eastAsia="Times New Roman" w:hAnsi="Times New Roman" w:cs="Times New Roman"/>
                <w:color w:val="000000"/>
                <w:sz w:val="20"/>
                <w:szCs w:val="20"/>
              </w:rPr>
            </w:pPr>
            <w:r w:rsidRPr="005D24C1">
              <w:rPr>
                <w:rFonts w:ascii="Times New Roman" w:eastAsia="Times New Roman" w:hAnsi="Times New Roman" w:cs="Times New Roman"/>
                <w:color w:val="000000"/>
                <w:sz w:val="20"/>
                <w:szCs w:val="20"/>
              </w:rPr>
              <w:t>прямая, умеренная</w:t>
            </w:r>
          </w:p>
        </w:tc>
      </w:tr>
    </w:tbl>
    <w:p w:rsidR="005D24C1" w:rsidRDefault="005D24C1" w:rsidP="005D24C1">
      <w:pPr>
        <w:spacing w:after="0"/>
        <w:ind w:firstLine="709"/>
        <w:rPr>
          <w:rFonts w:eastAsia="Times New Roman" w:cs="Times New Roman"/>
          <w:szCs w:val="24"/>
        </w:rPr>
      </w:pPr>
    </w:p>
    <w:p w:rsidR="00E65761" w:rsidRDefault="00E65761">
      <w:pPr>
        <w:rPr>
          <w:rFonts w:eastAsia="Times New Roman" w:cs="Times New Roman"/>
          <w:szCs w:val="24"/>
        </w:rPr>
      </w:pPr>
      <w:r>
        <w:rPr>
          <w:rFonts w:eastAsia="Times New Roman" w:cs="Times New Roman"/>
          <w:szCs w:val="24"/>
        </w:rPr>
        <w:br w:type="page"/>
      </w:r>
    </w:p>
    <w:p w:rsidR="00E65761" w:rsidRPr="00884844" w:rsidRDefault="00E65761" w:rsidP="00E65761">
      <w:pPr>
        <w:spacing w:after="0"/>
        <w:jc w:val="right"/>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lastRenderedPageBreak/>
        <w:t>Приложение 4</w:t>
      </w:r>
    </w:p>
    <w:p w:rsidR="00E65761" w:rsidRPr="00884844" w:rsidRDefault="00E65761" w:rsidP="00E65761">
      <w:pPr>
        <w:spacing w:after="0"/>
        <w:jc w:val="center"/>
        <w:rPr>
          <w:rFonts w:ascii="Times New Roman" w:eastAsia="Times New Roman" w:hAnsi="Times New Roman" w:cs="Times New Roman"/>
          <w:b/>
          <w:sz w:val="28"/>
          <w:szCs w:val="28"/>
        </w:rPr>
      </w:pPr>
      <w:r w:rsidRPr="00884844">
        <w:rPr>
          <w:rFonts w:ascii="Times New Roman" w:eastAsia="Times New Roman" w:hAnsi="Times New Roman" w:cs="Times New Roman"/>
          <w:b/>
          <w:sz w:val="28"/>
          <w:szCs w:val="28"/>
        </w:rPr>
        <w:t xml:space="preserve">Система целевых показателей и индикаторов реализации Стратегии социально-экономического развития </w:t>
      </w:r>
      <w:r w:rsidR="00E97C6A" w:rsidRPr="00884844">
        <w:rPr>
          <w:rFonts w:ascii="Times New Roman" w:eastAsia="Times New Roman" w:hAnsi="Times New Roman" w:cs="Times New Roman"/>
          <w:b/>
          <w:sz w:val="28"/>
          <w:szCs w:val="28"/>
        </w:rPr>
        <w:t>Бардымского</w:t>
      </w:r>
      <w:r w:rsidRPr="00884844">
        <w:rPr>
          <w:rFonts w:ascii="Times New Roman" w:eastAsia="Times New Roman" w:hAnsi="Times New Roman" w:cs="Times New Roman"/>
          <w:b/>
          <w:sz w:val="28"/>
          <w:szCs w:val="28"/>
        </w:rPr>
        <w:t xml:space="preserve"> муниципального района на 2017-2030 годы</w:t>
      </w:r>
    </w:p>
    <w:tbl>
      <w:tblPr>
        <w:tblW w:w="1604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7"/>
        <w:gridCol w:w="2084"/>
        <w:gridCol w:w="5940"/>
        <w:gridCol w:w="6212"/>
      </w:tblGrid>
      <w:tr w:rsidR="00E65761" w:rsidRPr="00E97C6A" w:rsidTr="00E65761">
        <w:trPr>
          <w:trHeight w:val="255"/>
        </w:trPr>
        <w:tc>
          <w:tcPr>
            <w:tcW w:w="16043" w:type="dxa"/>
            <w:gridSpan w:val="4"/>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Стратегическая Цель - Рост  человеческого потенциала.</w:t>
            </w:r>
          </w:p>
        </w:tc>
      </w:tr>
      <w:tr w:rsidR="00E65761" w:rsidRPr="00E97C6A" w:rsidTr="00E65761">
        <w:trPr>
          <w:trHeight w:val="270"/>
        </w:trPr>
        <w:tc>
          <w:tcPr>
            <w:tcW w:w="1807" w:type="dxa"/>
            <w:noWrap/>
            <w:vAlign w:val="center"/>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Сфера</w:t>
            </w:r>
          </w:p>
        </w:tc>
        <w:tc>
          <w:tcPr>
            <w:tcW w:w="2084" w:type="dxa"/>
            <w:noWrap/>
            <w:vAlign w:val="center"/>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Направления развития</w:t>
            </w:r>
          </w:p>
        </w:tc>
        <w:tc>
          <w:tcPr>
            <w:tcW w:w="5940" w:type="dxa"/>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Показатели 1-го уровня</w:t>
            </w:r>
          </w:p>
        </w:tc>
        <w:tc>
          <w:tcPr>
            <w:tcW w:w="6212" w:type="dxa"/>
            <w:noWrap/>
            <w:vAlign w:val="center"/>
          </w:tcPr>
          <w:p w:rsidR="00E65761" w:rsidRPr="00884844" w:rsidRDefault="00E65761" w:rsidP="00530383">
            <w:pPr>
              <w:spacing w:after="0" w:line="240" w:lineRule="auto"/>
              <w:jc w:val="center"/>
              <w:rPr>
                <w:rFonts w:ascii="Times New Roman" w:eastAsia="Times New Roman" w:hAnsi="Times New Roman"/>
                <w:b/>
                <w:bCs/>
                <w:color w:val="000000"/>
                <w:sz w:val="18"/>
                <w:szCs w:val="18"/>
              </w:rPr>
            </w:pPr>
            <w:r w:rsidRPr="00884844">
              <w:rPr>
                <w:rFonts w:ascii="Times New Roman" w:eastAsia="Times New Roman" w:hAnsi="Times New Roman"/>
                <w:b/>
                <w:bCs/>
                <w:color w:val="000000"/>
                <w:sz w:val="18"/>
                <w:szCs w:val="18"/>
              </w:rPr>
              <w:t>Индикативные показатели</w:t>
            </w:r>
          </w:p>
        </w:tc>
      </w:tr>
      <w:tr w:rsidR="00E65761" w:rsidRPr="00E97C6A" w:rsidTr="00E65761">
        <w:trPr>
          <w:trHeight w:val="671"/>
        </w:trPr>
        <w:tc>
          <w:tcPr>
            <w:tcW w:w="1807" w:type="dxa"/>
            <w:noWrap/>
          </w:tcPr>
          <w:p w:rsidR="00E65761" w:rsidRPr="00ED6628" w:rsidRDefault="00E97C6A"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Бардымс</w:t>
            </w:r>
            <w:r w:rsidR="00E65761" w:rsidRPr="00ED6628">
              <w:rPr>
                <w:rFonts w:ascii="Times New Roman" w:eastAsia="Times New Roman" w:hAnsi="Times New Roman"/>
                <w:b/>
                <w:bCs/>
                <w:color w:val="000000"/>
                <w:sz w:val="18"/>
                <w:szCs w:val="18"/>
              </w:rPr>
              <w:t>ский      муниципальный район</w:t>
            </w:r>
          </w:p>
        </w:tc>
        <w:tc>
          <w:tcPr>
            <w:tcW w:w="2084" w:type="dxa"/>
            <w:noWrap/>
          </w:tcPr>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Демография</w:t>
            </w:r>
          </w:p>
        </w:tc>
        <w:tc>
          <w:tcPr>
            <w:tcW w:w="5940" w:type="dxa"/>
            <w:noWrap/>
          </w:tcPr>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 xml:space="preserve">1. Численность  населения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муниципального района, чел.</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2. Ожидаемая продолжительность жизни, лет</w:t>
            </w:r>
          </w:p>
        </w:tc>
        <w:tc>
          <w:tcPr>
            <w:tcW w:w="6212" w:type="dxa"/>
            <w:noWrap/>
          </w:tcPr>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1.Коэффициет рождаемости, промилле</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2. Коэффициент смертности, промилле</w:t>
            </w:r>
          </w:p>
          <w:p w:rsidR="00E65761" w:rsidRPr="00E97C6A" w:rsidRDefault="00E65761" w:rsidP="00530383">
            <w:pPr>
              <w:spacing w:after="0" w:line="240" w:lineRule="auto"/>
              <w:rPr>
                <w:rFonts w:ascii="Times New Roman" w:eastAsia="Times New Roman" w:hAnsi="Times New Roman"/>
                <w:bCs/>
                <w:color w:val="000000"/>
                <w:sz w:val="18"/>
                <w:szCs w:val="18"/>
              </w:rPr>
            </w:pPr>
            <w:r w:rsidRPr="00E97C6A">
              <w:rPr>
                <w:rFonts w:ascii="Times New Roman" w:eastAsia="Times New Roman" w:hAnsi="Times New Roman"/>
                <w:bCs/>
                <w:color w:val="000000"/>
                <w:sz w:val="18"/>
                <w:szCs w:val="18"/>
              </w:rPr>
              <w:t>3. Коэффициент миграционного  прироста  населения, промилле</w:t>
            </w:r>
          </w:p>
        </w:tc>
      </w:tr>
      <w:tr w:rsidR="00E65761" w:rsidRPr="00E97C6A" w:rsidTr="00F726A9">
        <w:trPr>
          <w:trHeight w:val="1479"/>
        </w:trPr>
        <w:tc>
          <w:tcPr>
            <w:tcW w:w="1807" w:type="dxa"/>
            <w:vMerge w:val="restart"/>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Инфраструктурная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Дорожная </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инфраструктура</w:t>
            </w:r>
          </w:p>
          <w:p w:rsidR="00E65761" w:rsidRPr="00ED6628" w:rsidRDefault="00E65761" w:rsidP="00530383">
            <w:pPr>
              <w:rPr>
                <w:rFonts w:ascii="Times New Roman" w:eastAsia="Times New Roman" w:hAnsi="Times New Roman"/>
                <w:b/>
                <w:bCs/>
                <w:color w:val="000000"/>
                <w:sz w:val="18"/>
                <w:szCs w:val="18"/>
              </w:rPr>
            </w:pP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1.</w:t>
            </w:r>
            <w:r w:rsidRPr="00E97C6A">
              <w:rPr>
                <w:rFonts w:ascii="Times New Roman" w:eastAsia="Times New Roman" w:hAnsi="Times New Roman"/>
                <w:color w:val="000000"/>
                <w:sz w:val="18"/>
                <w:szCs w:val="18"/>
                <w:lang w:bidi="en-US"/>
              </w:rPr>
              <w:t xml:space="preserve"> Протяжённость автодорог общего пользования местного значения  находящихся в собственности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всего, км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 </w:t>
            </w:r>
            <w:r w:rsidRPr="00E97C6A">
              <w:rPr>
                <w:rFonts w:ascii="Times New Roman" w:eastAsia="Times New Roman" w:hAnsi="Times New Roman"/>
                <w:color w:val="000000"/>
                <w:sz w:val="18"/>
                <w:szCs w:val="18"/>
              </w:rPr>
              <w:t xml:space="preserve">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1.</w:t>
            </w:r>
            <w:r w:rsidRPr="00E97C6A">
              <w:rPr>
                <w:rFonts w:ascii="Times New Roman" w:eastAsia="Times New Roman" w:hAnsi="Times New Roman"/>
                <w:color w:val="000000"/>
                <w:sz w:val="18"/>
                <w:szCs w:val="18"/>
                <w:lang w:bidi="en-US"/>
              </w:rPr>
              <w:t xml:space="preserve"> Доля автодорог общего пользования местного значения  находящихся в пользовании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с твердым  покрытием,%</w:t>
            </w:r>
          </w:p>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 xml:space="preserve">2. Доля автодорог общего пользования местного значения  находящихся в пользовании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с усовершенствованным (цементобетонным, асфальтобетонным и т.п.)  покрытием,%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3. Доля автодорог общего пользования находящихся в собственности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lang w:bidi="en-US"/>
              </w:rPr>
              <w:t xml:space="preserve">  муниципального района в ненормативном состоянии,  %</w:t>
            </w:r>
          </w:p>
        </w:tc>
      </w:tr>
      <w:tr w:rsidR="00E65761" w:rsidRPr="00E97C6A" w:rsidTr="00E65761">
        <w:trPr>
          <w:trHeight w:val="1552"/>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Инженерная и коммунальная инфраструктура</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rPr>
              <w:t xml:space="preserve">1. </w:t>
            </w:r>
            <w:r w:rsidRPr="00E97C6A">
              <w:rPr>
                <w:rFonts w:ascii="Times New Roman" w:eastAsia="Times New Roman" w:hAnsi="Times New Roman"/>
                <w:color w:val="000000"/>
                <w:sz w:val="18"/>
                <w:szCs w:val="18"/>
                <w:lang w:bidi="en-US"/>
              </w:rPr>
              <w:t xml:space="preserve">Общая площадь жилых помещений в расчете на одного жителя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lang w:bidi="en-US"/>
              </w:rPr>
              <w:t xml:space="preserve"> муниципального района, кв. м.</w:t>
            </w:r>
          </w:p>
          <w:p w:rsidR="00E65761" w:rsidRPr="00E97C6A" w:rsidRDefault="00E65761" w:rsidP="00530383">
            <w:pPr>
              <w:spacing w:after="0" w:line="240" w:lineRule="auto"/>
              <w:rPr>
                <w:rFonts w:ascii="Times New Roman" w:hAnsi="Times New Roman"/>
                <w:sz w:val="18"/>
                <w:szCs w:val="18"/>
              </w:rPr>
            </w:pPr>
            <w:r w:rsidRPr="00E97C6A">
              <w:rPr>
                <w:rFonts w:ascii="Times New Roman" w:eastAsia="Times New Roman" w:hAnsi="Times New Roman"/>
                <w:color w:val="000000"/>
                <w:sz w:val="18"/>
                <w:szCs w:val="18"/>
                <w:lang w:bidi="en-US"/>
              </w:rPr>
              <w:t xml:space="preserve">2. </w:t>
            </w:r>
            <w:r w:rsidRPr="00E97C6A">
              <w:rPr>
                <w:rFonts w:ascii="Times New Roman" w:eastAsia="Times New Roman" w:hAnsi="Times New Roman"/>
                <w:color w:val="000000"/>
                <w:sz w:val="18"/>
                <w:szCs w:val="18"/>
              </w:rPr>
              <w:t xml:space="preserve">Количество негазифицированных населенных пунктов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color w:val="000000"/>
                <w:sz w:val="18"/>
                <w:szCs w:val="18"/>
              </w:rPr>
              <w:t xml:space="preserve"> муниципального района,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hAnsi="Times New Roman"/>
                <w:sz w:val="18"/>
                <w:szCs w:val="18"/>
              </w:rPr>
            </w:pPr>
            <w:r w:rsidRPr="00E97C6A">
              <w:rPr>
                <w:rFonts w:ascii="Times New Roman" w:eastAsia="Times New Roman" w:hAnsi="Times New Roman"/>
                <w:color w:val="000000"/>
                <w:sz w:val="18"/>
                <w:szCs w:val="18"/>
                <w:lang w:bidi="en-US"/>
              </w:rPr>
              <w:t>1.</w:t>
            </w:r>
            <w:r w:rsidRPr="00E97C6A">
              <w:rPr>
                <w:rFonts w:ascii="Times New Roman" w:eastAsia="Times New Roman" w:hAnsi="Times New Roman"/>
                <w:color w:val="000000"/>
                <w:sz w:val="18"/>
                <w:szCs w:val="18"/>
              </w:rPr>
              <w:t xml:space="preserve"> </w:t>
            </w:r>
            <w:r w:rsidRPr="00E97C6A">
              <w:rPr>
                <w:rFonts w:ascii="Times New Roman" w:hAnsi="Times New Roman"/>
                <w:sz w:val="18"/>
                <w:szCs w:val="18"/>
              </w:rPr>
              <w:t>Обеспеченность жилого фонда центральным водопроводом, %</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2. Обеспеченность жилого фонда центральной канализацией,%</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3. Обеспеченность жилого фонда центральным отоплением, %</w:t>
            </w:r>
          </w:p>
          <w:p w:rsidR="00E65761" w:rsidRPr="00E97C6A" w:rsidRDefault="00E65761" w:rsidP="00530383">
            <w:pPr>
              <w:spacing w:after="0" w:line="240" w:lineRule="auto"/>
              <w:rPr>
                <w:rFonts w:ascii="Times New Roman" w:eastAsia="Times New Roman" w:hAnsi="Times New Roman"/>
                <w:sz w:val="18"/>
                <w:szCs w:val="18"/>
              </w:rPr>
            </w:pPr>
            <w:r w:rsidRPr="00E97C6A">
              <w:rPr>
                <w:rFonts w:ascii="Times New Roman" w:eastAsia="Times New Roman" w:hAnsi="Times New Roman"/>
                <w:color w:val="000000"/>
                <w:sz w:val="18"/>
                <w:szCs w:val="18"/>
              </w:rPr>
              <w:t xml:space="preserve">4. </w:t>
            </w:r>
            <w:r w:rsidRPr="00E97C6A">
              <w:rPr>
                <w:rFonts w:ascii="Times New Roman" w:eastAsia="Times New Roman" w:hAnsi="Times New Roman"/>
                <w:sz w:val="18"/>
                <w:szCs w:val="18"/>
              </w:rPr>
              <w:t>Доля  домашних хозяйств, имеющих доступ к информационно-телекоммуникационной сети "Интернет" с домашнего компьютера,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sz w:val="18"/>
                <w:szCs w:val="18"/>
              </w:rPr>
              <w:t>5. У</w:t>
            </w:r>
            <w:r w:rsidRPr="00E97C6A">
              <w:rPr>
                <w:rFonts w:ascii="Times New Roman" w:hAnsi="Times New Roman"/>
                <w:sz w:val="18"/>
                <w:szCs w:val="18"/>
              </w:rPr>
              <w:t>ровень собираемости платежей за предоставленные жилищно-коммунальные услуги, %</w:t>
            </w:r>
          </w:p>
        </w:tc>
      </w:tr>
      <w:tr w:rsidR="00E65761" w:rsidRPr="00E97C6A" w:rsidTr="00E65761">
        <w:trPr>
          <w:trHeight w:val="1097"/>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Инфраструктура благоустройства</w:t>
            </w:r>
          </w:p>
          <w:p w:rsidR="00E65761" w:rsidRPr="00ED6628" w:rsidRDefault="00E65761" w:rsidP="00530383">
            <w:pP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1. Выбросы в атмосферу загрязняющих веществ от стационарных  источников, т.</w:t>
            </w:r>
          </w:p>
          <w:p w:rsidR="00E65761" w:rsidRPr="00E97C6A" w:rsidRDefault="00E65761" w:rsidP="00530383">
            <w:pPr>
              <w:spacing w:after="0" w:line="240" w:lineRule="auto"/>
              <w:rPr>
                <w:rFonts w:ascii="Times New Roman" w:eastAsia="Times New Roman" w:hAnsi="Times New Roman"/>
                <w:color w:val="000000"/>
                <w:sz w:val="18"/>
                <w:szCs w:val="18"/>
                <w:lang w:bidi="en-US"/>
              </w:rPr>
            </w:pPr>
            <w:r w:rsidRPr="00E97C6A">
              <w:rPr>
                <w:rFonts w:ascii="Times New Roman" w:eastAsia="Times New Roman" w:hAnsi="Times New Roman"/>
                <w:color w:val="000000"/>
                <w:sz w:val="18"/>
                <w:szCs w:val="18"/>
                <w:lang w:bidi="en-US"/>
              </w:rPr>
              <w:t xml:space="preserve">2. Количество предприятий по переработке  и утилизации бытовых отходов, ед. </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населенных пунктов не включенных в схему санитарной очистки территории,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несанкционированных свалок,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w:t>
            </w:r>
            <w:r w:rsidRPr="00E97C6A">
              <w:rPr>
                <w:rFonts w:ascii="Times New Roman" w:eastAsia="Times New Roman" w:hAnsi="Times New Roman"/>
                <w:sz w:val="18"/>
                <w:szCs w:val="18"/>
              </w:rPr>
              <w:t xml:space="preserve"> Удельный вес улиц, проездов, набережных, обеспеченных уличным освещением, %</w:t>
            </w:r>
          </w:p>
        </w:tc>
      </w:tr>
      <w:tr w:rsidR="00E65761" w:rsidRPr="00E97C6A" w:rsidTr="00F726A9">
        <w:trPr>
          <w:trHeight w:val="2111"/>
        </w:trPr>
        <w:tc>
          <w:tcPr>
            <w:tcW w:w="1807" w:type="dxa"/>
            <w:vMerge w:val="restart"/>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Экономическая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Производство </w:t>
            </w:r>
          </w:p>
        </w:tc>
        <w:tc>
          <w:tcPr>
            <w:tcW w:w="5940" w:type="dxa"/>
            <w:noWrap/>
          </w:tcPr>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eastAsia="Times New Roman" w:hAnsi="Times New Roman"/>
                <w:color w:val="000000"/>
                <w:sz w:val="18"/>
                <w:szCs w:val="18"/>
              </w:rPr>
              <w:t xml:space="preserve">1. </w:t>
            </w:r>
            <w:r w:rsidRPr="00E97C6A">
              <w:rPr>
                <w:rFonts w:ascii="Times New Roman" w:hAnsi="Times New Roman"/>
                <w:color w:val="000000"/>
                <w:sz w:val="18"/>
                <w:szCs w:val="18"/>
              </w:rPr>
              <w:t xml:space="preserve">Среднесписочное число работников  организаций на территории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(без субъектов малого предпринимательства), чел.</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 xml:space="preserve">2. Объем отгруженных товаров собственного производства, выполненных работ и услуг организаций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(без субъекта малого предпринимательства), млн. руб.</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3.</w:t>
            </w:r>
            <w:r w:rsidRPr="00E97C6A">
              <w:rPr>
                <w:rFonts w:ascii="Times New Roman" w:eastAsia="Times New Roman" w:hAnsi="Times New Roman"/>
                <w:color w:val="000000"/>
                <w:sz w:val="18"/>
                <w:szCs w:val="18"/>
              </w:rPr>
              <w:t xml:space="preserve"> </w:t>
            </w:r>
            <w:r w:rsidRPr="00E97C6A">
              <w:rPr>
                <w:rFonts w:ascii="Times New Roman" w:hAnsi="Times New Roman"/>
                <w:color w:val="000000"/>
                <w:sz w:val="18"/>
                <w:szCs w:val="18"/>
              </w:rPr>
              <w:t>Инвестиции в основной капитал , млн. руб.</w:t>
            </w:r>
          </w:p>
          <w:p w:rsidR="00E65761" w:rsidRPr="00E97C6A" w:rsidRDefault="00E65761" w:rsidP="00530383">
            <w:pPr>
              <w:spacing w:after="0" w:line="240" w:lineRule="auto"/>
              <w:rPr>
                <w:rFonts w:ascii="Times New Roman" w:hAnsi="Times New Roman"/>
                <w:color w:val="000000"/>
                <w:sz w:val="18"/>
                <w:szCs w:val="18"/>
              </w:rPr>
            </w:pPr>
            <w:r w:rsidRPr="00E97C6A">
              <w:rPr>
                <w:rFonts w:ascii="Times New Roman" w:hAnsi="Times New Roman"/>
                <w:color w:val="000000"/>
                <w:sz w:val="18"/>
                <w:szCs w:val="18"/>
              </w:rPr>
              <w:t xml:space="preserve">4. Среднемесячная  номинальная начисленная  заработная  плата работников  организаций </w:t>
            </w:r>
            <w:r w:rsidR="00E97C6A">
              <w:rPr>
                <w:rFonts w:ascii="Times New Roman" w:eastAsia="Times New Roman" w:hAnsi="Times New Roman"/>
                <w:bCs/>
                <w:color w:val="000000"/>
                <w:sz w:val="18"/>
                <w:szCs w:val="18"/>
              </w:rPr>
              <w:t>Бардымского</w:t>
            </w:r>
            <w:r w:rsidRPr="00E97C6A">
              <w:rPr>
                <w:rFonts w:ascii="Times New Roman" w:hAnsi="Times New Roman"/>
                <w:color w:val="000000"/>
                <w:sz w:val="18"/>
                <w:szCs w:val="18"/>
              </w:rPr>
              <w:t xml:space="preserve"> муниципального района, руб.</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5. </w:t>
            </w:r>
            <w:r w:rsidRPr="00E97C6A">
              <w:rPr>
                <w:rFonts w:ascii="Times New Roman" w:hAnsi="Times New Roman"/>
                <w:sz w:val="18"/>
                <w:szCs w:val="18"/>
              </w:rPr>
              <w:t>Уровень зарегистрированной  безработицы,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в трудоспособном возрасте,%</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sz w:val="18"/>
                <w:szCs w:val="18"/>
              </w:rPr>
              <w:t xml:space="preserve">2. </w:t>
            </w:r>
            <w:r w:rsidRPr="00E97C6A">
              <w:rPr>
                <w:rFonts w:ascii="Times New Roman" w:eastAsia="Times New Roman" w:hAnsi="Times New Roman"/>
                <w:color w:val="000000"/>
                <w:sz w:val="18"/>
                <w:szCs w:val="18"/>
              </w:rPr>
              <w:t>Соотношение количества пенсионеров в расчете на 1 работающего,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w:t>
            </w:r>
          </w:p>
          <w:p w:rsidR="00E65761" w:rsidRPr="00E97C6A" w:rsidRDefault="00E65761" w:rsidP="00530383">
            <w:pPr>
              <w:spacing w:after="0" w:line="240" w:lineRule="auto"/>
              <w:rPr>
                <w:rFonts w:ascii="Times New Roman" w:eastAsia="Times New Roman" w:hAnsi="Times New Roman"/>
                <w:color w:val="000000"/>
                <w:sz w:val="18"/>
                <w:szCs w:val="18"/>
              </w:rPr>
            </w:pPr>
          </w:p>
        </w:tc>
      </w:tr>
      <w:tr w:rsidR="00E65761" w:rsidRPr="00E97C6A" w:rsidTr="00F726A9">
        <w:trPr>
          <w:trHeight w:val="1119"/>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Сельское хозяйство</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w:t>
            </w:r>
            <w:r w:rsidRPr="00E97C6A">
              <w:rPr>
                <w:rFonts w:ascii="Times New Roman" w:hAnsi="Times New Roman"/>
                <w:color w:val="000000"/>
                <w:sz w:val="18"/>
                <w:szCs w:val="18"/>
              </w:rPr>
              <w:t xml:space="preserve"> Объем продукции (в действующих ценах)  сельского хозяйства произведенной в хозяйствах всех категорий, млн. руб.</w:t>
            </w:r>
            <w:r w:rsidRPr="00E97C6A">
              <w:rPr>
                <w:rFonts w:ascii="Times New Roman" w:eastAsia="Times New Roman" w:hAnsi="Times New Roman"/>
                <w:color w:val="000000"/>
                <w:sz w:val="18"/>
                <w:szCs w:val="18"/>
              </w:rPr>
              <w:t xml:space="preserve"> </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hAnsi="Times New Roman"/>
                <w:sz w:val="18"/>
                <w:szCs w:val="18"/>
              </w:rPr>
              <w:t xml:space="preserve"> </w:t>
            </w:r>
            <w:r w:rsidRPr="00E97C6A">
              <w:rPr>
                <w:rFonts w:ascii="Times New Roman" w:eastAsia="Times New Roman" w:hAnsi="Times New Roman"/>
                <w:color w:val="000000"/>
                <w:sz w:val="18"/>
                <w:szCs w:val="18"/>
              </w:rPr>
              <w:t>1. Доля продукции (в действующих ценах) сельского хозяйства произведенной в хозяйствах населения,  в общем объеме,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2. Доля посевных площадей  сельскохозяйственных  культур  в хозяйствах всех категорий, в общей площади сельскохозяйственных  угодий муниципального района, %</w:t>
            </w:r>
          </w:p>
        </w:tc>
      </w:tr>
      <w:tr w:rsidR="00E65761" w:rsidRPr="00E97C6A" w:rsidTr="00E65761">
        <w:trPr>
          <w:trHeight w:val="236"/>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Логистика и торговля</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 </w:t>
            </w:r>
            <w:r w:rsidRPr="00E97C6A">
              <w:rPr>
                <w:rFonts w:ascii="Times New Roman" w:hAnsi="Times New Roman"/>
                <w:sz w:val="18"/>
                <w:szCs w:val="18"/>
              </w:rPr>
              <w:t>Оборот  розничной торговли (без субъектов малого предпринимательства), млн. руб.</w:t>
            </w:r>
          </w:p>
        </w:tc>
        <w:tc>
          <w:tcPr>
            <w:tcW w:w="6212" w:type="dxa"/>
            <w:vAlign w:val="center"/>
          </w:tcPr>
          <w:p w:rsidR="00E65761" w:rsidRPr="00E97C6A" w:rsidRDefault="00E65761" w:rsidP="00530383">
            <w:pPr>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Оборот общественного питания (без субъектов малого предпринимательства), млн. руб.</w:t>
            </w:r>
          </w:p>
        </w:tc>
      </w:tr>
      <w:tr w:rsidR="00E65761" w:rsidRPr="00E97C6A" w:rsidTr="00E65761">
        <w:trPr>
          <w:trHeight w:val="657"/>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Малое предпринимательство. Туризм</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субъектов малого предпринимательства,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sz w:val="18"/>
                <w:szCs w:val="18"/>
              </w:rPr>
            </w:pPr>
            <w:r w:rsidRPr="00E97C6A">
              <w:rPr>
                <w:rFonts w:ascii="Times New Roman" w:eastAsia="Times New Roman" w:hAnsi="Times New Roman"/>
                <w:color w:val="000000"/>
                <w:sz w:val="18"/>
                <w:szCs w:val="18"/>
              </w:rPr>
              <w:t xml:space="preserve">1. </w:t>
            </w:r>
            <w:r w:rsidRPr="00E97C6A">
              <w:rPr>
                <w:rFonts w:ascii="Times New Roman" w:eastAsia="Times New Roman" w:hAnsi="Times New Roman"/>
                <w:sz w:val="18"/>
                <w:szCs w:val="18"/>
              </w:rPr>
              <w:t xml:space="preserve"> Доля продукции  (в действующих ценах) произведенной субъектами малого предпринимательства ,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Турпоток, чел.</w:t>
            </w:r>
          </w:p>
        </w:tc>
      </w:tr>
      <w:tr w:rsidR="00E65761" w:rsidRPr="00E97C6A" w:rsidTr="00E65761">
        <w:trPr>
          <w:trHeight w:val="809"/>
        </w:trPr>
        <w:tc>
          <w:tcPr>
            <w:tcW w:w="1807" w:type="dxa"/>
            <w:vMerge w:val="restart"/>
            <w:noWrap/>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Социальная</w:t>
            </w: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Здравоохранение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Общая заболеваемость населения, промилле</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Младенческая смертность, промилле</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жителей не прошедших диспансеризацию (профосмотр) на конец года,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фельдшерско-акушерских пунктов (ФАП) и (или) офисов врачей общей практики (ВОП),  ед.</w:t>
            </w:r>
          </w:p>
        </w:tc>
      </w:tr>
      <w:tr w:rsidR="00E65761" w:rsidRPr="00E97C6A" w:rsidTr="00E65761">
        <w:trPr>
          <w:trHeight w:val="653"/>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Социальная защита и пенсионное обеспечение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Средний размер месячных пенсий на конец года, руб.</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w:t>
            </w:r>
          </w:p>
        </w:tc>
      </w:tr>
      <w:tr w:rsidR="00E65761" w:rsidRPr="00E97C6A" w:rsidTr="00E65761">
        <w:trPr>
          <w:trHeight w:val="963"/>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Образование</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учащихся в образовательных организациях, чел.</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Количество посещающих дошкольные  образовательных организациях, чел.  </w:t>
            </w:r>
          </w:p>
        </w:tc>
        <w:tc>
          <w:tcPr>
            <w:tcW w:w="6212" w:type="dxa"/>
            <w:vAlign w:val="center"/>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Количество общеобразовательных школ,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Количество дошкольных образовательных организаций,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3.Количество обучающихся во 2 и 3 смены в образовательных организациях, чел.</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Численность  детей, приходящихся  на 100 место в  дошкольных образовательных организациях чел.</w:t>
            </w:r>
          </w:p>
        </w:tc>
      </w:tr>
      <w:tr w:rsidR="00E65761" w:rsidRPr="00E97C6A" w:rsidTr="00E65761">
        <w:trPr>
          <w:trHeight w:val="1010"/>
        </w:trPr>
        <w:tc>
          <w:tcPr>
            <w:tcW w:w="1807" w:type="dxa"/>
            <w:vMerge/>
            <w:vAlign w:val="center"/>
          </w:tcPr>
          <w:p w:rsidR="00E65761" w:rsidRPr="00ED6628" w:rsidRDefault="00E65761" w:rsidP="00530383">
            <w:pPr>
              <w:spacing w:after="0" w:line="240" w:lineRule="auto"/>
              <w:rPr>
                <w:rFonts w:ascii="Times New Roman" w:eastAsia="Times New Roman" w:hAnsi="Times New Roman"/>
                <w:b/>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Культура</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1. Количество культурно-досуговых учреждений,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 2. Количество сельских библиотек, ед. </w:t>
            </w: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Вместимость культурно-досуговых учреждений в расчете на 1000 жителей, мест</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Библиотечный фонд сельских библиотек в расчете на 1000 жителей, экземпляров</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 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 %.</w:t>
            </w:r>
          </w:p>
        </w:tc>
      </w:tr>
      <w:tr w:rsidR="00E65761" w:rsidRPr="00E97C6A" w:rsidTr="00E65761">
        <w:trPr>
          <w:trHeight w:val="1267"/>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Физкультура и спорт</w:t>
            </w:r>
          </w:p>
        </w:tc>
        <w:tc>
          <w:tcPr>
            <w:tcW w:w="5940" w:type="dxa"/>
            <w:noWrap/>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1.Количество спортсооружений, ед.</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населения, систематически занимающегося физической культурой и спортом,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Площадь  плоскостных спортсооружений в расчете на 10000 жителей, кв. м.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3. Площадь спортивных залов в расчете на 10000 жителей, кв. м.</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Площадь (зеркало) бассейнов в расчете на 10000 жителей, кв. м.</w:t>
            </w:r>
          </w:p>
        </w:tc>
      </w:tr>
      <w:tr w:rsidR="00E65761" w:rsidRPr="00E97C6A" w:rsidTr="00E65761">
        <w:trPr>
          <w:trHeight w:val="65"/>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Общественная </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безопасность</w:t>
            </w: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Уровень зарегистрированной преступности (количество преступлений на 10000 жителей), ед.</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Уровень детской преступности (количество преступлений совершенных несовершеннолетними на 10000 жителей), ед.</w:t>
            </w:r>
          </w:p>
        </w:tc>
        <w:tc>
          <w:tcPr>
            <w:tcW w:w="6212" w:type="dxa"/>
            <w:vAlign w:val="center"/>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Обеспеченность населенных пунктов пожарными депо,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Обеспеченность населенных пунктов участковыми инспекторами, %</w:t>
            </w:r>
          </w:p>
          <w:p w:rsidR="00E65761" w:rsidRPr="00E97C6A" w:rsidRDefault="00E65761" w:rsidP="00530383">
            <w:pPr>
              <w:rPr>
                <w:rFonts w:ascii="Times New Roman" w:eastAsia="Times New Roman" w:hAnsi="Times New Roman"/>
                <w:color w:val="000000"/>
                <w:sz w:val="18"/>
                <w:szCs w:val="18"/>
              </w:rPr>
            </w:pPr>
          </w:p>
        </w:tc>
      </w:tr>
      <w:tr w:rsidR="00E65761" w:rsidRPr="00E97C6A" w:rsidTr="00E65761">
        <w:trPr>
          <w:trHeight w:val="2242"/>
        </w:trPr>
        <w:tc>
          <w:tcPr>
            <w:tcW w:w="1807" w:type="dxa"/>
            <w:vMerge w:val="restart"/>
            <w:noWrap/>
            <w:vAlign w:val="center"/>
          </w:tcPr>
          <w:p w:rsidR="00E65761" w:rsidRPr="00E97C6A" w:rsidRDefault="00E65761" w:rsidP="00530383">
            <w:pPr>
              <w:spacing w:after="0" w:line="240" w:lineRule="auto"/>
              <w:jc w:val="center"/>
              <w:rPr>
                <w:rFonts w:ascii="Times New Roman" w:eastAsia="Times New Roman" w:hAnsi="Times New Roman"/>
                <w:bCs/>
                <w:color w:val="000000"/>
                <w:sz w:val="18"/>
                <w:szCs w:val="18"/>
              </w:rPr>
            </w:pPr>
          </w:p>
          <w:p w:rsidR="00E65761" w:rsidRPr="00E97C6A" w:rsidRDefault="00E65761" w:rsidP="00530383">
            <w:pPr>
              <w:spacing w:after="0" w:line="240" w:lineRule="auto"/>
              <w:jc w:val="center"/>
              <w:rPr>
                <w:rFonts w:ascii="Times New Roman" w:eastAsia="Times New Roman" w:hAnsi="Times New Roman"/>
                <w:bCs/>
                <w:color w:val="000000"/>
                <w:sz w:val="18"/>
                <w:szCs w:val="18"/>
              </w:rPr>
            </w:pPr>
          </w:p>
          <w:p w:rsidR="00E65761" w:rsidRPr="00ED6628" w:rsidRDefault="00E65761" w:rsidP="00530383">
            <w:pPr>
              <w:spacing w:after="0" w:line="240" w:lineRule="auto"/>
              <w:jc w:val="center"/>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Бюджетная</w:t>
            </w:r>
          </w:p>
        </w:tc>
        <w:tc>
          <w:tcPr>
            <w:tcW w:w="2084" w:type="dxa"/>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Муниципальное</w:t>
            </w:r>
          </w:p>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управление</w:t>
            </w:r>
          </w:p>
        </w:tc>
        <w:tc>
          <w:tcPr>
            <w:tcW w:w="5940" w:type="dxa"/>
          </w:tcPr>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1. Среднемесячная номинальная начисленная заработная плата работников:</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дошкольных образовательных организаций,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образовательных организаций,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учреждений культуры и искусства, руб.</w:t>
            </w:r>
          </w:p>
          <w:p w:rsidR="00E65761" w:rsidRPr="00E97C6A" w:rsidRDefault="00E65761" w:rsidP="00530383">
            <w:pPr>
              <w:spacing w:after="0" w:line="240" w:lineRule="auto"/>
              <w:rPr>
                <w:rFonts w:ascii="Times New Roman" w:hAnsi="Times New Roman"/>
                <w:sz w:val="18"/>
                <w:szCs w:val="18"/>
              </w:rPr>
            </w:pPr>
            <w:r w:rsidRPr="00E97C6A">
              <w:rPr>
                <w:rFonts w:ascii="Times New Roman" w:hAnsi="Times New Roman"/>
                <w:sz w:val="18"/>
                <w:szCs w:val="18"/>
              </w:rPr>
              <w:t>- муниципальных учреждений физической культуры и спорта, руб.</w:t>
            </w:r>
          </w:p>
          <w:p w:rsidR="00E65761" w:rsidRPr="00E97C6A" w:rsidRDefault="00E65761" w:rsidP="00530383">
            <w:pPr>
              <w:spacing w:after="0" w:line="240" w:lineRule="auto"/>
              <w:rPr>
                <w:rFonts w:ascii="Times New Roman" w:hAnsi="Times New Roman"/>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 Удовлетворенность населения деятельностью органов местного самоуправления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w:t>
            </w:r>
            <w:r w:rsidRPr="00E97C6A">
              <w:rPr>
                <w:rFonts w:ascii="Times New Roman" w:hAnsi="Times New Roman"/>
                <w:sz w:val="18"/>
                <w:szCs w:val="18"/>
              </w:rPr>
              <w:t xml:space="preserve"> Доля площади земельных участков, являющихся объектами налогообложения земельным налогом, в общей площади территории,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lang w:bidi="en-US"/>
              </w:rPr>
              <w:t xml:space="preserve">3. </w:t>
            </w:r>
            <w:r w:rsidRPr="00E97C6A">
              <w:rPr>
                <w:rFonts w:ascii="Times New Roman" w:eastAsia="Times New Roman" w:hAnsi="Times New Roman"/>
                <w:color w:val="000000"/>
                <w:sz w:val="18"/>
                <w:szCs w:val="18"/>
              </w:rPr>
              <w:t xml:space="preserve">Доля населения, проживающего в населенных пунктах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не имеющих регулярного автобусного и (или) железнодорожного сообщения с административным центром муниципального района,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hAnsi="Times New Roman"/>
                <w:sz w:val="18"/>
                <w:szCs w:val="18"/>
              </w:rPr>
              <w:t xml:space="preserve">4. </w:t>
            </w:r>
            <w:r w:rsidRPr="00E97C6A">
              <w:rPr>
                <w:rFonts w:ascii="Times New Roman" w:eastAsia="Times New Roman" w:hAnsi="Times New Roman"/>
                <w:color w:val="000000"/>
                <w:sz w:val="18"/>
                <w:szCs w:val="18"/>
              </w:rPr>
              <w:t>Количество субъектов малого предпринимательства, получивших муниципальную поддержку, ед.</w:t>
            </w:r>
          </w:p>
        </w:tc>
      </w:tr>
      <w:tr w:rsidR="00E65761" w:rsidRPr="00E97C6A" w:rsidTr="00E65761">
        <w:trPr>
          <w:trHeight w:val="271"/>
        </w:trPr>
        <w:tc>
          <w:tcPr>
            <w:tcW w:w="1807" w:type="dxa"/>
            <w:vMerge/>
            <w:vAlign w:val="center"/>
          </w:tcPr>
          <w:p w:rsidR="00E65761" w:rsidRPr="00E97C6A" w:rsidRDefault="00E65761" w:rsidP="00530383">
            <w:pPr>
              <w:spacing w:after="0" w:line="240" w:lineRule="auto"/>
              <w:rPr>
                <w:rFonts w:ascii="Times New Roman" w:eastAsia="Times New Roman" w:hAnsi="Times New Roman"/>
                <w:bCs/>
                <w:color w:val="000000"/>
                <w:sz w:val="18"/>
                <w:szCs w:val="18"/>
              </w:rPr>
            </w:pPr>
          </w:p>
        </w:tc>
        <w:tc>
          <w:tcPr>
            <w:tcW w:w="2084" w:type="dxa"/>
            <w:noWrap/>
          </w:tcPr>
          <w:p w:rsidR="00E65761" w:rsidRPr="00ED6628" w:rsidRDefault="00E65761" w:rsidP="00530383">
            <w:pPr>
              <w:spacing w:after="0" w:line="240" w:lineRule="auto"/>
              <w:rPr>
                <w:rFonts w:ascii="Times New Roman" w:eastAsia="Times New Roman" w:hAnsi="Times New Roman"/>
                <w:b/>
                <w:bCs/>
                <w:color w:val="000000"/>
                <w:sz w:val="18"/>
                <w:szCs w:val="18"/>
              </w:rPr>
            </w:pPr>
            <w:r w:rsidRPr="00ED6628">
              <w:rPr>
                <w:rFonts w:ascii="Times New Roman" w:eastAsia="Times New Roman" w:hAnsi="Times New Roman"/>
                <w:b/>
                <w:bCs/>
                <w:color w:val="000000"/>
                <w:sz w:val="18"/>
                <w:szCs w:val="18"/>
              </w:rPr>
              <w:t xml:space="preserve"> Бюджетные отношения</w:t>
            </w:r>
          </w:p>
        </w:tc>
        <w:tc>
          <w:tcPr>
            <w:tcW w:w="5940"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1.Объем консолидированного бюджета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rPr>
              <w:t xml:space="preserve"> муниципального района, млн. руб.</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2. Собственные доходы консолидированного бюджета </w:t>
            </w:r>
            <w:r w:rsidR="00E97C6A">
              <w:rPr>
                <w:rFonts w:ascii="Times New Roman" w:eastAsia="Times New Roman" w:hAnsi="Times New Roman"/>
                <w:bCs/>
                <w:color w:val="000000"/>
                <w:sz w:val="18"/>
                <w:szCs w:val="18"/>
              </w:rPr>
              <w:t>Бардымского</w:t>
            </w:r>
            <w:r w:rsidRPr="00E97C6A">
              <w:rPr>
                <w:rFonts w:ascii="Times New Roman" w:eastAsia="Times New Roman" w:hAnsi="Times New Roman"/>
                <w:bCs/>
                <w:color w:val="000000"/>
                <w:sz w:val="18"/>
                <w:szCs w:val="18"/>
              </w:rPr>
              <w:t xml:space="preserve"> </w:t>
            </w:r>
            <w:r w:rsidRPr="00E97C6A">
              <w:rPr>
                <w:rFonts w:ascii="Times New Roman" w:eastAsia="Times New Roman" w:hAnsi="Times New Roman"/>
                <w:color w:val="000000"/>
                <w:sz w:val="18"/>
                <w:szCs w:val="18"/>
              </w:rPr>
              <w:t xml:space="preserve"> муниципального района, млн. руб.</w:t>
            </w:r>
          </w:p>
          <w:p w:rsidR="00E65761" w:rsidRPr="00E97C6A" w:rsidRDefault="00E65761" w:rsidP="00530383">
            <w:pPr>
              <w:spacing w:after="0" w:line="240" w:lineRule="auto"/>
              <w:rPr>
                <w:rFonts w:ascii="Times New Roman" w:eastAsia="Times New Roman" w:hAnsi="Times New Roman"/>
                <w:color w:val="000000"/>
                <w:sz w:val="18"/>
                <w:szCs w:val="18"/>
              </w:rPr>
            </w:pPr>
          </w:p>
        </w:tc>
        <w:tc>
          <w:tcPr>
            <w:tcW w:w="6212" w:type="dxa"/>
          </w:tcPr>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1. Доля  собственных  налоговых  доходов  бюджета,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2. Доля  собственных  неналоговых  доходов бюджета,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 xml:space="preserve">3. Доля безвозмездных поступлений в бюджет </w:t>
            </w:r>
            <w:r w:rsidR="00E97C6A">
              <w:rPr>
                <w:rFonts w:ascii="Times New Roman" w:eastAsia="Times New Roman" w:hAnsi="Times New Roman"/>
                <w:color w:val="000000"/>
                <w:sz w:val="18"/>
                <w:szCs w:val="18"/>
                <w:lang w:bidi="en-US"/>
              </w:rPr>
              <w:t>Бардымского</w:t>
            </w:r>
            <w:r w:rsidRPr="00E97C6A">
              <w:rPr>
                <w:rFonts w:ascii="Times New Roman" w:eastAsia="Times New Roman" w:hAnsi="Times New Roman"/>
                <w:color w:val="000000"/>
                <w:sz w:val="18"/>
                <w:szCs w:val="18"/>
              </w:rPr>
              <w:t xml:space="preserve"> муниципального района из бюджетов других уровней, %</w:t>
            </w:r>
          </w:p>
          <w:p w:rsidR="00E65761" w:rsidRPr="00E97C6A" w:rsidRDefault="00E65761" w:rsidP="00530383">
            <w:pPr>
              <w:spacing w:after="0" w:line="240" w:lineRule="auto"/>
              <w:rPr>
                <w:rFonts w:ascii="Times New Roman" w:eastAsia="Times New Roman" w:hAnsi="Times New Roman"/>
                <w:color w:val="000000"/>
                <w:sz w:val="18"/>
                <w:szCs w:val="18"/>
              </w:rPr>
            </w:pPr>
            <w:r w:rsidRPr="00E97C6A">
              <w:rPr>
                <w:rFonts w:ascii="Times New Roman" w:eastAsia="Times New Roman" w:hAnsi="Times New Roman"/>
                <w:color w:val="000000"/>
                <w:sz w:val="18"/>
                <w:szCs w:val="18"/>
              </w:rPr>
              <w:t>4. Доля расходов бюджета муниципального образования на содержание работников органов местного самоуправления в  общем объеме расходов консолидированного бюджета, %.</w:t>
            </w:r>
          </w:p>
        </w:tc>
      </w:tr>
    </w:tbl>
    <w:p w:rsidR="005D24C1" w:rsidRDefault="005D24C1" w:rsidP="005D24C1">
      <w:pPr>
        <w:spacing w:after="0"/>
        <w:ind w:firstLine="709"/>
        <w:rPr>
          <w:rFonts w:eastAsia="Times New Roman" w:cs="Times New Roman"/>
          <w:szCs w:val="24"/>
        </w:rPr>
      </w:pPr>
    </w:p>
    <w:p w:rsidR="005D24C1" w:rsidRDefault="005D24C1" w:rsidP="005D24C1">
      <w:pPr>
        <w:spacing w:after="0"/>
        <w:ind w:firstLine="709"/>
        <w:rPr>
          <w:rFonts w:eastAsia="Times New Roman" w:cs="Times New Roman"/>
          <w:szCs w:val="24"/>
        </w:rPr>
      </w:pPr>
    </w:p>
    <w:p w:rsidR="00424AF3" w:rsidRDefault="00424AF3" w:rsidP="00F805FA">
      <w:pPr>
        <w:spacing w:after="0"/>
        <w:ind w:firstLine="709"/>
        <w:jc w:val="right"/>
        <w:rPr>
          <w:rFonts w:ascii="Times New Roman" w:hAnsi="Times New Roman" w:cs="Times New Roman"/>
          <w:sz w:val="28"/>
          <w:szCs w:val="28"/>
        </w:rPr>
        <w:sectPr w:rsidR="00424AF3" w:rsidSect="005D24C1">
          <w:footerReference w:type="default" r:id="rId135"/>
          <w:pgSz w:w="16838" w:h="11906" w:orient="landscape"/>
          <w:pgMar w:top="1418" w:right="851" w:bottom="567" w:left="851" w:header="709" w:footer="709" w:gutter="0"/>
          <w:cols w:space="708"/>
          <w:docGrid w:linePitch="360"/>
        </w:sectPr>
      </w:pPr>
    </w:p>
    <w:p w:rsidR="00153E07" w:rsidRPr="00ED6628" w:rsidRDefault="00153E07" w:rsidP="00F805FA">
      <w:pPr>
        <w:spacing w:after="0"/>
        <w:ind w:firstLine="709"/>
        <w:jc w:val="right"/>
        <w:rPr>
          <w:rFonts w:ascii="Times New Roman" w:hAnsi="Times New Roman" w:cs="Times New Roman"/>
          <w:b/>
          <w:sz w:val="28"/>
          <w:szCs w:val="28"/>
        </w:rPr>
      </w:pPr>
      <w:r w:rsidRPr="00ED6628">
        <w:rPr>
          <w:rFonts w:ascii="Times New Roman" w:hAnsi="Times New Roman" w:cs="Times New Roman"/>
          <w:b/>
          <w:sz w:val="28"/>
          <w:szCs w:val="28"/>
        </w:rPr>
        <w:lastRenderedPageBreak/>
        <w:t>Приложение</w:t>
      </w:r>
      <w:r w:rsidR="00424AF3" w:rsidRPr="00ED6628">
        <w:rPr>
          <w:rFonts w:ascii="Times New Roman" w:hAnsi="Times New Roman" w:cs="Times New Roman"/>
          <w:b/>
          <w:sz w:val="28"/>
          <w:szCs w:val="28"/>
        </w:rPr>
        <w:t xml:space="preserve"> 5</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Инновационный прогноз социально-экономического развития Бардымского муниципального района Пермского края на 2018-2030 годы</w:t>
      </w:r>
    </w:p>
    <w:tbl>
      <w:tblPr>
        <w:tblW w:w="5000" w:type="pct"/>
        <w:tblLayout w:type="fixed"/>
        <w:tblLook w:val="04A0"/>
      </w:tblPr>
      <w:tblGrid>
        <w:gridCol w:w="1663"/>
        <w:gridCol w:w="2878"/>
        <w:gridCol w:w="931"/>
        <w:gridCol w:w="845"/>
        <w:gridCol w:w="764"/>
        <w:gridCol w:w="764"/>
        <w:gridCol w:w="764"/>
        <w:gridCol w:w="764"/>
        <w:gridCol w:w="764"/>
      </w:tblGrid>
      <w:tr w:rsidR="00810A0F" w:rsidRPr="00BF5CCA" w:rsidTr="00810A0F">
        <w:trPr>
          <w:trHeight w:val="600"/>
        </w:trPr>
        <w:tc>
          <w:tcPr>
            <w:tcW w:w="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41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459" w:type="pct"/>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7" w:type="pct"/>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884" w:type="pct"/>
            <w:gridSpan w:val="5"/>
            <w:tcBorders>
              <w:top w:val="single" w:sz="4" w:space="0" w:color="auto"/>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BF5CCA" w:rsidTr="00810A0F">
        <w:trPr>
          <w:trHeight w:val="300"/>
        </w:trPr>
        <w:tc>
          <w:tcPr>
            <w:tcW w:w="820"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419"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45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37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BF5CCA" w:rsidTr="00810A0F">
        <w:trPr>
          <w:trHeight w:val="30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чел.</w:t>
            </w:r>
          </w:p>
        </w:tc>
        <w:tc>
          <w:tcPr>
            <w:tcW w:w="45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25114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25010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24946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26524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33221</w:t>
            </w:r>
          </w:p>
        </w:tc>
      </w:tr>
      <w:tr w:rsidR="00810A0F" w:rsidRPr="00BF5CCA" w:rsidTr="00810A0F">
        <w:trPr>
          <w:trHeight w:val="600"/>
        </w:trPr>
        <w:tc>
          <w:tcPr>
            <w:tcW w:w="820"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532,16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521,71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515,22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556,34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603,49</w:t>
            </w:r>
          </w:p>
        </w:tc>
      </w:tr>
      <w:tr w:rsidR="00810A0F" w:rsidRPr="00BF5CCA" w:rsidTr="00810A0F">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141,21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147,06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150,69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172</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89,78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85,48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82,81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99,73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119,12</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86,6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73,45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65,27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117,06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176,42</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9,71</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180,72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234,2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104,37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1,21</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79,86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50,81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121,33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202,18</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37,75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79,48</w:t>
            </w:r>
          </w:p>
        </w:tc>
      </w:tr>
      <w:tr w:rsidR="00810A0F" w:rsidRPr="00BF5CCA" w:rsidTr="00810A0F">
        <w:trPr>
          <w:trHeight w:val="6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109,84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111,28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112,17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BF5CCA" w:rsidTr="00810A0F">
        <w:trPr>
          <w:trHeight w:val="9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 лаг - 1 месяц)</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1,87</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52,69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53,95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55,41</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302,19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303,37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304,11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321</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352</w:t>
            </w:r>
          </w:p>
        </w:tc>
      </w:tr>
      <w:tr w:rsidR="00810A0F" w:rsidRPr="00BF5CCA" w:rsidTr="00810A0F">
        <w:trPr>
          <w:trHeight w:val="6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4,77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5,06</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4,09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2,76</w:t>
            </w:r>
          </w:p>
        </w:tc>
      </w:tr>
      <w:tr w:rsidR="00810A0F" w:rsidRPr="00BF5CCA" w:rsidTr="00810A0F">
        <w:trPr>
          <w:trHeight w:val="900"/>
        </w:trPr>
        <w:tc>
          <w:tcPr>
            <w:tcW w:w="820" w:type="pct"/>
            <w:vMerge w:val="restar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30,22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29,89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34,37</w:t>
            </w:r>
          </w:p>
        </w:tc>
      </w:tr>
      <w:tr w:rsidR="00810A0F" w:rsidRPr="00BF5CCA" w:rsidTr="00810A0F">
        <w:trPr>
          <w:trHeight w:val="18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12,32</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12,73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12,99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19,47</w:t>
            </w:r>
          </w:p>
        </w:tc>
      </w:tr>
      <w:tr w:rsidR="00810A0F" w:rsidRPr="00BF5CCA" w:rsidTr="00810A0F">
        <w:trPr>
          <w:trHeight w:val="12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113,3</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90,39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102,7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108,19</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142,9</w:t>
            </w:r>
          </w:p>
        </w:tc>
      </w:tr>
      <w:tr w:rsidR="00810A0F" w:rsidRPr="00BF5CCA" w:rsidTr="00810A0F">
        <w:trPr>
          <w:trHeight w:val="1500"/>
        </w:trPr>
        <w:tc>
          <w:tcPr>
            <w:tcW w:w="820"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41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45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71,33</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71,85</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72,17</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70,14</w:t>
            </w:r>
          </w:p>
        </w:tc>
        <w:tc>
          <w:tcPr>
            <w:tcW w:w="37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77,81</w:t>
            </w:r>
          </w:p>
        </w:tc>
      </w:tr>
    </w:tbl>
    <w:p w:rsidR="00810A0F" w:rsidRDefault="00810A0F" w:rsidP="00810A0F">
      <w:pPr>
        <w:spacing w:after="0"/>
        <w:ind w:firstLine="709"/>
        <w:jc w:val="right"/>
        <w:rPr>
          <w:rFonts w:ascii="Times New Roman" w:hAnsi="Times New Roman" w:cs="Times New Roman"/>
          <w:sz w:val="28"/>
          <w:szCs w:val="28"/>
        </w:rPr>
      </w:pPr>
    </w:p>
    <w:p w:rsidR="00810A0F" w:rsidRPr="00153E07" w:rsidRDefault="00810A0F" w:rsidP="00810A0F">
      <w:pPr>
        <w:spacing w:after="160" w:line="259" w:lineRule="auto"/>
        <w:jc w:val="both"/>
        <w:rPr>
          <w:rFonts w:ascii="Times New Roman" w:hAnsi="Times New Roman" w:cs="Times New Roman"/>
          <w:sz w:val="28"/>
          <w:szCs w:val="28"/>
        </w:rPr>
      </w:pPr>
      <w:r w:rsidRPr="00153E07">
        <w:rPr>
          <w:rFonts w:ascii="Times New Roman" w:hAnsi="Times New Roman" w:cs="Times New Roman"/>
          <w:sz w:val="28"/>
          <w:szCs w:val="28"/>
        </w:rPr>
        <w:br w:type="page"/>
      </w:r>
    </w:p>
    <w:p w:rsidR="00810A0F" w:rsidRPr="00ED6628" w:rsidRDefault="00810A0F" w:rsidP="00810A0F">
      <w:pPr>
        <w:spacing w:after="0"/>
        <w:ind w:firstLine="709"/>
        <w:jc w:val="right"/>
        <w:rPr>
          <w:rFonts w:ascii="Times New Roman" w:hAnsi="Times New Roman" w:cs="Times New Roman"/>
          <w:b/>
          <w:sz w:val="28"/>
          <w:szCs w:val="28"/>
        </w:rPr>
      </w:pPr>
      <w:r w:rsidRPr="00ED6628">
        <w:rPr>
          <w:rFonts w:ascii="Times New Roman" w:hAnsi="Times New Roman" w:cs="Times New Roman"/>
          <w:b/>
          <w:sz w:val="28"/>
          <w:szCs w:val="28"/>
        </w:rPr>
        <w:lastRenderedPageBreak/>
        <w:t>Приложение 6</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Оптимальный прогноз социально-экономического развития Бардымского муниципального района Пермского края на 2018-2030 годы</w:t>
      </w:r>
    </w:p>
    <w:tbl>
      <w:tblPr>
        <w:tblW w:w="5000" w:type="pct"/>
        <w:tblLayout w:type="fixed"/>
        <w:tblLook w:val="04A0"/>
      </w:tblPr>
      <w:tblGrid>
        <w:gridCol w:w="1807"/>
        <w:gridCol w:w="2421"/>
        <w:gridCol w:w="1129"/>
        <w:gridCol w:w="847"/>
        <w:gridCol w:w="787"/>
        <w:gridCol w:w="787"/>
        <w:gridCol w:w="787"/>
        <w:gridCol w:w="787"/>
        <w:gridCol w:w="785"/>
      </w:tblGrid>
      <w:tr w:rsidR="00810A0F" w:rsidRPr="00E97C6A" w:rsidTr="00810A0F">
        <w:trPr>
          <w:trHeight w:val="300"/>
        </w:trPr>
        <w:tc>
          <w:tcPr>
            <w:tcW w:w="8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557" w:type="pct"/>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8" w:type="pct"/>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939" w:type="pct"/>
            <w:gridSpan w:val="5"/>
            <w:tcBorders>
              <w:top w:val="single" w:sz="4" w:space="0" w:color="auto"/>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E97C6A" w:rsidTr="00810A0F">
        <w:trPr>
          <w:trHeight w:val="300"/>
        </w:trPr>
        <w:tc>
          <w:tcPr>
            <w:tcW w:w="892"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194"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55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38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E97C6A" w:rsidTr="00810A0F">
        <w:trPr>
          <w:trHeight w:val="600"/>
        </w:trPr>
        <w:tc>
          <w:tcPr>
            <w:tcW w:w="892"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тыс.чел.</w:t>
            </w:r>
          </w:p>
        </w:tc>
        <w:tc>
          <w:tcPr>
            <w:tcW w:w="557"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25232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25133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24800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24568</w:t>
            </w:r>
          </w:p>
        </w:tc>
      </w:tr>
      <w:tr w:rsidR="00810A0F" w:rsidRPr="00E97C6A" w:rsidTr="00810A0F">
        <w:trPr>
          <w:trHeight w:val="600"/>
        </w:trPr>
        <w:tc>
          <w:tcPr>
            <w:tcW w:w="892" w:type="pc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544,14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534,15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519,55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500,42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676,62</w:t>
            </w:r>
          </w:p>
        </w:tc>
      </w:tr>
      <w:tr w:rsidR="00810A0F" w:rsidRPr="00E97C6A" w:rsidTr="00810A0F">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130,97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135,87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143,03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152,42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163,97</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94,71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84,59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67,03</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101,69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89,11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76,63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79,36</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3,44</w:t>
            </w:r>
          </w:p>
        </w:tc>
      </w:tr>
      <w:tr w:rsidR="00810A0F" w:rsidRPr="00E97C6A" w:rsidTr="00810A0F">
        <w:trPr>
          <w:trHeight w:val="1485"/>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8,59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8,05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7,67</w:t>
            </w:r>
          </w:p>
        </w:tc>
      </w:tr>
      <w:tr w:rsidR="00810A0F" w:rsidRPr="00E97C6A" w:rsidTr="00810A0F">
        <w:trPr>
          <w:trHeight w:val="434"/>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142,89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174,44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220,54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280,93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355,28</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0,72</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83,27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69,23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72,83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105,87</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39,74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75,16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61,05</w:t>
            </w:r>
          </w:p>
        </w:tc>
      </w:tr>
      <w:tr w:rsidR="00810A0F" w:rsidRPr="00E97C6A" w:rsidTr="00810A0F">
        <w:trPr>
          <w:trHeight w:val="6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r>
      <w:tr w:rsidR="00810A0F" w:rsidRPr="00E97C6A" w:rsidTr="00810A0F">
        <w:trPr>
          <w:trHeight w:val="12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108,18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109,56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114,21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117,46</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1,92</w:t>
            </w:r>
          </w:p>
        </w:tc>
      </w:tr>
      <w:tr w:rsidR="00810A0F" w:rsidRPr="00E97C6A" w:rsidTr="00810A0F">
        <w:trPr>
          <w:trHeight w:val="9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53,27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52,23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51,5</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19,68</w:t>
            </w:r>
          </w:p>
        </w:tc>
      </w:tr>
      <w:tr w:rsidR="00810A0F" w:rsidRPr="00E97C6A" w:rsidTr="00810A0F">
        <w:trPr>
          <w:trHeight w:val="15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303,62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308,47</w:t>
            </w:r>
          </w:p>
        </w:tc>
      </w:tr>
      <w:tr w:rsidR="00810A0F" w:rsidRPr="00E97C6A" w:rsidTr="00810A0F">
        <w:trPr>
          <w:trHeight w:val="6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4,71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6,32</w:t>
            </w:r>
          </w:p>
        </w:tc>
      </w:tr>
      <w:tr w:rsidR="00810A0F" w:rsidRPr="00E97C6A" w:rsidTr="00810A0F">
        <w:trPr>
          <w:trHeight w:val="900"/>
        </w:trPr>
        <w:tc>
          <w:tcPr>
            <w:tcW w:w="89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30,85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29,15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27,95</w:t>
            </w:r>
          </w:p>
        </w:tc>
      </w:tr>
      <w:tr w:rsidR="00810A0F" w:rsidRPr="00E97C6A" w:rsidTr="00810A0F">
        <w:trPr>
          <w:trHeight w:val="21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12,82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14,52</w:t>
            </w:r>
          </w:p>
        </w:tc>
      </w:tr>
      <w:tr w:rsidR="00810A0F" w:rsidRPr="00E97C6A" w:rsidTr="00810A0F">
        <w:trPr>
          <w:trHeight w:val="1500"/>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113,3</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99,21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91,85</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81,1</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107,2</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100,05</w:t>
            </w:r>
          </w:p>
        </w:tc>
      </w:tr>
      <w:tr w:rsidR="00810A0F" w:rsidRPr="00E97C6A" w:rsidTr="00810A0F">
        <w:trPr>
          <w:trHeight w:val="292"/>
        </w:trPr>
        <w:tc>
          <w:tcPr>
            <w:tcW w:w="892" w:type="pct"/>
            <w:vMerge/>
            <w:tcBorders>
              <w:top w:val="nil"/>
              <w:left w:val="single" w:sz="4" w:space="0" w:color="auto"/>
              <w:bottom w:val="single" w:sz="4" w:space="0" w:color="000000"/>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194"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557"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70,74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71,24</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71,96</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72,9</w:t>
            </w:r>
          </w:p>
        </w:tc>
        <w:tc>
          <w:tcPr>
            <w:tcW w:w="388"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74,06</w:t>
            </w:r>
          </w:p>
        </w:tc>
      </w:tr>
    </w:tbl>
    <w:p w:rsidR="00810A0F" w:rsidRDefault="00810A0F" w:rsidP="00810A0F">
      <w:pPr>
        <w:spacing w:after="0"/>
        <w:jc w:val="center"/>
        <w:rPr>
          <w:rFonts w:ascii="Times New Roman" w:hAnsi="Times New Roman" w:cs="Times New Roman"/>
          <w:b/>
          <w:sz w:val="28"/>
          <w:szCs w:val="28"/>
        </w:rPr>
      </w:pPr>
    </w:p>
    <w:p w:rsidR="00810A0F" w:rsidRPr="00ED6628" w:rsidRDefault="00810A0F" w:rsidP="00810A0F">
      <w:pPr>
        <w:spacing w:after="160" w:line="259" w:lineRule="auto"/>
        <w:jc w:val="right"/>
        <w:rPr>
          <w:rFonts w:ascii="Times New Roman" w:hAnsi="Times New Roman" w:cs="Times New Roman"/>
          <w:b/>
          <w:sz w:val="28"/>
          <w:szCs w:val="28"/>
        </w:rPr>
      </w:pPr>
      <w:r w:rsidRPr="00153E07">
        <w:rPr>
          <w:rFonts w:ascii="Times New Roman" w:hAnsi="Times New Roman" w:cs="Times New Roman"/>
          <w:sz w:val="28"/>
          <w:szCs w:val="28"/>
        </w:rPr>
        <w:br w:type="page"/>
      </w:r>
      <w:r w:rsidRPr="00ED6628">
        <w:rPr>
          <w:rFonts w:ascii="Times New Roman" w:hAnsi="Times New Roman" w:cs="Times New Roman"/>
          <w:b/>
          <w:sz w:val="28"/>
          <w:szCs w:val="28"/>
        </w:rPr>
        <w:lastRenderedPageBreak/>
        <w:t>Приложение 7</w:t>
      </w:r>
    </w:p>
    <w:p w:rsidR="00810A0F" w:rsidRPr="00ED6628" w:rsidRDefault="00810A0F" w:rsidP="00810A0F">
      <w:pPr>
        <w:spacing w:after="0"/>
        <w:jc w:val="center"/>
        <w:rPr>
          <w:rFonts w:ascii="Times New Roman" w:hAnsi="Times New Roman" w:cs="Times New Roman"/>
          <w:b/>
          <w:sz w:val="28"/>
          <w:szCs w:val="28"/>
        </w:rPr>
      </w:pPr>
      <w:r w:rsidRPr="00ED6628">
        <w:rPr>
          <w:rFonts w:ascii="Times New Roman" w:hAnsi="Times New Roman" w:cs="Times New Roman"/>
          <w:b/>
          <w:sz w:val="28"/>
          <w:szCs w:val="28"/>
        </w:rPr>
        <w:t>Пессимистический прогноз социально-экономического развития Бардымского муниципального района Пермского края на 2018-2030 годы</w:t>
      </w:r>
    </w:p>
    <w:tbl>
      <w:tblPr>
        <w:tblW w:w="4998" w:type="pct"/>
        <w:tblLayout w:type="fixed"/>
        <w:tblLook w:val="04A0"/>
      </w:tblPr>
      <w:tblGrid>
        <w:gridCol w:w="1670"/>
        <w:gridCol w:w="2691"/>
        <w:gridCol w:w="991"/>
        <w:gridCol w:w="849"/>
        <w:gridCol w:w="815"/>
        <w:gridCol w:w="742"/>
        <w:gridCol w:w="711"/>
        <w:gridCol w:w="849"/>
        <w:gridCol w:w="815"/>
      </w:tblGrid>
      <w:tr w:rsidR="00810A0F" w:rsidRPr="00ED6628" w:rsidTr="00810A0F">
        <w:trPr>
          <w:trHeight w:val="600"/>
        </w:trPr>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Сфера</w:t>
            </w:r>
          </w:p>
        </w:tc>
        <w:tc>
          <w:tcPr>
            <w:tcW w:w="13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Показатели</w:t>
            </w:r>
          </w:p>
        </w:tc>
        <w:tc>
          <w:tcPr>
            <w:tcW w:w="489" w:type="pct"/>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Базовый период</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Оценка</w:t>
            </w:r>
          </w:p>
        </w:tc>
        <w:tc>
          <w:tcPr>
            <w:tcW w:w="1940" w:type="pct"/>
            <w:gridSpan w:val="5"/>
            <w:tcBorders>
              <w:top w:val="single" w:sz="4" w:space="0" w:color="auto"/>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Прогноз</w:t>
            </w:r>
          </w:p>
        </w:tc>
      </w:tr>
      <w:tr w:rsidR="00810A0F" w:rsidRPr="00ED6628" w:rsidTr="00810A0F">
        <w:trPr>
          <w:trHeight w:val="300"/>
        </w:trPr>
        <w:tc>
          <w:tcPr>
            <w:tcW w:w="824"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vMerge/>
            <w:tcBorders>
              <w:top w:val="single" w:sz="4" w:space="0" w:color="auto"/>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48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2016</w:t>
            </w:r>
          </w:p>
        </w:tc>
        <w:tc>
          <w:tcPr>
            <w:tcW w:w="41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2017</w:t>
            </w:r>
          </w:p>
        </w:tc>
        <w:tc>
          <w:tcPr>
            <w:tcW w:w="402"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2018</w:t>
            </w:r>
          </w:p>
        </w:tc>
        <w:tc>
          <w:tcPr>
            <w:tcW w:w="366"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2019</w:t>
            </w:r>
          </w:p>
        </w:tc>
        <w:tc>
          <w:tcPr>
            <w:tcW w:w="351"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2020</w:t>
            </w:r>
          </w:p>
        </w:tc>
        <w:tc>
          <w:tcPr>
            <w:tcW w:w="419"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2025</w:t>
            </w:r>
          </w:p>
        </w:tc>
        <w:tc>
          <w:tcPr>
            <w:tcW w:w="403" w:type="pct"/>
            <w:tcBorders>
              <w:top w:val="nil"/>
              <w:left w:val="nil"/>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2030</w:t>
            </w:r>
          </w:p>
        </w:tc>
      </w:tr>
      <w:tr w:rsidR="00810A0F" w:rsidRPr="00ED6628" w:rsidTr="00810A0F">
        <w:trPr>
          <w:trHeight w:val="300"/>
        </w:trPr>
        <w:tc>
          <w:tcPr>
            <w:tcW w:w="824" w:type="pct"/>
            <w:tcBorders>
              <w:top w:val="nil"/>
              <w:left w:val="single" w:sz="4" w:space="0" w:color="auto"/>
              <w:bottom w:val="single" w:sz="4" w:space="0" w:color="auto"/>
              <w:right w:val="single" w:sz="4" w:space="0" w:color="auto"/>
            </w:tcBorders>
            <w:shd w:val="clear" w:color="auto" w:fill="auto"/>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Демография</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Численность постоянного населения, чел.</w:t>
            </w:r>
          </w:p>
        </w:tc>
        <w:tc>
          <w:tcPr>
            <w:tcW w:w="489"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25291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25202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25186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24995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24716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24349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23901</w:t>
            </w:r>
          </w:p>
        </w:tc>
      </w:tr>
      <w:tr w:rsidR="00810A0F" w:rsidRPr="00ED6628" w:rsidTr="00810A0F">
        <w:trPr>
          <w:trHeight w:val="600"/>
        </w:trPr>
        <w:tc>
          <w:tcPr>
            <w:tcW w:w="824" w:type="pc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Инфраструктура</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Ввод жилья на душу населения (за период с начала года, кв.м. на 1000 чел. населения)</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564,1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542,88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539,46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520,18</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491,85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454,77</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409,35</w:t>
            </w:r>
          </w:p>
        </w:tc>
      </w:tr>
      <w:tr w:rsidR="00810A0F" w:rsidRPr="00ED6628" w:rsidTr="00810A0F">
        <w:trPr>
          <w:trHeight w:val="6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Экономика</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промышленного производства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101,26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135,22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137,12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147,91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163,76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184,51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209,92</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числа субъектов малого предпринимательства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103,6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94,19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92,78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84,85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77,95</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87,82</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производства продукции сельского хозяйства (за период с начала года в % к соответствующему периоду прошлого года, квартальный показатель)</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95,8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71,52</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65,85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69,26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72,66</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отгруженных товаров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2,76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3,79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задолженности предприятий по платежам в бюджет и внебюджетные фонды в общей сумме кредиторской задолженности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8,73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8,68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8,37</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7,91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6,58</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задолженности по кредитам, предоставленным юридическим лицам и индивидуальным предпринимателям (объем на начало отчетного месяца в % к началу соответствующего месяца предыдущего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146,89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157,67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218,53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307,97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425,02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568,41</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оборота розничной торговли (за период с начала года в % к соответствующему периоду прошлого года, в сопоставимых ценах)</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100,01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w:t>
            </w:r>
          </w:p>
        </w:tc>
      </w:tr>
      <w:tr w:rsidR="00810A0F" w:rsidRPr="00ED6628" w:rsidTr="00810A0F">
        <w:trPr>
          <w:trHeight w:val="434"/>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Темп роста объема платных услуг населению (за период с начала года в % к соответствующему периоду прошлого года, в сопоставимых ценах)</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инвестиций в основной капитал на душу населения (за период с начала года, тыс. руб. на человека, квартальный показатель)</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0,71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0,67</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инвестиций в основной капитал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64,8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92,38</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59,33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60,74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62,72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78,02</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Объем работ, выполненных по ВЭД «Строительство»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физического объема работ, выполненных по ВЭД «Строительство» (за период с начала года в % к соответствующему периоду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0</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прибыльных предприятий (за период с начала года, %,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66,7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25,83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22,81</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5,75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19,33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42,26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56,32</w:t>
            </w:r>
          </w:p>
        </w:tc>
      </w:tr>
      <w:tr w:rsidR="00810A0F" w:rsidRPr="00ED6628" w:rsidTr="00810A0F">
        <w:trPr>
          <w:trHeight w:val="3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Социальная</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Индекс потребительских цен (в % к декабрю 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1,0044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1,06</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Динамика начисленной заработной платы работников предприятий и организаций (за период с начала года в % к соответствующему периоду прошлого года,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108,36</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108,83</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111,49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115,39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120,51</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126,77</w:t>
            </w:r>
          </w:p>
        </w:tc>
      </w:tr>
      <w:tr w:rsidR="00810A0F" w:rsidRPr="00ED6628" w:rsidTr="00810A0F">
        <w:trPr>
          <w:trHeight w:val="9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среднемесячной зарплаты к стоимости фиксированного набора товаров и услуг (в разах, лаг - 1 месяц)</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1,89</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1,93</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1,95</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трудоспособного населения в общей численности населения (на отчетный период,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53,54</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53,43</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52,84</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51,97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50,82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49,42</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Число безработных на 1 вакантное место (на отчетный период, человек)</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6,19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6,89</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10,83</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16,62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24,19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33,47</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Покупательная способность заработной платы по отношению к прожиточному минимуму (объем на начало отчетного месяца в % к началу соответствующего месяца предыдущего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319,6</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300,97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301,36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303,55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306,77</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310,99</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316,15</w:t>
            </w:r>
          </w:p>
        </w:tc>
      </w:tr>
      <w:tr w:rsidR="00810A0F" w:rsidRPr="00ED6628" w:rsidTr="00810A0F">
        <w:trPr>
          <w:trHeight w:val="6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b/>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Уровень зарегистрированной безработицы (на отчетный период,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4,47</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4,56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5,1</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5,9</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6,94</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8,21</w:t>
            </w:r>
          </w:p>
        </w:tc>
      </w:tr>
      <w:tr w:rsidR="00810A0F" w:rsidRPr="00ED6628" w:rsidTr="00810A0F">
        <w:trPr>
          <w:trHeight w:val="900"/>
        </w:trPr>
        <w:tc>
          <w:tcPr>
            <w:tcW w:w="8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10A0F" w:rsidRPr="00ED6628" w:rsidRDefault="00810A0F" w:rsidP="00810A0F">
            <w:pPr>
              <w:spacing w:after="0" w:line="240" w:lineRule="auto"/>
              <w:jc w:val="center"/>
              <w:rPr>
                <w:rFonts w:ascii="Times New Roman" w:eastAsia="Times New Roman" w:hAnsi="Times New Roman" w:cs="Times New Roman"/>
                <w:b/>
                <w:color w:val="000000"/>
                <w:sz w:val="18"/>
                <w:szCs w:val="18"/>
              </w:rPr>
            </w:pPr>
            <w:r w:rsidRPr="00ED6628">
              <w:rPr>
                <w:rFonts w:ascii="Times New Roman" w:eastAsia="Times New Roman" w:hAnsi="Times New Roman" w:cs="Times New Roman"/>
                <w:b/>
                <w:color w:val="000000"/>
                <w:sz w:val="18"/>
                <w:szCs w:val="18"/>
              </w:rPr>
              <w:t>Муниципальное управление</w:t>
            </w: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Доходы консолидированного бюджета Бардымского МР на душу населения (за период с начала года, тыс.руб. на человека)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30,4</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31,3</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31,12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30,15</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28,71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26,83</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24,53</w:t>
            </w:r>
          </w:p>
        </w:tc>
      </w:tr>
      <w:tr w:rsidR="00810A0F" w:rsidRPr="00ED6628" w:rsidTr="00810A0F">
        <w:trPr>
          <w:trHeight w:val="15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Отношение поступлений по налогу на доходы физических лиц, единому налогу на вмененный доход, единому сельскохозяйственному налогу, земельному и транспортному налогам к расходам консолидированного бюджета Бардымского МР (за период с начала года,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14,8</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11,89</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12,02</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12,79</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13,92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15,4</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17,21</w:t>
            </w:r>
          </w:p>
        </w:tc>
      </w:tr>
      <w:tr w:rsidR="00810A0F" w:rsidRPr="00ED6628" w:rsidTr="00810A0F">
        <w:trPr>
          <w:trHeight w:val="15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 xml:space="preserve">Темп роста налоговых и неналоговых доходов консолидированного бюджета Бардымского МР (за период с начала года в % к соответствующему периоду </w:t>
            </w:r>
            <w:r w:rsidRPr="00ED6628">
              <w:rPr>
                <w:rFonts w:ascii="Times New Roman" w:eastAsia="Times New Roman" w:hAnsi="Times New Roman" w:cs="Times New Roman"/>
                <w:color w:val="000000"/>
                <w:sz w:val="18"/>
                <w:szCs w:val="18"/>
              </w:rPr>
              <w:lastRenderedPageBreak/>
              <w:t>прошлого года)</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lastRenderedPageBreak/>
              <w:t>113,3</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98,28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95,76</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81,57</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60,71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73,42</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77,2</w:t>
            </w:r>
          </w:p>
        </w:tc>
      </w:tr>
      <w:tr w:rsidR="00810A0F" w:rsidRPr="00ED6628" w:rsidTr="00810A0F">
        <w:trPr>
          <w:trHeight w:val="1200"/>
        </w:trPr>
        <w:tc>
          <w:tcPr>
            <w:tcW w:w="824" w:type="pct"/>
            <w:vMerge/>
            <w:tcBorders>
              <w:top w:val="nil"/>
              <w:left w:val="single" w:sz="4" w:space="0" w:color="auto"/>
              <w:bottom w:val="single" w:sz="4" w:space="0" w:color="auto"/>
              <w:right w:val="single" w:sz="4" w:space="0" w:color="auto"/>
            </w:tcBorders>
            <w:vAlign w:val="center"/>
            <w:hideMark/>
          </w:tcPr>
          <w:p w:rsidR="00810A0F" w:rsidRPr="00ED6628" w:rsidRDefault="00810A0F" w:rsidP="00810A0F">
            <w:pPr>
              <w:spacing w:after="0" w:line="240" w:lineRule="auto"/>
              <w:rPr>
                <w:rFonts w:ascii="Times New Roman" w:eastAsia="Times New Roman" w:hAnsi="Times New Roman" w:cs="Times New Roman"/>
                <w:color w:val="000000"/>
                <w:sz w:val="18"/>
                <w:szCs w:val="18"/>
              </w:rPr>
            </w:pPr>
          </w:p>
        </w:tc>
        <w:tc>
          <w:tcPr>
            <w:tcW w:w="1328" w:type="pct"/>
            <w:tcBorders>
              <w:top w:val="nil"/>
              <w:left w:val="nil"/>
              <w:bottom w:val="single" w:sz="4" w:space="0" w:color="auto"/>
              <w:right w:val="single" w:sz="4" w:space="0" w:color="auto"/>
            </w:tcBorders>
            <w:shd w:val="clear" w:color="auto" w:fill="auto"/>
            <w:vAlign w:val="bottom"/>
            <w:hideMark/>
          </w:tcPr>
          <w:p w:rsidR="00810A0F" w:rsidRPr="00ED6628" w:rsidRDefault="00810A0F" w:rsidP="00810A0F">
            <w:pPr>
              <w:spacing w:after="0" w:line="240" w:lineRule="auto"/>
              <w:jc w:val="both"/>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Доля расходов на социальное развитие (образование, здравоохранение, культуру, спорт, социальную сферу в общем объеме расходов консолидированного бюджета Бардымского МР (за период с начала года, в %)</w:t>
            </w:r>
          </w:p>
        </w:tc>
        <w:tc>
          <w:tcPr>
            <w:tcW w:w="48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73,1</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70,8</w:t>
            </w:r>
          </w:p>
        </w:tc>
        <w:tc>
          <w:tcPr>
            <w:tcW w:w="402"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70,97</w:t>
            </w:r>
          </w:p>
        </w:tc>
        <w:tc>
          <w:tcPr>
            <w:tcW w:w="366"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71,92</w:t>
            </w:r>
          </w:p>
        </w:tc>
        <w:tc>
          <w:tcPr>
            <w:tcW w:w="351"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73,32</w:t>
            </w:r>
          </w:p>
        </w:tc>
        <w:tc>
          <w:tcPr>
            <w:tcW w:w="419"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75,15</w:t>
            </w:r>
          </w:p>
        </w:tc>
        <w:tc>
          <w:tcPr>
            <w:tcW w:w="403" w:type="pct"/>
            <w:tcBorders>
              <w:top w:val="nil"/>
              <w:left w:val="nil"/>
              <w:bottom w:val="single" w:sz="4" w:space="0" w:color="auto"/>
              <w:right w:val="single" w:sz="4" w:space="0" w:color="auto"/>
            </w:tcBorders>
            <w:shd w:val="clear" w:color="auto" w:fill="auto"/>
            <w:noWrap/>
            <w:vAlign w:val="bottom"/>
            <w:hideMark/>
          </w:tcPr>
          <w:p w:rsidR="00810A0F" w:rsidRPr="00ED6628" w:rsidRDefault="00810A0F" w:rsidP="00810A0F">
            <w:pPr>
              <w:spacing w:after="0" w:line="240" w:lineRule="auto"/>
              <w:jc w:val="center"/>
              <w:rPr>
                <w:rFonts w:ascii="Times New Roman" w:eastAsia="Times New Roman" w:hAnsi="Times New Roman" w:cs="Times New Roman"/>
                <w:color w:val="000000"/>
                <w:sz w:val="18"/>
                <w:szCs w:val="18"/>
              </w:rPr>
            </w:pPr>
            <w:r w:rsidRPr="00ED6628">
              <w:rPr>
                <w:rFonts w:ascii="Times New Roman" w:eastAsia="Times New Roman" w:hAnsi="Times New Roman" w:cs="Times New Roman"/>
                <w:color w:val="000000"/>
                <w:sz w:val="18"/>
                <w:szCs w:val="18"/>
              </w:rPr>
              <w:t>77,39</w:t>
            </w:r>
          </w:p>
        </w:tc>
      </w:tr>
    </w:tbl>
    <w:p w:rsidR="00BF5CCA" w:rsidRPr="00CF5485" w:rsidRDefault="00153E07" w:rsidP="00543488">
      <w:pPr>
        <w:spacing w:after="160" w:line="259" w:lineRule="auto"/>
        <w:jc w:val="center"/>
        <w:rPr>
          <w:rFonts w:ascii="Times New Roman" w:hAnsi="Times New Roman" w:cs="Times New Roman"/>
          <w:b/>
          <w:sz w:val="28"/>
          <w:szCs w:val="28"/>
        </w:rPr>
      </w:pPr>
      <w:r w:rsidRPr="00153E07">
        <w:rPr>
          <w:rFonts w:ascii="Times New Roman" w:hAnsi="Times New Roman" w:cs="Times New Roman"/>
          <w:sz w:val="28"/>
          <w:szCs w:val="28"/>
        </w:rPr>
        <w:br w:type="page"/>
      </w:r>
      <w:bookmarkEnd w:id="12"/>
      <w:r w:rsidR="00543488" w:rsidRPr="00CF5485">
        <w:rPr>
          <w:rFonts w:ascii="Times New Roman" w:hAnsi="Times New Roman" w:cs="Times New Roman"/>
          <w:b/>
          <w:sz w:val="28"/>
          <w:szCs w:val="28"/>
        </w:rPr>
        <w:lastRenderedPageBreak/>
        <w:t>Оглавление</w:t>
      </w:r>
    </w:p>
    <w:p w:rsidR="00870C51" w:rsidRPr="00BF6E5D" w:rsidRDefault="00870C51" w:rsidP="00BF6E5D">
      <w:pPr>
        <w:pStyle w:val="1"/>
        <w:spacing w:line="240" w:lineRule="auto"/>
        <w:rPr>
          <w:b w:val="0"/>
          <w:sz w:val="24"/>
          <w:szCs w:val="24"/>
        </w:rPr>
      </w:pPr>
      <w:r w:rsidRPr="00BF6E5D">
        <w:rPr>
          <w:b w:val="0"/>
          <w:sz w:val="24"/>
          <w:szCs w:val="24"/>
        </w:rPr>
        <w:t xml:space="preserve">1. Оценка социально-экономического развития Бардымского муниципального района </w:t>
      </w:r>
      <w:r w:rsidR="005A3CFC">
        <w:rPr>
          <w:b w:val="0"/>
          <w:sz w:val="24"/>
          <w:szCs w:val="24"/>
        </w:rPr>
        <w:t xml:space="preserve">               3</w:t>
      </w:r>
    </w:p>
    <w:p w:rsidR="00870C51" w:rsidRPr="00BF6E5D" w:rsidRDefault="00870C51" w:rsidP="00BF6E5D">
      <w:pPr>
        <w:pStyle w:val="1"/>
        <w:spacing w:line="240" w:lineRule="auto"/>
        <w:rPr>
          <w:b w:val="0"/>
          <w:sz w:val="24"/>
          <w:szCs w:val="24"/>
        </w:rPr>
      </w:pPr>
      <w:r w:rsidRPr="00BF6E5D">
        <w:rPr>
          <w:b w:val="0"/>
          <w:sz w:val="24"/>
          <w:szCs w:val="24"/>
        </w:rPr>
        <w:t xml:space="preserve">     1.1. Бардымский муниципальный район (общая информация) </w:t>
      </w:r>
      <w:r w:rsidR="005A3CFC">
        <w:rPr>
          <w:b w:val="0"/>
          <w:sz w:val="24"/>
          <w:szCs w:val="24"/>
        </w:rPr>
        <w:t xml:space="preserve">                                                    3</w:t>
      </w:r>
    </w:p>
    <w:p w:rsidR="00870C51" w:rsidRPr="00BF6E5D" w:rsidRDefault="00870C51" w:rsidP="00BF6E5D">
      <w:pPr>
        <w:pStyle w:val="1"/>
        <w:spacing w:line="240" w:lineRule="auto"/>
        <w:rPr>
          <w:b w:val="0"/>
          <w:sz w:val="24"/>
          <w:szCs w:val="24"/>
        </w:rPr>
      </w:pPr>
      <w:r w:rsidRPr="00BF6E5D">
        <w:rPr>
          <w:b w:val="0"/>
          <w:sz w:val="24"/>
          <w:szCs w:val="24"/>
        </w:rPr>
        <w:t xml:space="preserve">     1.1.1. Краткая информация </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3</w:t>
      </w:r>
      <w:r w:rsidR="005A3CFC">
        <w:rPr>
          <w:b w:val="0"/>
          <w:sz w:val="24"/>
          <w:szCs w:val="24"/>
        </w:rPr>
        <w:tab/>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1.1.2. Географическое расположение Бардымского муниципального района</w:t>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5</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1.1.3 Природные условия Бардымского муниципального района</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5</w:t>
      </w:r>
    </w:p>
    <w:p w:rsidR="00870C51" w:rsidRPr="00BF6E5D" w:rsidRDefault="00870C51" w:rsidP="00BF6E5D">
      <w:pPr>
        <w:pStyle w:val="1"/>
        <w:spacing w:line="240" w:lineRule="auto"/>
        <w:rPr>
          <w:b w:val="0"/>
          <w:sz w:val="24"/>
          <w:szCs w:val="24"/>
        </w:rPr>
      </w:pPr>
      <w:r w:rsidRPr="00BF6E5D">
        <w:rPr>
          <w:b w:val="0"/>
          <w:sz w:val="24"/>
          <w:szCs w:val="24"/>
        </w:rPr>
        <w:t xml:space="preserve">     1.1.4 Основные показатели социально-экономического развития Бардымского муниципального района</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5</w:t>
      </w:r>
    </w:p>
    <w:p w:rsidR="00870C51" w:rsidRPr="00BF6E5D" w:rsidRDefault="00870C51" w:rsidP="00BF6E5D">
      <w:pPr>
        <w:pStyle w:val="1"/>
        <w:spacing w:line="240" w:lineRule="auto"/>
        <w:rPr>
          <w:b w:val="0"/>
          <w:sz w:val="24"/>
          <w:szCs w:val="24"/>
        </w:rPr>
      </w:pPr>
      <w:r w:rsidRPr="00BF6E5D">
        <w:rPr>
          <w:b w:val="0"/>
          <w:sz w:val="24"/>
          <w:szCs w:val="24"/>
        </w:rPr>
        <w:t>1.2. Социально-экономическое развитие Бардымского муниципального района</w:t>
      </w:r>
      <w:r w:rsidR="005A3CFC">
        <w:rPr>
          <w:b w:val="0"/>
          <w:sz w:val="24"/>
          <w:szCs w:val="24"/>
        </w:rPr>
        <w:tab/>
      </w:r>
      <w:r w:rsidR="005A3CFC">
        <w:rPr>
          <w:b w:val="0"/>
          <w:sz w:val="24"/>
          <w:szCs w:val="24"/>
        </w:rPr>
        <w:tab/>
        <w:t xml:space="preserve">         9</w:t>
      </w:r>
    </w:p>
    <w:p w:rsidR="00870C51" w:rsidRPr="00BF6E5D" w:rsidRDefault="00870C51" w:rsidP="00BF6E5D">
      <w:pPr>
        <w:pStyle w:val="1"/>
        <w:spacing w:line="240" w:lineRule="auto"/>
        <w:rPr>
          <w:b w:val="0"/>
          <w:sz w:val="24"/>
          <w:szCs w:val="24"/>
        </w:rPr>
      </w:pPr>
      <w:r w:rsidRPr="00BF6E5D">
        <w:rPr>
          <w:b w:val="0"/>
          <w:sz w:val="24"/>
          <w:szCs w:val="24"/>
        </w:rPr>
        <w:t xml:space="preserve">     1.2.1 Демография</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9</w:t>
      </w:r>
    </w:p>
    <w:p w:rsidR="00870C51" w:rsidRPr="00BF6E5D" w:rsidRDefault="00870C51" w:rsidP="00BF6E5D">
      <w:pPr>
        <w:pStyle w:val="1"/>
        <w:spacing w:line="240" w:lineRule="auto"/>
        <w:rPr>
          <w:b w:val="0"/>
          <w:sz w:val="24"/>
          <w:szCs w:val="24"/>
        </w:rPr>
      </w:pPr>
      <w:r w:rsidRPr="00BF6E5D">
        <w:rPr>
          <w:b w:val="0"/>
          <w:sz w:val="24"/>
          <w:szCs w:val="24"/>
        </w:rPr>
        <w:t xml:space="preserve">     1.2.2 Социальная сфера</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13</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1.2.3 Здравоохранение</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15</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1.2.4 Культура. Досуг. Физкультура и туризм</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22</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1.2.5 Социальная защита населения</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23</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1.2.6 Общественная безопасность</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26</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1.2.7 Инфраструктурная сфера. Транспортная инфраструктура</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27</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w:t>
      </w:r>
      <w:r w:rsidRPr="00BF6E5D">
        <w:rPr>
          <w:b/>
          <w:sz w:val="24"/>
          <w:szCs w:val="24"/>
        </w:rPr>
        <w:t xml:space="preserve">    </w:t>
      </w:r>
      <w:r w:rsidRPr="00BF6E5D">
        <w:rPr>
          <w:rFonts w:ascii="Times New Roman" w:hAnsi="Times New Roman" w:cs="Times New Roman"/>
          <w:sz w:val="24"/>
          <w:szCs w:val="24"/>
        </w:rPr>
        <w:t>1.2.8 Градостроительство. Инженерная инфраструктура</w:t>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r>
      <w:r w:rsidR="005A3CFC">
        <w:rPr>
          <w:rFonts w:ascii="Times New Roman" w:hAnsi="Times New Roman" w:cs="Times New Roman"/>
          <w:sz w:val="24"/>
          <w:szCs w:val="24"/>
        </w:rPr>
        <w:tab/>
        <w:t xml:space="preserve">       28</w:t>
      </w:r>
    </w:p>
    <w:p w:rsidR="00870C51" w:rsidRPr="00BF6E5D" w:rsidRDefault="00870C51" w:rsidP="00BF6E5D">
      <w:pPr>
        <w:pStyle w:val="1"/>
        <w:spacing w:line="240" w:lineRule="auto"/>
        <w:rPr>
          <w:b w:val="0"/>
          <w:sz w:val="24"/>
          <w:szCs w:val="24"/>
        </w:rPr>
      </w:pPr>
      <w:r w:rsidRPr="00BF6E5D">
        <w:rPr>
          <w:b w:val="0"/>
          <w:sz w:val="24"/>
          <w:szCs w:val="24"/>
        </w:rPr>
        <w:t xml:space="preserve">     1.2.9 Экология. Охрана окружающей среды</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t xml:space="preserve">       32</w:t>
      </w:r>
    </w:p>
    <w:p w:rsidR="00870C51" w:rsidRPr="00BF6E5D" w:rsidRDefault="00870C51" w:rsidP="00BF6E5D">
      <w:pPr>
        <w:pStyle w:val="1"/>
        <w:spacing w:line="240" w:lineRule="auto"/>
        <w:rPr>
          <w:b w:val="0"/>
          <w:sz w:val="24"/>
          <w:szCs w:val="24"/>
        </w:rPr>
      </w:pPr>
      <w:r w:rsidRPr="00BF6E5D">
        <w:rPr>
          <w:b w:val="0"/>
          <w:sz w:val="24"/>
          <w:szCs w:val="24"/>
        </w:rPr>
        <w:t xml:space="preserve">     1.2.10 Имущественные и земельные отношения</w:t>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5A3CFC">
        <w:rPr>
          <w:b w:val="0"/>
          <w:sz w:val="24"/>
          <w:szCs w:val="24"/>
        </w:rPr>
        <w:tab/>
      </w:r>
      <w:r w:rsidR="002E73FF">
        <w:rPr>
          <w:b w:val="0"/>
          <w:sz w:val="24"/>
          <w:szCs w:val="24"/>
        </w:rPr>
        <w:t xml:space="preserve">       33</w:t>
      </w:r>
    </w:p>
    <w:p w:rsidR="00870C51" w:rsidRPr="00BF6E5D" w:rsidRDefault="00870C51" w:rsidP="00BF6E5D">
      <w:pPr>
        <w:pStyle w:val="1"/>
        <w:spacing w:line="240" w:lineRule="auto"/>
        <w:rPr>
          <w:b w:val="0"/>
          <w:sz w:val="24"/>
          <w:szCs w:val="24"/>
        </w:rPr>
      </w:pPr>
      <w:r w:rsidRPr="00BF6E5D">
        <w:rPr>
          <w:b w:val="0"/>
          <w:sz w:val="24"/>
          <w:szCs w:val="24"/>
        </w:rPr>
        <w:t xml:space="preserve">     1.2.11 Финансовая деятельность</w:t>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t xml:space="preserve">       34</w:t>
      </w:r>
    </w:p>
    <w:p w:rsidR="00870C51" w:rsidRPr="00BF6E5D" w:rsidRDefault="00870C51" w:rsidP="00BF6E5D">
      <w:pPr>
        <w:pStyle w:val="1"/>
        <w:spacing w:line="240" w:lineRule="auto"/>
        <w:rPr>
          <w:b w:val="0"/>
          <w:sz w:val="24"/>
          <w:szCs w:val="24"/>
        </w:rPr>
      </w:pPr>
      <w:r w:rsidRPr="00BF6E5D">
        <w:rPr>
          <w:b w:val="0"/>
          <w:sz w:val="24"/>
          <w:szCs w:val="24"/>
        </w:rPr>
        <w:t xml:space="preserve">     1.2.12 Инвестиции в основной капитал</w:t>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r>
      <w:r w:rsidR="002E73FF">
        <w:rPr>
          <w:b w:val="0"/>
          <w:sz w:val="24"/>
          <w:szCs w:val="24"/>
        </w:rPr>
        <w:tab/>
        <w:t xml:space="preserve">       40</w:t>
      </w:r>
    </w:p>
    <w:p w:rsidR="00870C51" w:rsidRPr="00BF6E5D" w:rsidRDefault="00870C51" w:rsidP="00BF6E5D">
      <w:pPr>
        <w:pStyle w:val="1"/>
        <w:spacing w:line="240" w:lineRule="auto"/>
        <w:rPr>
          <w:b w:val="0"/>
          <w:sz w:val="24"/>
          <w:szCs w:val="24"/>
        </w:rPr>
      </w:pPr>
      <w:r w:rsidRPr="00BF6E5D">
        <w:rPr>
          <w:b w:val="0"/>
          <w:sz w:val="24"/>
          <w:szCs w:val="24"/>
        </w:rPr>
        <w:t xml:space="preserve">     1.2.13 Малый бизнес</w:t>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t xml:space="preserve">       40</w:t>
      </w:r>
    </w:p>
    <w:p w:rsidR="00870C51" w:rsidRPr="00BF6E5D" w:rsidRDefault="00870C51" w:rsidP="00BF6E5D">
      <w:pPr>
        <w:pStyle w:val="1"/>
        <w:spacing w:line="240" w:lineRule="auto"/>
        <w:rPr>
          <w:b w:val="0"/>
          <w:sz w:val="24"/>
          <w:szCs w:val="24"/>
        </w:rPr>
      </w:pPr>
      <w:r w:rsidRPr="00BF6E5D">
        <w:rPr>
          <w:b w:val="0"/>
          <w:sz w:val="24"/>
          <w:szCs w:val="24"/>
        </w:rPr>
        <w:t xml:space="preserve">     1.2.14 Сельское хозяйство</w:t>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r>
      <w:r w:rsidR="006C1763">
        <w:rPr>
          <w:b w:val="0"/>
          <w:sz w:val="24"/>
          <w:szCs w:val="24"/>
        </w:rPr>
        <w:tab/>
        <w:t xml:space="preserve">       42</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1.2.15 Трудовые показатели</w:t>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t xml:space="preserve">       45</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1.2.16 Бюджет Бардымского муниципального района </w:t>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t xml:space="preserve">       50</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     1.2.17 Историко-культурные и туристские ресурсы</w:t>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r>
      <w:r w:rsidR="006C1763">
        <w:rPr>
          <w:b w:val="0"/>
          <w:bCs w:val="0"/>
          <w:sz w:val="24"/>
          <w:szCs w:val="24"/>
        </w:rPr>
        <w:tab/>
        <w:t xml:space="preserve">       75</w:t>
      </w:r>
    </w:p>
    <w:p w:rsidR="00870C51" w:rsidRPr="00BF6E5D" w:rsidRDefault="00870C51" w:rsidP="00BF6E5D">
      <w:pPr>
        <w:pStyle w:val="1"/>
        <w:spacing w:line="240" w:lineRule="auto"/>
        <w:rPr>
          <w:b w:val="0"/>
          <w:bCs w:val="0"/>
          <w:sz w:val="24"/>
          <w:szCs w:val="24"/>
        </w:rPr>
      </w:pPr>
      <w:r w:rsidRPr="00BF6E5D">
        <w:rPr>
          <w:b w:val="0"/>
          <w:bCs w:val="0"/>
          <w:sz w:val="24"/>
          <w:szCs w:val="24"/>
        </w:rPr>
        <w:t xml:space="preserve">1.3. </w:t>
      </w:r>
      <w:r w:rsidRPr="00BF6E5D">
        <w:rPr>
          <w:b w:val="0"/>
          <w:sz w:val="24"/>
          <w:szCs w:val="24"/>
        </w:rPr>
        <w:t>Роль и место Бардымского муниципального района в региональной экономике</w:t>
      </w:r>
      <w:r w:rsidR="006C1763">
        <w:rPr>
          <w:b w:val="0"/>
          <w:sz w:val="24"/>
          <w:szCs w:val="24"/>
        </w:rPr>
        <w:t xml:space="preserve">                   76</w:t>
      </w:r>
    </w:p>
    <w:p w:rsidR="00870C51" w:rsidRPr="00BF6E5D" w:rsidRDefault="00870C51" w:rsidP="00BF6E5D">
      <w:pPr>
        <w:pStyle w:val="1"/>
        <w:spacing w:line="240" w:lineRule="auto"/>
        <w:rPr>
          <w:b w:val="0"/>
          <w:sz w:val="24"/>
          <w:szCs w:val="24"/>
        </w:rPr>
      </w:pPr>
      <w:r w:rsidRPr="00BF6E5D">
        <w:rPr>
          <w:b w:val="0"/>
          <w:sz w:val="24"/>
          <w:szCs w:val="24"/>
        </w:rPr>
        <w:t>1.4. Типология городских и сельских поселений Бардымского муниципального района</w:t>
      </w:r>
      <w:r w:rsidR="006C1763">
        <w:rPr>
          <w:b w:val="0"/>
          <w:sz w:val="24"/>
          <w:szCs w:val="24"/>
        </w:rPr>
        <w:t xml:space="preserve">             86</w:t>
      </w:r>
    </w:p>
    <w:p w:rsidR="00870C51" w:rsidRPr="00BF6E5D" w:rsidRDefault="00870C51" w:rsidP="00BF6E5D">
      <w:pPr>
        <w:pStyle w:val="1"/>
        <w:spacing w:line="240" w:lineRule="auto"/>
        <w:rPr>
          <w:b w:val="0"/>
          <w:bCs w:val="0"/>
          <w:sz w:val="24"/>
          <w:szCs w:val="24"/>
        </w:rPr>
      </w:pPr>
      <w:r w:rsidRPr="00BF6E5D">
        <w:rPr>
          <w:b w:val="0"/>
          <w:sz w:val="24"/>
          <w:szCs w:val="24"/>
        </w:rPr>
        <w:t xml:space="preserve">     </w:t>
      </w:r>
      <w:r w:rsidRPr="00BF6E5D">
        <w:rPr>
          <w:rFonts w:eastAsia="Times New Roman"/>
          <w:b w:val="0"/>
          <w:sz w:val="24"/>
          <w:szCs w:val="24"/>
        </w:rPr>
        <w:t>1.4.1 Типология населенных пунктов Бардымского муниципального района</w:t>
      </w:r>
      <w:r w:rsidR="006C1763">
        <w:rPr>
          <w:rFonts w:eastAsia="Times New Roman"/>
          <w:b w:val="0"/>
          <w:sz w:val="24"/>
          <w:szCs w:val="24"/>
        </w:rPr>
        <w:t xml:space="preserve">                          87</w:t>
      </w:r>
    </w:p>
    <w:p w:rsidR="00870C51" w:rsidRPr="00BF6E5D" w:rsidRDefault="00870C51" w:rsidP="00BF6E5D">
      <w:pPr>
        <w:pStyle w:val="1"/>
        <w:spacing w:line="240" w:lineRule="auto"/>
        <w:rPr>
          <w:b w:val="0"/>
          <w:sz w:val="24"/>
          <w:szCs w:val="24"/>
        </w:rPr>
      </w:pPr>
      <w:r w:rsidRPr="00BF6E5D">
        <w:rPr>
          <w:b w:val="0"/>
          <w:sz w:val="24"/>
          <w:szCs w:val="24"/>
        </w:rPr>
        <w:t>2 Предпосылки формирования Стратегии социально-экономического развития Бардымского муниципального района на 2018-2030 годы в условиях современных угроз и ограничений</w:t>
      </w:r>
      <w:r w:rsidR="006C1763">
        <w:rPr>
          <w:b w:val="0"/>
          <w:sz w:val="24"/>
          <w:szCs w:val="24"/>
        </w:rPr>
        <w:t xml:space="preserve">       92</w:t>
      </w:r>
    </w:p>
    <w:p w:rsidR="00870C51" w:rsidRPr="00BF6E5D" w:rsidRDefault="00870C51" w:rsidP="00BF6E5D">
      <w:pPr>
        <w:pStyle w:val="1"/>
        <w:spacing w:line="240" w:lineRule="auto"/>
        <w:rPr>
          <w:b w:val="0"/>
          <w:sz w:val="24"/>
          <w:szCs w:val="24"/>
        </w:rPr>
      </w:pPr>
      <w:r w:rsidRPr="00BF6E5D">
        <w:rPr>
          <w:b w:val="0"/>
          <w:sz w:val="24"/>
          <w:szCs w:val="24"/>
        </w:rPr>
        <w:t xml:space="preserve">     2.1. Общемировые и общероссийские тенденции социально-экономического развития до 2030 года</w:t>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t xml:space="preserve">       92</w:t>
      </w:r>
    </w:p>
    <w:p w:rsidR="00870C51" w:rsidRPr="00BF6E5D" w:rsidRDefault="00870C51" w:rsidP="00BF6E5D">
      <w:pPr>
        <w:pStyle w:val="1"/>
        <w:spacing w:line="240" w:lineRule="auto"/>
        <w:rPr>
          <w:b w:val="0"/>
          <w:sz w:val="24"/>
          <w:szCs w:val="24"/>
        </w:rPr>
      </w:pPr>
      <w:r w:rsidRPr="00BF6E5D">
        <w:rPr>
          <w:b w:val="0"/>
          <w:sz w:val="24"/>
          <w:szCs w:val="24"/>
        </w:rPr>
        <w:t xml:space="preserve">     2.2. Основные принципы формирования Стратегии социально-экономического развития Бардымского муниципального района на период 2018-2030 годы</w:t>
      </w:r>
      <w:r w:rsidR="005420A6">
        <w:rPr>
          <w:b w:val="0"/>
          <w:sz w:val="24"/>
          <w:szCs w:val="24"/>
        </w:rPr>
        <w:tab/>
      </w:r>
      <w:r w:rsidR="005420A6">
        <w:rPr>
          <w:b w:val="0"/>
          <w:sz w:val="24"/>
          <w:szCs w:val="24"/>
        </w:rPr>
        <w:tab/>
      </w:r>
      <w:r w:rsidR="005420A6">
        <w:rPr>
          <w:b w:val="0"/>
          <w:sz w:val="24"/>
          <w:szCs w:val="24"/>
        </w:rPr>
        <w:tab/>
      </w:r>
      <w:r w:rsidR="005420A6">
        <w:rPr>
          <w:b w:val="0"/>
          <w:sz w:val="24"/>
          <w:szCs w:val="24"/>
        </w:rPr>
        <w:tab/>
        <w:t xml:space="preserve">       94</w:t>
      </w:r>
    </w:p>
    <w:p w:rsidR="00870C51" w:rsidRPr="00BF6E5D" w:rsidRDefault="00870C51" w:rsidP="00BF6E5D">
      <w:pPr>
        <w:pStyle w:val="1"/>
        <w:spacing w:line="240" w:lineRule="auto"/>
        <w:rPr>
          <w:b w:val="0"/>
          <w:sz w:val="24"/>
          <w:szCs w:val="24"/>
        </w:rPr>
      </w:pPr>
      <w:r w:rsidRPr="00BF6E5D">
        <w:rPr>
          <w:b w:val="0"/>
          <w:sz w:val="24"/>
          <w:szCs w:val="24"/>
        </w:rPr>
        <w:t xml:space="preserve">        2.2.1. Агломерационный подход при формировании системы пространственной организации и Стратегии социально-экономического развития Бардымского муниципального района</w:t>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r>
      <w:r w:rsidR="005420A6">
        <w:rPr>
          <w:b w:val="0"/>
          <w:sz w:val="24"/>
          <w:szCs w:val="24"/>
        </w:rPr>
        <w:tab/>
        <w:t xml:space="preserve">       95</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2.2.2. Факторы экономического роста</w:t>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t xml:space="preserve">     100</w:t>
      </w:r>
    </w:p>
    <w:p w:rsidR="00870C51" w:rsidRPr="00BF6E5D" w:rsidRDefault="00870C51"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2.2.3. Принципы формирования Стратегии социально-экономического развития Бардымского муниципального района на 2018-2030 годы</w:t>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r>
      <w:r w:rsidR="005420A6">
        <w:rPr>
          <w:rFonts w:ascii="Times New Roman" w:hAnsi="Times New Roman" w:cs="Times New Roman"/>
          <w:sz w:val="24"/>
          <w:szCs w:val="24"/>
        </w:rPr>
        <w:tab/>
        <w:t xml:space="preserve">     104</w:t>
      </w:r>
    </w:p>
    <w:p w:rsidR="00BF6E5D" w:rsidRPr="00BF6E5D" w:rsidRDefault="00BF6E5D" w:rsidP="00BF6E5D">
      <w:pPr>
        <w:pStyle w:val="1"/>
        <w:spacing w:line="240" w:lineRule="auto"/>
        <w:rPr>
          <w:b w:val="0"/>
          <w:sz w:val="24"/>
          <w:szCs w:val="24"/>
        </w:rPr>
      </w:pPr>
      <w:r w:rsidRPr="00BF6E5D">
        <w:rPr>
          <w:b w:val="0"/>
          <w:sz w:val="24"/>
          <w:szCs w:val="24"/>
        </w:rPr>
        <w:t>3</w:t>
      </w:r>
      <w:r w:rsidR="005420A6">
        <w:rPr>
          <w:b w:val="0"/>
          <w:sz w:val="24"/>
          <w:szCs w:val="24"/>
        </w:rPr>
        <w:t>.</w:t>
      </w:r>
      <w:r w:rsidRPr="00BF6E5D">
        <w:rPr>
          <w:b w:val="0"/>
          <w:sz w:val="24"/>
          <w:szCs w:val="24"/>
        </w:rPr>
        <w:t xml:space="preserve"> Стратегия социально-экономического развития Бардымского муниципального района </w:t>
      </w:r>
      <w:r w:rsidR="00664AF8">
        <w:rPr>
          <w:b w:val="0"/>
          <w:sz w:val="24"/>
          <w:szCs w:val="24"/>
        </w:rPr>
        <w:t xml:space="preserve">       106</w:t>
      </w:r>
    </w:p>
    <w:p w:rsidR="00BF6E5D" w:rsidRPr="00BF6E5D" w:rsidRDefault="00BF6E5D" w:rsidP="00BF6E5D">
      <w:pPr>
        <w:pStyle w:val="1"/>
        <w:spacing w:line="240" w:lineRule="auto"/>
        <w:rPr>
          <w:b w:val="0"/>
          <w:sz w:val="24"/>
          <w:szCs w:val="24"/>
        </w:rPr>
      </w:pPr>
      <w:r w:rsidRPr="00BF6E5D">
        <w:rPr>
          <w:b w:val="0"/>
          <w:sz w:val="24"/>
          <w:szCs w:val="24"/>
        </w:rPr>
        <w:t xml:space="preserve">     3.1. Анализ сложившихся тенденций и проблем в экономике и социальной и демографической сфере Бардымского муниципального района</w:t>
      </w:r>
      <w:r w:rsidR="00664AF8">
        <w:rPr>
          <w:b w:val="0"/>
          <w:sz w:val="24"/>
          <w:szCs w:val="24"/>
        </w:rPr>
        <w:t xml:space="preserve">                                                    106 </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3.2. Риски и ограничения развития Бардымского муниципального района</w:t>
      </w:r>
      <w:r w:rsidR="00664AF8">
        <w:rPr>
          <w:rFonts w:ascii="Times New Roman" w:hAnsi="Times New Roman" w:cs="Times New Roman"/>
          <w:sz w:val="24"/>
          <w:szCs w:val="24"/>
        </w:rPr>
        <w:tab/>
      </w:r>
      <w:r w:rsidR="00664AF8">
        <w:rPr>
          <w:rFonts w:ascii="Times New Roman" w:hAnsi="Times New Roman" w:cs="Times New Roman"/>
          <w:sz w:val="24"/>
          <w:szCs w:val="24"/>
        </w:rPr>
        <w:tab/>
        <w:t xml:space="preserve">     109</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3.3. Факторы, определяющие развитие экономики Бардымского муниципального района</w:t>
      </w:r>
      <w:r w:rsidR="00664AF8">
        <w:rPr>
          <w:rFonts w:ascii="Times New Roman" w:hAnsi="Times New Roman" w:cs="Times New Roman"/>
          <w:sz w:val="24"/>
          <w:szCs w:val="24"/>
        </w:rPr>
        <w:t xml:space="preserve">  110</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3.4. Основные итоги анализа социально-экономического развития Бардымского муниципального района с использованием метода свод-анализ</w:t>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t xml:space="preserve">     117</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3.5. Предложения по развитию Бардымского муниципального района, как конкурентоспособного муниципального образования Пермского края</w:t>
      </w:r>
      <w:r w:rsidR="00664AF8">
        <w:rPr>
          <w:rFonts w:ascii="Times New Roman" w:hAnsi="Times New Roman" w:cs="Times New Roman"/>
          <w:sz w:val="24"/>
          <w:szCs w:val="24"/>
        </w:rPr>
        <w:t xml:space="preserve">                                       133</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t xml:space="preserve">        3.5.1. Миссия Бардымского муниципального района</w:t>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t xml:space="preserve">     133</w:t>
      </w:r>
    </w:p>
    <w:p w:rsidR="00BF6E5D" w:rsidRPr="00BF6E5D" w:rsidRDefault="00BF6E5D" w:rsidP="00BF6E5D">
      <w:pPr>
        <w:spacing w:after="0" w:line="240" w:lineRule="auto"/>
        <w:jc w:val="both"/>
        <w:rPr>
          <w:rFonts w:ascii="Times New Roman" w:hAnsi="Times New Roman" w:cs="Times New Roman"/>
          <w:sz w:val="24"/>
          <w:szCs w:val="24"/>
        </w:rPr>
      </w:pPr>
      <w:r w:rsidRPr="00BF6E5D">
        <w:rPr>
          <w:rFonts w:ascii="Times New Roman" w:hAnsi="Times New Roman" w:cs="Times New Roman"/>
          <w:sz w:val="24"/>
          <w:szCs w:val="24"/>
        </w:rPr>
        <w:lastRenderedPageBreak/>
        <w:t xml:space="preserve">        3.5.2. Приоритетные направления социально-экономического развития Бардымского муниципального района</w:t>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r>
      <w:r w:rsidR="00664AF8">
        <w:rPr>
          <w:rFonts w:ascii="Times New Roman" w:hAnsi="Times New Roman" w:cs="Times New Roman"/>
          <w:sz w:val="24"/>
          <w:szCs w:val="24"/>
        </w:rPr>
        <w:tab/>
        <w:t xml:space="preserve">     133</w:t>
      </w:r>
    </w:p>
    <w:p w:rsidR="00BF6E5D" w:rsidRPr="00BF6E5D" w:rsidRDefault="00BF6E5D" w:rsidP="00BF6E5D">
      <w:pPr>
        <w:pStyle w:val="1"/>
        <w:spacing w:line="240" w:lineRule="auto"/>
        <w:rPr>
          <w:b w:val="0"/>
          <w:sz w:val="24"/>
          <w:szCs w:val="24"/>
        </w:rPr>
      </w:pPr>
      <w:r w:rsidRPr="00BF6E5D">
        <w:rPr>
          <w:b w:val="0"/>
          <w:sz w:val="24"/>
          <w:szCs w:val="24"/>
        </w:rPr>
        <w:t xml:space="preserve">        3.5.3. Система стратегических целей по приоритетным направлениям социально-экономического развития Бардымского муниципального района</w:t>
      </w:r>
      <w:r w:rsidR="00664AF8">
        <w:rPr>
          <w:b w:val="0"/>
          <w:sz w:val="24"/>
          <w:szCs w:val="24"/>
        </w:rPr>
        <w:tab/>
      </w:r>
      <w:r w:rsidR="00664AF8">
        <w:rPr>
          <w:b w:val="0"/>
          <w:sz w:val="24"/>
          <w:szCs w:val="24"/>
        </w:rPr>
        <w:tab/>
      </w:r>
      <w:r w:rsidR="00664AF8">
        <w:rPr>
          <w:b w:val="0"/>
          <w:sz w:val="24"/>
          <w:szCs w:val="24"/>
        </w:rPr>
        <w:tab/>
      </w:r>
      <w:r w:rsidR="00664AF8">
        <w:rPr>
          <w:b w:val="0"/>
          <w:sz w:val="24"/>
          <w:szCs w:val="24"/>
        </w:rPr>
        <w:tab/>
        <w:t xml:space="preserve">     138</w:t>
      </w:r>
    </w:p>
    <w:p w:rsidR="00BF6E5D" w:rsidRPr="00BF6E5D" w:rsidRDefault="00BF6E5D" w:rsidP="00BF6E5D">
      <w:pPr>
        <w:pStyle w:val="1"/>
        <w:spacing w:line="240" w:lineRule="auto"/>
        <w:rPr>
          <w:b w:val="0"/>
          <w:sz w:val="24"/>
          <w:szCs w:val="24"/>
        </w:rPr>
      </w:pPr>
      <w:r w:rsidRPr="00BF6E5D">
        <w:rPr>
          <w:b w:val="0"/>
          <w:sz w:val="24"/>
          <w:szCs w:val="24"/>
        </w:rPr>
        <w:t xml:space="preserve">        3.5.4. Система ключевых показателей и индикаторов Стратегии социально-экономического развития Бардымского муниципального района на период 2018-2030 годы</w:t>
      </w:r>
      <w:r w:rsidR="00664AF8">
        <w:rPr>
          <w:b w:val="0"/>
          <w:sz w:val="24"/>
          <w:szCs w:val="24"/>
        </w:rPr>
        <w:tab/>
      </w:r>
      <w:r w:rsidR="00664AF8">
        <w:rPr>
          <w:b w:val="0"/>
          <w:sz w:val="24"/>
          <w:szCs w:val="24"/>
        </w:rPr>
        <w:tab/>
      </w:r>
      <w:r w:rsidR="00664AF8">
        <w:rPr>
          <w:b w:val="0"/>
          <w:sz w:val="24"/>
          <w:szCs w:val="24"/>
        </w:rPr>
        <w:tab/>
        <w:t xml:space="preserve">     140</w:t>
      </w:r>
    </w:p>
    <w:p w:rsidR="00BF6E5D" w:rsidRPr="00BF6E5D" w:rsidRDefault="00BF6E5D" w:rsidP="00BF6E5D">
      <w:pPr>
        <w:pStyle w:val="1"/>
        <w:spacing w:line="240" w:lineRule="auto"/>
        <w:rPr>
          <w:b w:val="0"/>
          <w:sz w:val="24"/>
          <w:szCs w:val="24"/>
        </w:rPr>
      </w:pPr>
      <w:r w:rsidRPr="00BF6E5D">
        <w:rPr>
          <w:b w:val="0"/>
          <w:sz w:val="24"/>
          <w:szCs w:val="24"/>
        </w:rPr>
        <w:t xml:space="preserve">     3.6. Прогноз основных показателей социально-экономического развития Бардымского муниципального района до 2030 года</w:t>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t xml:space="preserve">     145</w:t>
      </w:r>
    </w:p>
    <w:p w:rsidR="00BF6E5D" w:rsidRPr="00BF6E5D" w:rsidRDefault="00BF6E5D" w:rsidP="00BF6E5D">
      <w:pPr>
        <w:pStyle w:val="1"/>
        <w:spacing w:line="240" w:lineRule="auto"/>
        <w:rPr>
          <w:b w:val="0"/>
          <w:sz w:val="24"/>
          <w:szCs w:val="24"/>
        </w:rPr>
      </w:pPr>
      <w:r w:rsidRPr="00BF6E5D">
        <w:rPr>
          <w:b w:val="0"/>
          <w:sz w:val="24"/>
          <w:szCs w:val="24"/>
        </w:rPr>
        <w:t xml:space="preserve">     3.7. Система оценки и контроля (мониторинга) реализации Стратегии социально-экономического развития Бардымского муниципального района на 2018-2030 годы</w:t>
      </w:r>
      <w:r w:rsidR="00664AF8">
        <w:rPr>
          <w:b w:val="0"/>
          <w:sz w:val="24"/>
          <w:szCs w:val="24"/>
        </w:rPr>
        <w:tab/>
        <w:t xml:space="preserve">     148</w:t>
      </w:r>
    </w:p>
    <w:p w:rsidR="00BF6E5D" w:rsidRPr="00BF6E5D" w:rsidRDefault="00BF6E5D" w:rsidP="00BF6E5D">
      <w:pPr>
        <w:pStyle w:val="1"/>
        <w:spacing w:line="240" w:lineRule="auto"/>
        <w:rPr>
          <w:b w:val="0"/>
          <w:sz w:val="24"/>
          <w:szCs w:val="24"/>
        </w:rPr>
      </w:pPr>
      <w:r w:rsidRPr="00BF6E5D">
        <w:rPr>
          <w:b w:val="0"/>
          <w:sz w:val="24"/>
          <w:szCs w:val="24"/>
        </w:rPr>
        <w:t xml:space="preserve">     3.8. Оценка социально-экономических последствий реализации Стратегии социально-экономического развития Бардымского муниципального района на период 2018-2030 годы</w:t>
      </w:r>
      <w:r w:rsidR="00664AF8">
        <w:rPr>
          <w:b w:val="0"/>
          <w:sz w:val="24"/>
          <w:szCs w:val="24"/>
        </w:rPr>
        <w:t xml:space="preserve">   150</w:t>
      </w:r>
    </w:p>
    <w:p w:rsidR="00BF6E5D" w:rsidRPr="00BF6E5D" w:rsidRDefault="00BF6E5D" w:rsidP="00BF6E5D">
      <w:pPr>
        <w:pStyle w:val="1"/>
        <w:spacing w:line="240" w:lineRule="auto"/>
        <w:rPr>
          <w:b w:val="0"/>
          <w:sz w:val="24"/>
          <w:szCs w:val="24"/>
        </w:rPr>
      </w:pPr>
      <w:r w:rsidRPr="00BF6E5D">
        <w:rPr>
          <w:b w:val="0"/>
          <w:sz w:val="24"/>
          <w:szCs w:val="24"/>
        </w:rPr>
        <w:t xml:space="preserve">     3.9. Механизмы реализации Стратегии социально-экономического развития Бардымского муниципального района на период 2018-2030 годы</w:t>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t xml:space="preserve">     152</w:t>
      </w:r>
    </w:p>
    <w:p w:rsidR="00BF6E5D" w:rsidRDefault="00BF6E5D" w:rsidP="00BF6E5D">
      <w:pPr>
        <w:pStyle w:val="1"/>
        <w:spacing w:line="240" w:lineRule="auto"/>
        <w:rPr>
          <w:b w:val="0"/>
          <w:sz w:val="24"/>
          <w:szCs w:val="24"/>
        </w:rPr>
      </w:pPr>
      <w:r w:rsidRPr="00BF6E5D">
        <w:rPr>
          <w:b w:val="0"/>
          <w:sz w:val="24"/>
          <w:szCs w:val="24"/>
        </w:rPr>
        <w:t xml:space="preserve">     3.10. Контроль и мониторинг реализации Стратегии</w:t>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r>
      <w:r w:rsidR="00664AF8">
        <w:rPr>
          <w:b w:val="0"/>
          <w:sz w:val="24"/>
          <w:szCs w:val="24"/>
        </w:rPr>
        <w:tab/>
        <w:t xml:space="preserve">     154</w:t>
      </w:r>
    </w:p>
    <w:p w:rsidR="00BF6E5D" w:rsidRPr="00BF6E5D" w:rsidRDefault="00BF6E5D" w:rsidP="00BF6E5D">
      <w:pPr>
        <w:jc w:val="both"/>
      </w:pPr>
    </w:p>
    <w:p w:rsidR="00BF6E5D" w:rsidRPr="00664AF8" w:rsidRDefault="00BF6E5D" w:rsidP="00BF6E5D">
      <w:pPr>
        <w:spacing w:line="240" w:lineRule="auto"/>
        <w:jc w:val="both"/>
        <w:rPr>
          <w:rFonts w:ascii="Times New Roman" w:hAnsi="Times New Roman" w:cs="Times New Roman"/>
          <w:szCs w:val="24"/>
        </w:rPr>
      </w:pPr>
      <w:r w:rsidRPr="00664AF8">
        <w:rPr>
          <w:rFonts w:ascii="Times New Roman" w:hAnsi="Times New Roman" w:cs="Times New Roman"/>
          <w:szCs w:val="24"/>
        </w:rPr>
        <w:t xml:space="preserve">Приложение 1. </w:t>
      </w:r>
      <w:r w:rsidRPr="00664AF8">
        <w:rPr>
          <w:rFonts w:ascii="Times New Roman" w:eastAsia="Times New Roman" w:hAnsi="Times New Roman" w:cs="Times New Roman"/>
          <w:szCs w:val="24"/>
        </w:rPr>
        <w:t>Информация о дефиците / профиците бюджетов в разрезе сельских поселений</w:t>
      </w:r>
      <w:r w:rsidR="00664AF8">
        <w:rPr>
          <w:rFonts w:ascii="Times New Roman" w:eastAsia="Times New Roman" w:hAnsi="Times New Roman" w:cs="Times New Roman"/>
          <w:szCs w:val="24"/>
        </w:rPr>
        <w:t xml:space="preserve">           166</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2. Коэффициенты корреляции Пирсона, отражающие тесноту взаимосвязи факторов, влияющих на экономический рост Бардымского муниципального района</w:t>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t xml:space="preserve">  </w:t>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t xml:space="preserve">    176</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3. Характеристика коэффициентов корреляции Пирсона в соответствии с критериями Чеддока</w:t>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t xml:space="preserve">    178</w:t>
      </w:r>
    </w:p>
    <w:p w:rsidR="00BF6E5D" w:rsidRPr="00664AF8" w:rsidRDefault="00BF6E5D" w:rsidP="00BF6E5D">
      <w:pPr>
        <w:spacing w:line="240" w:lineRule="auto"/>
        <w:jc w:val="both"/>
        <w:rPr>
          <w:rFonts w:ascii="Times New Roman" w:eastAsia="Times New Roman" w:hAnsi="Times New Roman" w:cs="Times New Roman"/>
          <w:szCs w:val="24"/>
        </w:rPr>
      </w:pPr>
      <w:r w:rsidRPr="00664AF8">
        <w:rPr>
          <w:rFonts w:ascii="Times New Roman" w:eastAsia="Times New Roman" w:hAnsi="Times New Roman" w:cs="Times New Roman"/>
          <w:szCs w:val="24"/>
        </w:rPr>
        <w:t>Приложение 4. Система целевых показателей и индикаторов реализации Стратегии социально-экономического развития Бардымского муниципального района на 2017-2030 годы</w:t>
      </w:r>
      <w:r w:rsidR="00664AF8">
        <w:rPr>
          <w:rFonts w:ascii="Times New Roman" w:eastAsia="Times New Roman" w:hAnsi="Times New Roman" w:cs="Times New Roman"/>
          <w:szCs w:val="24"/>
        </w:rPr>
        <w:tab/>
      </w:r>
      <w:r w:rsidR="00664AF8">
        <w:rPr>
          <w:rFonts w:ascii="Times New Roman" w:eastAsia="Times New Roman" w:hAnsi="Times New Roman" w:cs="Times New Roman"/>
          <w:szCs w:val="24"/>
        </w:rPr>
        <w:tab/>
        <w:t xml:space="preserve">    181</w:t>
      </w:r>
    </w:p>
    <w:p w:rsidR="00BF6E5D" w:rsidRDefault="00BF6E5D" w:rsidP="00810A0F">
      <w:pPr>
        <w:spacing w:after="0"/>
        <w:jc w:val="both"/>
        <w:rPr>
          <w:rFonts w:ascii="Times New Roman" w:hAnsi="Times New Roman" w:cs="Times New Roman"/>
          <w:szCs w:val="24"/>
        </w:rPr>
      </w:pPr>
      <w:r w:rsidRPr="00664AF8">
        <w:rPr>
          <w:rFonts w:ascii="Times New Roman" w:hAnsi="Times New Roman" w:cs="Times New Roman"/>
          <w:szCs w:val="24"/>
        </w:rPr>
        <w:t xml:space="preserve">Приложение 5. </w:t>
      </w:r>
      <w:r w:rsidR="00810A0F" w:rsidRPr="00810A0F">
        <w:rPr>
          <w:rFonts w:ascii="Times New Roman" w:hAnsi="Times New Roman" w:cs="Times New Roman"/>
        </w:rPr>
        <w:t>Инновационный прогноз социально-экономического развития Бардымского муниципального района Пермского края на 2018-2030 годы</w:t>
      </w:r>
      <w:r w:rsidR="00664AF8">
        <w:rPr>
          <w:rFonts w:ascii="Times New Roman" w:hAnsi="Times New Roman" w:cs="Times New Roman"/>
          <w:szCs w:val="24"/>
        </w:rPr>
        <w:tab/>
      </w:r>
      <w:r w:rsidR="00664AF8">
        <w:rPr>
          <w:rFonts w:ascii="Times New Roman" w:hAnsi="Times New Roman" w:cs="Times New Roman"/>
          <w:szCs w:val="24"/>
        </w:rPr>
        <w:tab/>
      </w:r>
      <w:r w:rsidR="00664AF8">
        <w:rPr>
          <w:rFonts w:ascii="Times New Roman" w:hAnsi="Times New Roman" w:cs="Times New Roman"/>
          <w:szCs w:val="24"/>
        </w:rPr>
        <w:tab/>
      </w:r>
      <w:r w:rsidR="00664AF8">
        <w:rPr>
          <w:rFonts w:ascii="Times New Roman" w:hAnsi="Times New Roman" w:cs="Times New Roman"/>
          <w:szCs w:val="24"/>
        </w:rPr>
        <w:tab/>
      </w:r>
      <w:r w:rsidR="00664AF8">
        <w:rPr>
          <w:rFonts w:ascii="Times New Roman" w:hAnsi="Times New Roman" w:cs="Times New Roman"/>
          <w:szCs w:val="24"/>
        </w:rPr>
        <w:tab/>
      </w:r>
      <w:r w:rsidR="00664AF8">
        <w:rPr>
          <w:rFonts w:ascii="Times New Roman" w:hAnsi="Times New Roman" w:cs="Times New Roman"/>
          <w:szCs w:val="24"/>
        </w:rPr>
        <w:tab/>
        <w:t xml:space="preserve">    184</w:t>
      </w:r>
    </w:p>
    <w:p w:rsidR="00055C85" w:rsidRDefault="00055C85" w:rsidP="00810A0F">
      <w:pPr>
        <w:spacing w:after="0"/>
        <w:rPr>
          <w:rFonts w:ascii="Times New Roman" w:hAnsi="Times New Roman" w:cs="Times New Roman"/>
          <w:szCs w:val="24"/>
        </w:rPr>
      </w:pPr>
    </w:p>
    <w:p w:rsidR="00810A0F" w:rsidRDefault="00810A0F" w:rsidP="00810A0F">
      <w:pPr>
        <w:spacing w:after="0"/>
        <w:rPr>
          <w:rFonts w:ascii="Times New Roman" w:hAnsi="Times New Roman" w:cs="Times New Roman"/>
        </w:rPr>
      </w:pPr>
      <w:r>
        <w:rPr>
          <w:rFonts w:ascii="Times New Roman" w:hAnsi="Times New Roman" w:cs="Times New Roman"/>
          <w:szCs w:val="24"/>
        </w:rPr>
        <w:t xml:space="preserve">Приложение 6. </w:t>
      </w:r>
      <w:r w:rsidRPr="00810A0F">
        <w:rPr>
          <w:rFonts w:ascii="Times New Roman" w:hAnsi="Times New Roman" w:cs="Times New Roman"/>
        </w:rPr>
        <w:t>Оптимальный прогноз социально-экономического развития Бардымского</w:t>
      </w:r>
      <w:r>
        <w:rPr>
          <w:rFonts w:ascii="Times New Roman" w:hAnsi="Times New Roman" w:cs="Times New Roman"/>
        </w:rPr>
        <w:t xml:space="preserve"> </w:t>
      </w:r>
      <w:r w:rsidRPr="00810A0F">
        <w:rPr>
          <w:rFonts w:ascii="Times New Roman" w:hAnsi="Times New Roman" w:cs="Times New Roman"/>
        </w:rPr>
        <w:t>муниципального района Пермского края на 2018-2030 годы</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187</w:t>
      </w:r>
    </w:p>
    <w:p w:rsidR="00055C85" w:rsidRDefault="00055C85" w:rsidP="00810A0F">
      <w:pPr>
        <w:spacing w:after="0"/>
        <w:rPr>
          <w:rFonts w:ascii="Times New Roman" w:hAnsi="Times New Roman" w:cs="Times New Roman"/>
        </w:rPr>
      </w:pPr>
    </w:p>
    <w:p w:rsidR="00CF5485" w:rsidRPr="00CF5485" w:rsidRDefault="00055C85" w:rsidP="00055C85">
      <w:pPr>
        <w:spacing w:after="0"/>
      </w:pPr>
      <w:r>
        <w:rPr>
          <w:rFonts w:ascii="Times New Roman" w:hAnsi="Times New Roman" w:cs="Times New Roman"/>
        </w:rPr>
        <w:t xml:space="preserve">Приложение 7. Пессимистический </w:t>
      </w:r>
      <w:r w:rsidRPr="00810A0F">
        <w:rPr>
          <w:rFonts w:ascii="Times New Roman" w:hAnsi="Times New Roman" w:cs="Times New Roman"/>
        </w:rPr>
        <w:t>прогноз социально-экономического развития Бардымского</w:t>
      </w:r>
      <w:r>
        <w:rPr>
          <w:rFonts w:ascii="Times New Roman" w:hAnsi="Times New Roman" w:cs="Times New Roman"/>
        </w:rPr>
        <w:t xml:space="preserve"> </w:t>
      </w:r>
      <w:r w:rsidRPr="00810A0F">
        <w:rPr>
          <w:rFonts w:ascii="Times New Roman" w:hAnsi="Times New Roman" w:cs="Times New Roman"/>
        </w:rPr>
        <w:t>муниципального района Пермского края на 2018-2030 годы</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190</w:t>
      </w:r>
    </w:p>
    <w:sectPr w:rsidR="00CF5485" w:rsidRPr="00CF5485" w:rsidSect="00424AF3">
      <w:pgSz w:w="11906" w:h="16838"/>
      <w:pgMar w:top="851" w:right="567"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773" w:rsidRDefault="00182773" w:rsidP="00B9076E">
      <w:pPr>
        <w:spacing w:after="0" w:line="240" w:lineRule="auto"/>
      </w:pPr>
      <w:r>
        <w:separator/>
      </w:r>
    </w:p>
  </w:endnote>
  <w:endnote w:type="continuationSeparator" w:id="1">
    <w:p w:rsidR="00182773" w:rsidRDefault="00182773" w:rsidP="00B907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995618"/>
    </w:sdtPr>
    <w:sdtContent>
      <w:p w:rsidR="001D788E" w:rsidRDefault="001D788E">
        <w:pPr>
          <w:pStyle w:val="a5"/>
          <w:jc w:val="center"/>
        </w:pPr>
        <w:fldSimple w:instr=" PAGE   \* MERGEFORMAT ">
          <w:r>
            <w:rPr>
              <w:noProof/>
            </w:rPr>
            <w:t>57</w:t>
          </w:r>
        </w:fldSimple>
      </w:p>
    </w:sdtContent>
  </w:sdt>
  <w:p w:rsidR="001D788E" w:rsidRDefault="001D788E">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88"/>
    </w:sdtPr>
    <w:sdtContent>
      <w:p w:rsidR="001D788E" w:rsidRDefault="001D788E">
        <w:pPr>
          <w:pStyle w:val="a5"/>
          <w:jc w:val="center"/>
        </w:pPr>
        <w:fldSimple w:instr=" PAGE   \* MERGEFORMAT ">
          <w:r>
            <w:rPr>
              <w:noProof/>
            </w:rPr>
            <w:t>74</w:t>
          </w:r>
        </w:fldSimple>
      </w:p>
    </w:sdtContent>
  </w:sdt>
  <w:p w:rsidR="001D788E" w:rsidRDefault="001D788E">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93"/>
    </w:sdtPr>
    <w:sdtContent>
      <w:p w:rsidR="001D788E" w:rsidRDefault="001D788E">
        <w:pPr>
          <w:pStyle w:val="a5"/>
          <w:jc w:val="center"/>
        </w:pPr>
        <w:fldSimple w:instr=" PAGE   \* MERGEFORMAT ">
          <w:r>
            <w:rPr>
              <w:noProof/>
            </w:rPr>
            <w:t>121</w:t>
          </w:r>
        </w:fldSimple>
      </w:p>
    </w:sdtContent>
  </w:sdt>
  <w:p w:rsidR="001D788E" w:rsidRDefault="001D788E">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7586794"/>
    </w:sdtPr>
    <w:sdtContent>
      <w:p w:rsidR="001D788E" w:rsidRDefault="001D788E">
        <w:pPr>
          <w:pStyle w:val="a5"/>
          <w:jc w:val="center"/>
        </w:pPr>
        <w:fldSimple w:instr=" PAGE   \* MERGEFORMAT ">
          <w:r w:rsidR="00B320A3">
            <w:rPr>
              <w:noProof/>
            </w:rPr>
            <w:t>175</w:t>
          </w:r>
        </w:fldSimple>
      </w:p>
    </w:sdtContent>
  </w:sdt>
  <w:p w:rsidR="001D788E" w:rsidRDefault="001D788E">
    <w:pPr>
      <w:pStyle w:val="a5"/>
    </w:pPr>
  </w:p>
  <w:p w:rsidR="001D788E" w:rsidRDefault="001D788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770619"/>
    </w:sdtPr>
    <w:sdtContent>
      <w:p w:rsidR="001D788E" w:rsidRDefault="001D788E">
        <w:pPr>
          <w:pStyle w:val="a5"/>
          <w:jc w:val="center"/>
        </w:pPr>
        <w:fldSimple w:instr=" PAGE   \* MERGEFORMAT ">
          <w:r w:rsidR="00B320A3">
            <w:rPr>
              <w:noProof/>
            </w:rPr>
            <w:t>194</w:t>
          </w:r>
        </w:fldSimple>
      </w:p>
    </w:sdtContent>
  </w:sdt>
  <w:p w:rsidR="001D788E" w:rsidRDefault="001D788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773" w:rsidRDefault="00182773" w:rsidP="00B9076E">
      <w:pPr>
        <w:spacing w:after="0" w:line="240" w:lineRule="auto"/>
      </w:pPr>
      <w:r>
        <w:separator/>
      </w:r>
    </w:p>
  </w:footnote>
  <w:footnote w:type="continuationSeparator" w:id="1">
    <w:p w:rsidR="00182773" w:rsidRDefault="00182773" w:rsidP="00B9076E">
      <w:pPr>
        <w:spacing w:after="0" w:line="240" w:lineRule="auto"/>
      </w:pPr>
      <w:r>
        <w:continuationSeparator/>
      </w:r>
    </w:p>
  </w:footnote>
  <w:footnote w:id="2">
    <w:p w:rsidR="001D788E" w:rsidRDefault="001D788E" w:rsidP="00153E07">
      <w:pPr>
        <w:pStyle w:val="aff0"/>
      </w:pPr>
      <w:r>
        <w:rPr>
          <w:rStyle w:val="aff2"/>
        </w:rPr>
        <w:footnoteRef/>
      </w:r>
      <w:r w:rsidRPr="00CF0707">
        <w:rPr>
          <w:rFonts w:ascii="Times New Roman" w:hAnsi="Times New Roman" w:cs="Times New Roman"/>
        </w:rPr>
        <w:t xml:space="preserve">Источник: </w:t>
      </w:r>
      <w:r w:rsidRPr="00880680">
        <w:rPr>
          <w:rFonts w:ascii="Times New Roman" w:hAnsi="Times New Roman" w:cs="Times New Roman"/>
        </w:rPr>
        <w:t>ГКУ "Центр занятости населения Бардымского района"</w:t>
      </w:r>
    </w:p>
  </w:footnote>
  <w:footnote w:id="3">
    <w:p w:rsidR="001D788E" w:rsidRDefault="001D788E" w:rsidP="00153E07">
      <w:pPr>
        <w:pStyle w:val="aff0"/>
      </w:pPr>
      <w:r>
        <w:rPr>
          <w:rStyle w:val="aff2"/>
        </w:rPr>
        <w:footnoteRef/>
      </w:r>
      <w:r w:rsidRPr="00CF0707">
        <w:rPr>
          <w:rFonts w:ascii="Times New Roman" w:eastAsia="Times New Roman" w:hAnsi="Times New Roman" w:cs="Times New Roman"/>
          <w:lang w:eastAsia="ru-RU"/>
        </w:rPr>
        <w:t>Источник: Территориальный орган Федеральной службы государственной статистики по Пермскому краю. http://permstat.gks.ru/</w:t>
      </w:r>
    </w:p>
  </w:footnote>
  <w:footnote w:id="4">
    <w:p w:rsidR="001D788E" w:rsidRDefault="001D788E" w:rsidP="00153E07">
      <w:pPr>
        <w:pStyle w:val="aff0"/>
        <w:jc w:val="both"/>
      </w:pPr>
      <w:r>
        <w:rPr>
          <w:rStyle w:val="aff2"/>
        </w:rPr>
        <w:footnoteRef/>
      </w:r>
      <w:r w:rsidRPr="00273AE8">
        <w:rPr>
          <w:rFonts w:ascii="Times New Roman" w:eastAsia="Times New Roman" w:hAnsi="Times New Roman" w:cs="Times New Roman"/>
          <w:lang w:eastAsia="ru-RU"/>
        </w:rPr>
        <w:t>СП 42.13330.2016 «СНиП 2.07.01-89</w:t>
      </w:r>
      <w:r>
        <w:rPr>
          <w:rFonts w:ascii="Times New Roman" w:eastAsia="Times New Roman" w:hAnsi="Times New Roman" w:cs="Times New Roman"/>
          <w:lang w:eastAsia="ru-RU"/>
        </w:rPr>
        <w:t>.</w:t>
      </w:r>
      <w:r w:rsidRPr="00273AE8">
        <w:rPr>
          <w:rFonts w:ascii="Times New Roman" w:eastAsia="Times New Roman" w:hAnsi="Times New Roman" w:cs="Times New Roman"/>
          <w:lang w:eastAsia="ru-RU"/>
        </w:rPr>
        <w:t xml:space="preserve"> Градостроительство. Планировка и застройка городских и сельских поселений»</w:t>
      </w:r>
      <w:r>
        <w:rPr>
          <w:rFonts w:ascii="Times New Roman" w:eastAsia="Times New Roman" w:hAnsi="Times New Roman" w:cs="Times New Roman"/>
          <w:lang w:eastAsia="ru-RU"/>
        </w:rPr>
        <w:t xml:space="preserve">. </w:t>
      </w:r>
      <w:r w:rsidRPr="00C433AB">
        <w:rPr>
          <w:rFonts w:ascii="Times New Roman" w:eastAsia="Times New Roman" w:hAnsi="Times New Roman" w:cs="Times New Roman"/>
          <w:lang w:eastAsia="ru-RU"/>
        </w:rPr>
        <w:t>Утвержденприказом Министерства строительства и жилищно-коммунального хозяйства Российской Федерации от 30.12.2016 г. № 1034/при введен в действие с 1.07.2017</w:t>
      </w:r>
      <w:r>
        <w:rPr>
          <w:rFonts w:ascii="Times New Roman" w:eastAsia="Times New Roman" w:hAnsi="Times New Roman" w:cs="Times New Roman"/>
          <w:lang w:eastAsia="ru-RU"/>
        </w:rPr>
        <w:t>г</w:t>
      </w:r>
      <w:r w:rsidRPr="00C433AB">
        <w:rPr>
          <w:rFonts w:ascii="Times New Roman" w:eastAsia="Times New Roman" w:hAnsi="Times New Roman" w:cs="Times New Roman"/>
          <w:lang w:eastAsia="ru-RU"/>
        </w:rPr>
        <w:t>.</w:t>
      </w:r>
    </w:p>
  </w:footnote>
  <w:footnote w:id="5">
    <w:p w:rsidR="001D788E" w:rsidRDefault="001D788E" w:rsidP="00153E07">
      <w:pPr>
        <w:pStyle w:val="aff0"/>
      </w:pPr>
      <w:r>
        <w:rPr>
          <w:rStyle w:val="aff2"/>
        </w:rPr>
        <w:footnoteRef/>
      </w:r>
      <w:r w:rsidRPr="00CF0707">
        <w:rPr>
          <w:rFonts w:ascii="Times New Roman" w:eastAsia="Times New Roman" w:hAnsi="Times New Roman" w:cs="Times New Roman"/>
          <w:lang w:eastAsia="ru-RU"/>
        </w:rPr>
        <w:t>Источник: Территориальный орган Федеральной службы государственной статистики по Пермскому краю. http://permstat.gks.ru/</w:t>
      </w:r>
    </w:p>
  </w:footnote>
  <w:footnote w:id="6">
    <w:p w:rsidR="001D788E" w:rsidRDefault="001D788E" w:rsidP="00153E07">
      <w:r>
        <w:rPr>
          <w:rStyle w:val="aff2"/>
        </w:rPr>
        <w:footnoteRef/>
      </w:r>
      <w:r w:rsidRPr="00DE2D0E">
        <w:rPr>
          <w:rFonts w:ascii="Times New Roman" w:eastAsia="Times New Roman" w:hAnsi="Times New Roman" w:cs="Times New Roman"/>
          <w:sz w:val="20"/>
          <w:szCs w:val="20"/>
        </w:rPr>
        <w:t>Федеральный закон № 131-ФЗ от 06.10.2003г. «Об общих принципах организации местного самоуправления в Российской Федерации (в ред. от 26.07.2017г.)</w:t>
      </w:r>
    </w:p>
  </w:footnote>
  <w:footnote w:id="7">
    <w:p w:rsidR="001D788E" w:rsidRPr="007130BD" w:rsidRDefault="001D788E" w:rsidP="00153E07">
      <w:pPr>
        <w:pStyle w:val="aff0"/>
        <w:jc w:val="both"/>
      </w:pPr>
      <w:r>
        <w:rPr>
          <w:rStyle w:val="aff2"/>
        </w:rPr>
        <w:footnoteRef/>
      </w:r>
      <w:r w:rsidRPr="007130BD">
        <w:rPr>
          <w:rFonts w:ascii="Times New Roman" w:hAnsi="Times New Roman" w:cs="Times New Roman"/>
        </w:rPr>
        <w:t>По данным программ социально-экономического развития сельских поселений Бардымского муниципального района</w:t>
      </w:r>
    </w:p>
  </w:footnote>
  <w:footnote w:id="8">
    <w:p w:rsidR="001D788E" w:rsidRPr="002F28A2" w:rsidRDefault="001D788E" w:rsidP="00153E07">
      <w:pPr>
        <w:pStyle w:val="aff0"/>
        <w:rPr>
          <w:rFonts w:ascii="Times New Roman" w:hAnsi="Times New Roman" w:cs="Times New Roman"/>
        </w:rPr>
      </w:pPr>
      <w:r>
        <w:rPr>
          <w:rStyle w:val="aff2"/>
        </w:rPr>
        <w:footnoteRef/>
      </w:r>
      <w:r w:rsidRPr="002F28A2">
        <w:rPr>
          <w:rFonts w:ascii="Times New Roman" w:eastAsia="Times New Roman" w:hAnsi="Times New Roman" w:cs="Times New Roman"/>
        </w:rPr>
        <w:t>Федеральный закон № 116 от 22.07.20015г. «Об особых экономических зонах в Российской Федерации»</w:t>
      </w:r>
    </w:p>
  </w:footnote>
  <w:footnote w:id="9">
    <w:p w:rsidR="001D788E" w:rsidRDefault="001D788E" w:rsidP="00153E07">
      <w:pPr>
        <w:pStyle w:val="aff0"/>
        <w:jc w:val="both"/>
      </w:pPr>
      <w:r>
        <w:rPr>
          <w:rStyle w:val="aff2"/>
        </w:rPr>
        <w:footnoteRef/>
      </w:r>
      <w:r w:rsidRPr="007B4B21">
        <w:rPr>
          <w:rFonts w:ascii="Times New Roman" w:eastAsia="Times New Roman" w:hAnsi="Times New Roman" w:cs="Times New Roman"/>
          <w:bCs/>
        </w:rPr>
        <w:t>Постановление Правительства Российской Федерации № 398 от 26 апреля 2012г. «Об утверждении критериев создания особой экономической зоны»</w:t>
      </w:r>
    </w:p>
  </w:footnote>
  <w:footnote w:id="10">
    <w:p w:rsidR="001D788E" w:rsidRPr="0098077F" w:rsidRDefault="001D788E" w:rsidP="00153E07">
      <w:pPr>
        <w:tabs>
          <w:tab w:val="left" w:pos="2177"/>
        </w:tabs>
        <w:spacing w:after="0"/>
        <w:rPr>
          <w:rFonts w:eastAsia="Times New Roman" w:cs="Times New Roman"/>
          <w:szCs w:val="24"/>
        </w:rPr>
      </w:pPr>
      <w:r>
        <w:rPr>
          <w:rStyle w:val="aff2"/>
        </w:rPr>
        <w:footnoteRef/>
      </w:r>
      <w:r w:rsidRPr="00796E85">
        <w:rPr>
          <w:rFonts w:ascii="Times New Roman" w:hAnsi="Times New Roman" w:cs="Times New Roman"/>
          <w:sz w:val="20"/>
          <w:szCs w:val="20"/>
        </w:rPr>
        <w:t xml:space="preserve">Источник: </w:t>
      </w:r>
      <w:r w:rsidRPr="00796E85">
        <w:rPr>
          <w:rFonts w:ascii="Times New Roman" w:eastAsia="Times New Roman" w:hAnsi="Times New Roman" w:cs="Times New Roman"/>
          <w:sz w:val="20"/>
          <w:szCs w:val="20"/>
        </w:rPr>
        <w:t>Схема территориального планирования Бардымского муниципального района. Материалы по обоснованию проекта схемы территориального планирования. Том. 2. Книга 2. Барды, 2008г.</w:t>
      </w:r>
    </w:p>
    <w:p w:rsidR="001D788E" w:rsidRDefault="001D788E" w:rsidP="00153E07">
      <w:pPr>
        <w:pStyle w:val="aff0"/>
      </w:pPr>
    </w:p>
  </w:footnote>
  <w:footnote w:id="11">
    <w:p w:rsidR="001D788E" w:rsidRDefault="001D788E" w:rsidP="00153E07">
      <w:pPr>
        <w:pStyle w:val="aff0"/>
        <w:jc w:val="both"/>
      </w:pPr>
      <w:r>
        <w:rPr>
          <w:rStyle w:val="aff2"/>
        </w:rPr>
        <w:footnoteRef/>
      </w:r>
      <w:r w:rsidRPr="00985BEF">
        <w:rPr>
          <w:rFonts w:ascii="Times New Roman" w:eastAsia="Times New Roman" w:hAnsi="Times New Roman" w:cs="Times New Roman"/>
          <w:szCs w:val="24"/>
        </w:rPr>
        <w:t>Постановление Правительства РФ от 2 августа 2010 г. № 588 «Об утверждении Порядка разработки, реализации и оценки эффективности государственных программ Российской Федерации»</w:t>
      </w:r>
    </w:p>
  </w:footnote>
  <w:footnote w:id="12">
    <w:p w:rsidR="001D788E" w:rsidRDefault="001D788E" w:rsidP="00153E07">
      <w:pPr>
        <w:pStyle w:val="aff0"/>
      </w:pPr>
      <w:r>
        <w:rPr>
          <w:rStyle w:val="aff2"/>
        </w:rPr>
        <w:footnoteRef/>
      </w:r>
      <w:r w:rsidRPr="00AA52E8">
        <w:rPr>
          <w:rFonts w:ascii="Times New Roman" w:hAnsi="Times New Roman" w:cs="Times New Roman"/>
        </w:rPr>
        <w:t>Источник:</w:t>
      </w:r>
      <w:r>
        <w:rPr>
          <w:rFonts w:ascii="Times New Roman" w:hAnsi="Times New Roman" w:cs="Times New Roman"/>
        </w:rPr>
        <w:t xml:space="preserve"> </w:t>
      </w:r>
      <w:r w:rsidRPr="005233D6">
        <w:rPr>
          <w:rFonts w:ascii="Times New Roman" w:hAnsi="Times New Roman" w:cs="Times New Roman"/>
        </w:rPr>
        <w:t>Рабаданова А.А. Механизм реализации стратегии социально- экономического развития региона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788E" w:rsidRDefault="001D788E">
    <w:pPr>
      <w:pStyle w:val="a3"/>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A3C6D"/>
    <w:multiLevelType w:val="hybridMultilevel"/>
    <w:tmpl w:val="DC0E8CFC"/>
    <w:lvl w:ilvl="0" w:tplc="256AB59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176426"/>
    <w:multiLevelType w:val="hybridMultilevel"/>
    <w:tmpl w:val="82348E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061D0A"/>
    <w:multiLevelType w:val="hybridMultilevel"/>
    <w:tmpl w:val="7060955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346E5E"/>
    <w:multiLevelType w:val="multilevel"/>
    <w:tmpl w:val="A996809E"/>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1D1566B"/>
    <w:multiLevelType w:val="hybridMultilevel"/>
    <w:tmpl w:val="0F4E98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1F8387E"/>
    <w:multiLevelType w:val="hybridMultilevel"/>
    <w:tmpl w:val="E064EB70"/>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D651A97"/>
    <w:multiLevelType w:val="hybridMultilevel"/>
    <w:tmpl w:val="AC9C6BB8"/>
    <w:lvl w:ilvl="0" w:tplc="182C905E">
      <w:start w:val="2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97B4380"/>
    <w:multiLevelType w:val="multilevel"/>
    <w:tmpl w:val="7B9446D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0826273"/>
    <w:multiLevelType w:val="hybridMultilevel"/>
    <w:tmpl w:val="1CC29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19C22E6"/>
    <w:multiLevelType w:val="hybridMultilevel"/>
    <w:tmpl w:val="D5DE247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73317AB"/>
    <w:multiLevelType w:val="hybridMultilevel"/>
    <w:tmpl w:val="051693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91A106F"/>
    <w:multiLevelType w:val="hybridMultilevel"/>
    <w:tmpl w:val="25F2018C"/>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B7A1707"/>
    <w:multiLevelType w:val="hybridMultilevel"/>
    <w:tmpl w:val="3BE8C0FA"/>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61902F53"/>
    <w:multiLevelType w:val="hybridMultilevel"/>
    <w:tmpl w:val="79BEDB74"/>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2291C1B"/>
    <w:multiLevelType w:val="hybridMultilevel"/>
    <w:tmpl w:val="4738B008"/>
    <w:lvl w:ilvl="0" w:tplc="981AC7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6F1E2861"/>
    <w:multiLevelType w:val="hybridMultilevel"/>
    <w:tmpl w:val="7DB2A002"/>
    <w:lvl w:ilvl="0" w:tplc="6F8476D6">
      <w:start w:val="1"/>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1141DA"/>
    <w:multiLevelType w:val="hybridMultilevel"/>
    <w:tmpl w:val="3F3C47A4"/>
    <w:lvl w:ilvl="0" w:tplc="72EE97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72225BCD"/>
    <w:multiLevelType w:val="multilevel"/>
    <w:tmpl w:val="58B22C96"/>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76347246"/>
    <w:multiLevelType w:val="hybridMultilevel"/>
    <w:tmpl w:val="7C04474C"/>
    <w:lvl w:ilvl="0" w:tplc="182C905E">
      <w:start w:val="28"/>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15"/>
  </w:num>
  <w:num w:numId="4">
    <w:abstractNumId w:val="9"/>
  </w:num>
  <w:num w:numId="5">
    <w:abstractNumId w:val="0"/>
  </w:num>
  <w:num w:numId="6">
    <w:abstractNumId w:val="2"/>
  </w:num>
  <w:num w:numId="7">
    <w:abstractNumId w:val="7"/>
  </w:num>
  <w:num w:numId="8">
    <w:abstractNumId w:val="16"/>
  </w:num>
  <w:num w:numId="9">
    <w:abstractNumId w:val="13"/>
  </w:num>
  <w:num w:numId="10">
    <w:abstractNumId w:val="6"/>
  </w:num>
  <w:num w:numId="11">
    <w:abstractNumId w:val="1"/>
  </w:num>
  <w:num w:numId="12">
    <w:abstractNumId w:val="10"/>
  </w:num>
  <w:num w:numId="13">
    <w:abstractNumId w:val="8"/>
  </w:num>
  <w:num w:numId="14">
    <w:abstractNumId w:val="14"/>
  </w:num>
  <w:num w:numId="15">
    <w:abstractNumId w:val="18"/>
  </w:num>
  <w:num w:numId="16">
    <w:abstractNumId w:val="12"/>
  </w:num>
  <w:num w:numId="17">
    <w:abstractNumId w:val="17"/>
  </w:num>
  <w:num w:numId="18">
    <w:abstractNumId w:val="5"/>
  </w:num>
  <w:num w:numId="19">
    <w:abstractNumId w:val="11"/>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9076E"/>
    <w:rsid w:val="00007A85"/>
    <w:rsid w:val="000150E8"/>
    <w:rsid w:val="00017A39"/>
    <w:rsid w:val="0002382B"/>
    <w:rsid w:val="000246E8"/>
    <w:rsid w:val="00032276"/>
    <w:rsid w:val="0005031B"/>
    <w:rsid w:val="00052850"/>
    <w:rsid w:val="00055C85"/>
    <w:rsid w:val="00064F30"/>
    <w:rsid w:val="000671CF"/>
    <w:rsid w:val="000804AC"/>
    <w:rsid w:val="00084278"/>
    <w:rsid w:val="00087F81"/>
    <w:rsid w:val="000E1DCE"/>
    <w:rsid w:val="000F346B"/>
    <w:rsid w:val="001073A9"/>
    <w:rsid w:val="00112206"/>
    <w:rsid w:val="00114C76"/>
    <w:rsid w:val="001241D9"/>
    <w:rsid w:val="00127DAF"/>
    <w:rsid w:val="00133164"/>
    <w:rsid w:val="001346A1"/>
    <w:rsid w:val="00136EC4"/>
    <w:rsid w:val="00140697"/>
    <w:rsid w:val="00146F8A"/>
    <w:rsid w:val="00153E07"/>
    <w:rsid w:val="0015632F"/>
    <w:rsid w:val="00182773"/>
    <w:rsid w:val="00184B21"/>
    <w:rsid w:val="001A05CF"/>
    <w:rsid w:val="001B40D6"/>
    <w:rsid w:val="001B7D8A"/>
    <w:rsid w:val="001C1EB5"/>
    <w:rsid w:val="001C6E74"/>
    <w:rsid w:val="001D3C25"/>
    <w:rsid w:val="001D788E"/>
    <w:rsid w:val="001E1EF4"/>
    <w:rsid w:val="00206289"/>
    <w:rsid w:val="00212777"/>
    <w:rsid w:val="002231FD"/>
    <w:rsid w:val="00227D40"/>
    <w:rsid w:val="002320DD"/>
    <w:rsid w:val="002414F2"/>
    <w:rsid w:val="00243724"/>
    <w:rsid w:val="00254A53"/>
    <w:rsid w:val="002625F2"/>
    <w:rsid w:val="0028575F"/>
    <w:rsid w:val="00297636"/>
    <w:rsid w:val="002A33F1"/>
    <w:rsid w:val="002B04CB"/>
    <w:rsid w:val="002C53D6"/>
    <w:rsid w:val="002D7431"/>
    <w:rsid w:val="002E0664"/>
    <w:rsid w:val="002E73FF"/>
    <w:rsid w:val="002F6162"/>
    <w:rsid w:val="00306DDD"/>
    <w:rsid w:val="0031634F"/>
    <w:rsid w:val="00321DFC"/>
    <w:rsid w:val="003250B8"/>
    <w:rsid w:val="003264D1"/>
    <w:rsid w:val="003421C8"/>
    <w:rsid w:val="00345860"/>
    <w:rsid w:val="00347C9C"/>
    <w:rsid w:val="003506F9"/>
    <w:rsid w:val="003529A9"/>
    <w:rsid w:val="003551FB"/>
    <w:rsid w:val="00355F6A"/>
    <w:rsid w:val="0036337E"/>
    <w:rsid w:val="00363899"/>
    <w:rsid w:val="003A1EA9"/>
    <w:rsid w:val="003A4F1A"/>
    <w:rsid w:val="003C2685"/>
    <w:rsid w:val="003C4000"/>
    <w:rsid w:val="003D2157"/>
    <w:rsid w:val="003E0362"/>
    <w:rsid w:val="003E7B1C"/>
    <w:rsid w:val="003F03C3"/>
    <w:rsid w:val="0040703A"/>
    <w:rsid w:val="00411017"/>
    <w:rsid w:val="00420773"/>
    <w:rsid w:val="00424AF3"/>
    <w:rsid w:val="004277D3"/>
    <w:rsid w:val="00433854"/>
    <w:rsid w:val="00443EEA"/>
    <w:rsid w:val="0044735E"/>
    <w:rsid w:val="00460C45"/>
    <w:rsid w:val="00465C06"/>
    <w:rsid w:val="00472042"/>
    <w:rsid w:val="00480E5D"/>
    <w:rsid w:val="004878A9"/>
    <w:rsid w:val="004939A3"/>
    <w:rsid w:val="004A5294"/>
    <w:rsid w:val="004B1816"/>
    <w:rsid w:val="004C494F"/>
    <w:rsid w:val="004D4D31"/>
    <w:rsid w:val="004E2E6F"/>
    <w:rsid w:val="004F0E83"/>
    <w:rsid w:val="004F3966"/>
    <w:rsid w:val="00506A22"/>
    <w:rsid w:val="005145F6"/>
    <w:rsid w:val="00530383"/>
    <w:rsid w:val="00535C86"/>
    <w:rsid w:val="005420A6"/>
    <w:rsid w:val="00543488"/>
    <w:rsid w:val="005535D9"/>
    <w:rsid w:val="00561116"/>
    <w:rsid w:val="00577BA6"/>
    <w:rsid w:val="00587831"/>
    <w:rsid w:val="00592655"/>
    <w:rsid w:val="00596AAE"/>
    <w:rsid w:val="00597C74"/>
    <w:rsid w:val="005A3CFC"/>
    <w:rsid w:val="005A7C26"/>
    <w:rsid w:val="005B2A0E"/>
    <w:rsid w:val="005B4D3B"/>
    <w:rsid w:val="005C5F95"/>
    <w:rsid w:val="005C6ADE"/>
    <w:rsid w:val="005D24C1"/>
    <w:rsid w:val="005E128E"/>
    <w:rsid w:val="005E327B"/>
    <w:rsid w:val="005F1909"/>
    <w:rsid w:val="005F1C73"/>
    <w:rsid w:val="006034AD"/>
    <w:rsid w:val="006177F5"/>
    <w:rsid w:val="00633809"/>
    <w:rsid w:val="00661B3A"/>
    <w:rsid w:val="00662FA8"/>
    <w:rsid w:val="00664AF8"/>
    <w:rsid w:val="00681E8B"/>
    <w:rsid w:val="006A2635"/>
    <w:rsid w:val="006A7FB3"/>
    <w:rsid w:val="006C019E"/>
    <w:rsid w:val="006C167F"/>
    <w:rsid w:val="006C1763"/>
    <w:rsid w:val="006D01B2"/>
    <w:rsid w:val="006D2568"/>
    <w:rsid w:val="006D396E"/>
    <w:rsid w:val="006D419D"/>
    <w:rsid w:val="006D54FD"/>
    <w:rsid w:val="006F3566"/>
    <w:rsid w:val="00700367"/>
    <w:rsid w:val="0070146D"/>
    <w:rsid w:val="00734ACB"/>
    <w:rsid w:val="00747DEB"/>
    <w:rsid w:val="0075760E"/>
    <w:rsid w:val="00757EF4"/>
    <w:rsid w:val="0076061C"/>
    <w:rsid w:val="00771E0F"/>
    <w:rsid w:val="00777ED4"/>
    <w:rsid w:val="0078290A"/>
    <w:rsid w:val="00796E85"/>
    <w:rsid w:val="007A0295"/>
    <w:rsid w:val="007A2396"/>
    <w:rsid w:val="007A2AEF"/>
    <w:rsid w:val="007B1EC9"/>
    <w:rsid w:val="007B74F1"/>
    <w:rsid w:val="007C2BC2"/>
    <w:rsid w:val="007C405B"/>
    <w:rsid w:val="007D60E3"/>
    <w:rsid w:val="007D7783"/>
    <w:rsid w:val="007E28AF"/>
    <w:rsid w:val="007E2C94"/>
    <w:rsid w:val="00810A0F"/>
    <w:rsid w:val="0081565B"/>
    <w:rsid w:val="00816D7C"/>
    <w:rsid w:val="00822721"/>
    <w:rsid w:val="00822D2E"/>
    <w:rsid w:val="00854DB9"/>
    <w:rsid w:val="00870C51"/>
    <w:rsid w:val="0087662B"/>
    <w:rsid w:val="00883AB5"/>
    <w:rsid w:val="008842D0"/>
    <w:rsid w:val="00884844"/>
    <w:rsid w:val="00886F09"/>
    <w:rsid w:val="00893941"/>
    <w:rsid w:val="0089518E"/>
    <w:rsid w:val="008A5220"/>
    <w:rsid w:val="008B24F0"/>
    <w:rsid w:val="008B4C8B"/>
    <w:rsid w:val="008C398D"/>
    <w:rsid w:val="008D10E2"/>
    <w:rsid w:val="008D1AC4"/>
    <w:rsid w:val="00901EFE"/>
    <w:rsid w:val="009063EF"/>
    <w:rsid w:val="00906461"/>
    <w:rsid w:val="00923EC8"/>
    <w:rsid w:val="00944CBC"/>
    <w:rsid w:val="00965ADF"/>
    <w:rsid w:val="0097075C"/>
    <w:rsid w:val="009805AF"/>
    <w:rsid w:val="009A08B9"/>
    <w:rsid w:val="009B2A83"/>
    <w:rsid w:val="009B61FC"/>
    <w:rsid w:val="009D0B85"/>
    <w:rsid w:val="009D1BBE"/>
    <w:rsid w:val="009F0B4C"/>
    <w:rsid w:val="009F309A"/>
    <w:rsid w:val="00A0306F"/>
    <w:rsid w:val="00A137E5"/>
    <w:rsid w:val="00A13D85"/>
    <w:rsid w:val="00A16FFB"/>
    <w:rsid w:val="00A22137"/>
    <w:rsid w:val="00A22942"/>
    <w:rsid w:val="00A32DD4"/>
    <w:rsid w:val="00A52DCD"/>
    <w:rsid w:val="00A53339"/>
    <w:rsid w:val="00A55453"/>
    <w:rsid w:val="00A55770"/>
    <w:rsid w:val="00A625FC"/>
    <w:rsid w:val="00A91B92"/>
    <w:rsid w:val="00A9437A"/>
    <w:rsid w:val="00A97E25"/>
    <w:rsid w:val="00AB49D4"/>
    <w:rsid w:val="00AC37BD"/>
    <w:rsid w:val="00AE04C1"/>
    <w:rsid w:val="00AE52B1"/>
    <w:rsid w:val="00B11329"/>
    <w:rsid w:val="00B320A3"/>
    <w:rsid w:val="00B41D81"/>
    <w:rsid w:val="00B64457"/>
    <w:rsid w:val="00B83E96"/>
    <w:rsid w:val="00B86768"/>
    <w:rsid w:val="00B9076E"/>
    <w:rsid w:val="00B93C1C"/>
    <w:rsid w:val="00B979AB"/>
    <w:rsid w:val="00BB5CBC"/>
    <w:rsid w:val="00BC5CC4"/>
    <w:rsid w:val="00BC6F1F"/>
    <w:rsid w:val="00BC765E"/>
    <w:rsid w:val="00BE1E96"/>
    <w:rsid w:val="00BE7256"/>
    <w:rsid w:val="00BE7C22"/>
    <w:rsid w:val="00BF1898"/>
    <w:rsid w:val="00BF5CCA"/>
    <w:rsid w:val="00BF6E5D"/>
    <w:rsid w:val="00C02B4A"/>
    <w:rsid w:val="00C05E12"/>
    <w:rsid w:val="00C20228"/>
    <w:rsid w:val="00C500AF"/>
    <w:rsid w:val="00C50A68"/>
    <w:rsid w:val="00C52641"/>
    <w:rsid w:val="00C75FBD"/>
    <w:rsid w:val="00C82567"/>
    <w:rsid w:val="00CB03DE"/>
    <w:rsid w:val="00CB7DA8"/>
    <w:rsid w:val="00CC74E1"/>
    <w:rsid w:val="00CD6D5D"/>
    <w:rsid w:val="00CF0551"/>
    <w:rsid w:val="00CF141C"/>
    <w:rsid w:val="00CF5485"/>
    <w:rsid w:val="00CF7FA4"/>
    <w:rsid w:val="00D0535F"/>
    <w:rsid w:val="00D13891"/>
    <w:rsid w:val="00D20407"/>
    <w:rsid w:val="00D23929"/>
    <w:rsid w:val="00D33C56"/>
    <w:rsid w:val="00D4787A"/>
    <w:rsid w:val="00D50542"/>
    <w:rsid w:val="00D50C6A"/>
    <w:rsid w:val="00D527CE"/>
    <w:rsid w:val="00D53C12"/>
    <w:rsid w:val="00D55D20"/>
    <w:rsid w:val="00D5668B"/>
    <w:rsid w:val="00D62734"/>
    <w:rsid w:val="00D75B8C"/>
    <w:rsid w:val="00D87773"/>
    <w:rsid w:val="00D922B3"/>
    <w:rsid w:val="00DA02AF"/>
    <w:rsid w:val="00DA30C7"/>
    <w:rsid w:val="00DD3EEB"/>
    <w:rsid w:val="00DE2D0E"/>
    <w:rsid w:val="00DE336E"/>
    <w:rsid w:val="00DF632F"/>
    <w:rsid w:val="00E21B77"/>
    <w:rsid w:val="00E228B1"/>
    <w:rsid w:val="00E3313E"/>
    <w:rsid w:val="00E36F81"/>
    <w:rsid w:val="00E44382"/>
    <w:rsid w:val="00E4777D"/>
    <w:rsid w:val="00E50F2F"/>
    <w:rsid w:val="00E52A85"/>
    <w:rsid w:val="00E65761"/>
    <w:rsid w:val="00E80A8E"/>
    <w:rsid w:val="00E8744B"/>
    <w:rsid w:val="00E92390"/>
    <w:rsid w:val="00E97C6A"/>
    <w:rsid w:val="00EA069D"/>
    <w:rsid w:val="00EB1AE0"/>
    <w:rsid w:val="00EB27DC"/>
    <w:rsid w:val="00EB5017"/>
    <w:rsid w:val="00EB7E2B"/>
    <w:rsid w:val="00ED2561"/>
    <w:rsid w:val="00ED5023"/>
    <w:rsid w:val="00ED6628"/>
    <w:rsid w:val="00EE2147"/>
    <w:rsid w:val="00EE309F"/>
    <w:rsid w:val="00EF60E5"/>
    <w:rsid w:val="00EF6379"/>
    <w:rsid w:val="00F00E9D"/>
    <w:rsid w:val="00F07E68"/>
    <w:rsid w:val="00F11E5C"/>
    <w:rsid w:val="00F16F8A"/>
    <w:rsid w:val="00F249FA"/>
    <w:rsid w:val="00F25E88"/>
    <w:rsid w:val="00F3151B"/>
    <w:rsid w:val="00F405EC"/>
    <w:rsid w:val="00F441E1"/>
    <w:rsid w:val="00F553E8"/>
    <w:rsid w:val="00F726A9"/>
    <w:rsid w:val="00F72EA5"/>
    <w:rsid w:val="00F772FD"/>
    <w:rsid w:val="00F805FA"/>
    <w:rsid w:val="00F96DD5"/>
    <w:rsid w:val="00FA4B0C"/>
    <w:rsid w:val="00FC1706"/>
    <w:rsid w:val="00FD0291"/>
    <w:rsid w:val="00FD4F43"/>
    <w:rsid w:val="00FF0C59"/>
    <w:rsid w:val="00FF38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6FFB"/>
  </w:style>
  <w:style w:type="paragraph" w:styleId="1">
    <w:name w:val="heading 1"/>
    <w:basedOn w:val="a"/>
    <w:next w:val="a"/>
    <w:link w:val="10"/>
    <w:autoRedefine/>
    <w:uiPriority w:val="9"/>
    <w:qFormat/>
    <w:rsid w:val="00064F30"/>
    <w:pPr>
      <w:keepNext/>
      <w:keepLines/>
      <w:tabs>
        <w:tab w:val="left" w:pos="284"/>
      </w:tabs>
      <w:spacing w:after="0" w:line="360" w:lineRule="auto"/>
      <w:jc w:val="both"/>
      <w:outlineLvl w:val="0"/>
    </w:pPr>
    <w:rPr>
      <w:rFonts w:ascii="Times New Roman" w:eastAsiaTheme="majorEastAsia" w:hAnsi="Times New Roman" w:cs="Times New Roman"/>
      <w:b/>
      <w:bCs/>
      <w:sz w:val="28"/>
      <w:szCs w:val="28"/>
    </w:rPr>
  </w:style>
  <w:style w:type="paragraph" w:styleId="2">
    <w:name w:val="heading 2"/>
    <w:basedOn w:val="a"/>
    <w:next w:val="a"/>
    <w:link w:val="20"/>
    <w:uiPriority w:val="9"/>
    <w:unhideWhenUsed/>
    <w:qFormat/>
    <w:rsid w:val="00064F30"/>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4F30"/>
    <w:rPr>
      <w:rFonts w:ascii="Times New Roman" w:eastAsiaTheme="majorEastAsia" w:hAnsi="Times New Roman" w:cs="Times New Roman"/>
      <w:b/>
      <w:bCs/>
      <w:sz w:val="28"/>
      <w:szCs w:val="28"/>
    </w:rPr>
  </w:style>
  <w:style w:type="character" w:customStyle="1" w:styleId="20">
    <w:name w:val="Заголовок 2 Знак"/>
    <w:basedOn w:val="a0"/>
    <w:link w:val="2"/>
    <w:uiPriority w:val="9"/>
    <w:rsid w:val="00064F30"/>
    <w:rPr>
      <w:rFonts w:asciiTheme="majorHAnsi" w:eastAsiaTheme="majorEastAsia" w:hAnsiTheme="majorHAnsi" w:cstheme="majorBidi"/>
      <w:b/>
      <w:bCs/>
      <w:color w:val="4F81BD" w:themeColor="accent1"/>
      <w:sz w:val="26"/>
      <w:szCs w:val="26"/>
      <w:lang w:eastAsia="en-US"/>
    </w:rPr>
  </w:style>
  <w:style w:type="paragraph" w:styleId="a3">
    <w:name w:val="header"/>
    <w:basedOn w:val="a"/>
    <w:link w:val="a4"/>
    <w:uiPriority w:val="99"/>
    <w:unhideWhenUsed/>
    <w:rsid w:val="00B9076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9076E"/>
  </w:style>
  <w:style w:type="paragraph" w:styleId="a5">
    <w:name w:val="footer"/>
    <w:basedOn w:val="a"/>
    <w:link w:val="a6"/>
    <w:uiPriority w:val="99"/>
    <w:unhideWhenUsed/>
    <w:rsid w:val="00B9076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9076E"/>
  </w:style>
  <w:style w:type="table" w:styleId="a7">
    <w:name w:val="Table Grid"/>
    <w:basedOn w:val="a1"/>
    <w:uiPriority w:val="39"/>
    <w:rsid w:val="00886F0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Normal (Web)"/>
    <w:basedOn w:val="a"/>
    <w:link w:val="a9"/>
    <w:uiPriority w:val="99"/>
    <w:unhideWhenUsed/>
    <w:rsid w:val="00886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basedOn w:val="a0"/>
    <w:link w:val="a8"/>
    <w:locked/>
    <w:rsid w:val="00886F09"/>
    <w:rPr>
      <w:rFonts w:ascii="Times New Roman" w:eastAsia="Times New Roman" w:hAnsi="Times New Roman" w:cs="Times New Roman"/>
      <w:sz w:val="24"/>
      <w:szCs w:val="24"/>
    </w:rPr>
  </w:style>
  <w:style w:type="paragraph" w:styleId="aa">
    <w:name w:val="Body Text"/>
    <w:basedOn w:val="a"/>
    <w:link w:val="ab"/>
    <w:unhideWhenUsed/>
    <w:rsid w:val="00886F09"/>
    <w:pPr>
      <w:spacing w:after="120"/>
    </w:pPr>
  </w:style>
  <w:style w:type="character" w:customStyle="1" w:styleId="ab">
    <w:name w:val="Основной текст Знак"/>
    <w:basedOn w:val="a0"/>
    <w:link w:val="aa"/>
    <w:rsid w:val="00886F09"/>
  </w:style>
  <w:style w:type="paragraph" w:styleId="ac">
    <w:name w:val="Body Text First Indent"/>
    <w:basedOn w:val="aa"/>
    <w:link w:val="ad"/>
    <w:uiPriority w:val="99"/>
    <w:unhideWhenUsed/>
    <w:rsid w:val="00886F09"/>
    <w:pPr>
      <w:spacing w:after="200"/>
      <w:ind w:firstLine="360"/>
    </w:pPr>
  </w:style>
  <w:style w:type="character" w:customStyle="1" w:styleId="ad">
    <w:name w:val="Красная строка Знак"/>
    <w:basedOn w:val="ab"/>
    <w:link w:val="ac"/>
    <w:uiPriority w:val="99"/>
    <w:rsid w:val="00886F09"/>
  </w:style>
  <w:style w:type="paragraph" w:customStyle="1" w:styleId="ae">
    <w:name w:val="Исполнитель"/>
    <w:basedOn w:val="aa"/>
    <w:rsid w:val="00886F09"/>
    <w:pPr>
      <w:suppressAutoHyphens/>
      <w:spacing w:line="240" w:lineRule="exact"/>
    </w:pPr>
    <w:rPr>
      <w:rFonts w:ascii="Times New Roman" w:eastAsia="Times New Roman" w:hAnsi="Times New Roman" w:cs="Times New Roman"/>
      <w:sz w:val="24"/>
      <w:szCs w:val="20"/>
    </w:rPr>
  </w:style>
  <w:style w:type="paragraph" w:customStyle="1" w:styleId="ConsPlusCell">
    <w:name w:val="ConsPlusCell"/>
    <w:rsid w:val="00886F09"/>
    <w:pPr>
      <w:widowControl w:val="0"/>
      <w:autoSpaceDE w:val="0"/>
      <w:autoSpaceDN w:val="0"/>
      <w:adjustRightInd w:val="0"/>
      <w:spacing w:after="0" w:line="240" w:lineRule="auto"/>
    </w:pPr>
    <w:rPr>
      <w:rFonts w:ascii="Arial" w:eastAsia="Times New Roman" w:hAnsi="Arial" w:cs="Arial"/>
      <w:sz w:val="20"/>
      <w:szCs w:val="20"/>
    </w:rPr>
  </w:style>
  <w:style w:type="paragraph" w:styleId="af">
    <w:name w:val="No Spacing"/>
    <w:link w:val="af0"/>
    <w:uiPriority w:val="1"/>
    <w:qFormat/>
    <w:rsid w:val="00886F09"/>
    <w:pPr>
      <w:spacing w:after="0" w:line="240" w:lineRule="auto"/>
    </w:pPr>
  </w:style>
  <w:style w:type="character" w:customStyle="1" w:styleId="af0">
    <w:name w:val="Без интервала Знак"/>
    <w:basedOn w:val="a0"/>
    <w:link w:val="af"/>
    <w:uiPriority w:val="1"/>
    <w:locked/>
    <w:rsid w:val="00886F09"/>
  </w:style>
  <w:style w:type="paragraph" w:styleId="af1">
    <w:name w:val="List Paragraph"/>
    <w:basedOn w:val="a"/>
    <w:link w:val="af2"/>
    <w:uiPriority w:val="34"/>
    <w:qFormat/>
    <w:rsid w:val="00886F09"/>
    <w:pPr>
      <w:ind w:left="720"/>
      <w:contextualSpacing/>
    </w:pPr>
  </w:style>
  <w:style w:type="character" w:customStyle="1" w:styleId="af2">
    <w:name w:val="Абзац списка Знак"/>
    <w:link w:val="af1"/>
    <w:uiPriority w:val="34"/>
    <w:locked/>
    <w:rsid w:val="00064F30"/>
  </w:style>
  <w:style w:type="paragraph" w:styleId="af3">
    <w:name w:val="Balloon Text"/>
    <w:basedOn w:val="a"/>
    <w:link w:val="af4"/>
    <w:uiPriority w:val="99"/>
    <w:semiHidden/>
    <w:unhideWhenUsed/>
    <w:rsid w:val="00886F0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886F09"/>
    <w:rPr>
      <w:rFonts w:ascii="Tahoma" w:hAnsi="Tahoma" w:cs="Tahoma"/>
      <w:sz w:val="16"/>
      <w:szCs w:val="16"/>
    </w:rPr>
  </w:style>
  <w:style w:type="paragraph" w:styleId="3">
    <w:name w:val="Body Text 3"/>
    <w:basedOn w:val="a"/>
    <w:link w:val="30"/>
    <w:uiPriority w:val="99"/>
    <w:rsid w:val="00886F09"/>
    <w:pPr>
      <w:spacing w:after="0" w:line="240" w:lineRule="auto"/>
      <w:jc w:val="center"/>
    </w:pPr>
    <w:rPr>
      <w:rFonts w:ascii="Times New Roman" w:eastAsia="Times New Roman" w:hAnsi="Times New Roman" w:cs="Times New Roman"/>
      <w:b/>
      <w:sz w:val="28"/>
      <w:szCs w:val="20"/>
    </w:rPr>
  </w:style>
  <w:style w:type="character" w:customStyle="1" w:styleId="30">
    <w:name w:val="Основной текст 3 Знак"/>
    <w:basedOn w:val="a0"/>
    <w:link w:val="3"/>
    <w:uiPriority w:val="99"/>
    <w:rsid w:val="00886F09"/>
    <w:rPr>
      <w:rFonts w:ascii="Times New Roman" w:eastAsia="Times New Roman" w:hAnsi="Times New Roman" w:cs="Times New Roman"/>
      <w:b/>
      <w:sz w:val="28"/>
      <w:szCs w:val="20"/>
    </w:rPr>
  </w:style>
  <w:style w:type="paragraph" w:customStyle="1" w:styleId="ConsPlusNormal">
    <w:name w:val="ConsPlusNormal"/>
    <w:rsid w:val="00886F0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f5">
    <w:name w:val="программа"/>
    <w:basedOn w:val="a"/>
    <w:link w:val="af6"/>
    <w:rsid w:val="00886F09"/>
    <w:pPr>
      <w:tabs>
        <w:tab w:val="left" w:pos="567"/>
      </w:tabs>
      <w:spacing w:before="60" w:after="0" w:line="240" w:lineRule="auto"/>
      <w:ind w:firstLine="709"/>
      <w:jc w:val="both"/>
    </w:pPr>
    <w:rPr>
      <w:rFonts w:ascii="Times New Roman" w:eastAsia="Times New Roman" w:hAnsi="Times New Roman" w:cs="Times New Roman"/>
      <w:sz w:val="28"/>
      <w:szCs w:val="28"/>
    </w:rPr>
  </w:style>
  <w:style w:type="character" w:customStyle="1" w:styleId="af6">
    <w:name w:val="программа Знак"/>
    <w:basedOn w:val="a0"/>
    <w:link w:val="af5"/>
    <w:locked/>
    <w:rsid w:val="00886F09"/>
    <w:rPr>
      <w:rFonts w:ascii="Times New Roman" w:eastAsia="Times New Roman" w:hAnsi="Times New Roman" w:cs="Times New Roman"/>
      <w:sz w:val="28"/>
      <w:szCs w:val="28"/>
    </w:rPr>
  </w:style>
  <w:style w:type="character" w:styleId="af7">
    <w:name w:val="Hyperlink"/>
    <w:basedOn w:val="a0"/>
    <w:uiPriority w:val="99"/>
    <w:rsid w:val="00886F09"/>
    <w:rPr>
      <w:rFonts w:cs="Times New Roman"/>
      <w:color w:val="0000FF"/>
      <w:u w:val="single"/>
    </w:rPr>
  </w:style>
  <w:style w:type="paragraph" w:customStyle="1" w:styleId="af8">
    <w:name w:val="Знак"/>
    <w:basedOn w:val="a"/>
    <w:rsid w:val="00886F09"/>
    <w:pPr>
      <w:widowControl w:val="0"/>
      <w:adjustRightInd w:val="0"/>
      <w:spacing w:after="0" w:line="360" w:lineRule="atLeast"/>
      <w:jc w:val="both"/>
    </w:pPr>
    <w:rPr>
      <w:rFonts w:ascii="Verdana" w:eastAsia="Times New Roman" w:hAnsi="Verdana" w:cs="Verdana"/>
      <w:sz w:val="20"/>
      <w:szCs w:val="20"/>
      <w:lang w:val="en-US" w:eastAsia="en-US"/>
    </w:rPr>
  </w:style>
  <w:style w:type="character" w:customStyle="1" w:styleId="21">
    <w:name w:val="Основной текст (2)"/>
    <w:basedOn w:val="a0"/>
    <w:link w:val="210"/>
    <w:locked/>
    <w:rsid w:val="00886F09"/>
    <w:rPr>
      <w:rFonts w:ascii="Times New Roman" w:hAnsi="Times New Roman" w:cs="Times New Roman"/>
      <w:sz w:val="15"/>
      <w:szCs w:val="15"/>
      <w:shd w:val="clear" w:color="auto" w:fill="FFFFFF"/>
    </w:rPr>
  </w:style>
  <w:style w:type="paragraph" w:customStyle="1" w:styleId="210">
    <w:name w:val="Основной текст (2)1"/>
    <w:basedOn w:val="a"/>
    <w:link w:val="21"/>
    <w:uiPriority w:val="99"/>
    <w:rsid w:val="00886F09"/>
    <w:pPr>
      <w:shd w:val="clear" w:color="auto" w:fill="FFFFFF"/>
      <w:spacing w:after="0" w:line="240" w:lineRule="atLeast"/>
    </w:pPr>
    <w:rPr>
      <w:rFonts w:ascii="Times New Roman" w:hAnsi="Times New Roman" w:cs="Times New Roman"/>
      <w:sz w:val="15"/>
      <w:szCs w:val="15"/>
    </w:rPr>
  </w:style>
  <w:style w:type="paragraph" w:customStyle="1" w:styleId="211">
    <w:name w:val="Основной текст 21"/>
    <w:basedOn w:val="a"/>
    <w:rsid w:val="00886F09"/>
    <w:pPr>
      <w:spacing w:after="0" w:line="240" w:lineRule="auto"/>
    </w:pPr>
    <w:rPr>
      <w:rFonts w:ascii="Times New Roman" w:eastAsia="Times New Roman" w:hAnsi="Times New Roman" w:cs="Times New Roman"/>
      <w:sz w:val="28"/>
      <w:szCs w:val="20"/>
    </w:rPr>
  </w:style>
  <w:style w:type="paragraph" w:customStyle="1" w:styleId="ConsNormal">
    <w:name w:val="ConsNormal"/>
    <w:rsid w:val="00886F09"/>
    <w:pPr>
      <w:widowControl w:val="0"/>
      <w:spacing w:after="0" w:line="240" w:lineRule="auto"/>
      <w:ind w:firstLine="720"/>
    </w:pPr>
    <w:rPr>
      <w:rFonts w:ascii="Arial" w:eastAsia="Times New Roman" w:hAnsi="Arial" w:cs="Times New Roman"/>
      <w:snapToGrid w:val="0"/>
      <w:sz w:val="20"/>
      <w:szCs w:val="20"/>
    </w:rPr>
  </w:style>
  <w:style w:type="paragraph" w:customStyle="1" w:styleId="ConsPlusNonformat">
    <w:name w:val="ConsPlusNonformat"/>
    <w:uiPriority w:val="99"/>
    <w:rsid w:val="00886F09"/>
    <w:pPr>
      <w:autoSpaceDE w:val="0"/>
      <w:autoSpaceDN w:val="0"/>
      <w:adjustRightInd w:val="0"/>
      <w:spacing w:after="0" w:line="240" w:lineRule="auto"/>
    </w:pPr>
    <w:rPr>
      <w:rFonts w:ascii="Courier New" w:eastAsia="Times New Roman" w:hAnsi="Courier New" w:cs="Courier New"/>
      <w:sz w:val="20"/>
      <w:szCs w:val="20"/>
    </w:rPr>
  </w:style>
  <w:style w:type="paragraph" w:styleId="af9">
    <w:name w:val="Title"/>
    <w:basedOn w:val="a"/>
    <w:link w:val="afa"/>
    <w:uiPriority w:val="10"/>
    <w:qFormat/>
    <w:rsid w:val="00886F09"/>
    <w:pPr>
      <w:spacing w:after="0" w:line="240" w:lineRule="auto"/>
      <w:jc w:val="center"/>
    </w:pPr>
    <w:rPr>
      <w:rFonts w:ascii="Times New Roman" w:eastAsia="Times New Roman" w:hAnsi="Times New Roman" w:cs="Times New Roman"/>
      <w:sz w:val="28"/>
      <w:szCs w:val="24"/>
    </w:rPr>
  </w:style>
  <w:style w:type="character" w:customStyle="1" w:styleId="afa">
    <w:name w:val="Название Знак"/>
    <w:basedOn w:val="a0"/>
    <w:link w:val="af9"/>
    <w:uiPriority w:val="10"/>
    <w:rsid w:val="00886F09"/>
    <w:rPr>
      <w:rFonts w:ascii="Times New Roman" w:eastAsia="Times New Roman" w:hAnsi="Times New Roman" w:cs="Times New Roman"/>
      <w:sz w:val="28"/>
      <w:szCs w:val="24"/>
    </w:rPr>
  </w:style>
  <w:style w:type="character" w:customStyle="1" w:styleId="afb">
    <w:name w:val="Гипертекстовая ссылка"/>
    <w:basedOn w:val="a0"/>
    <w:uiPriority w:val="99"/>
    <w:rsid w:val="00886F09"/>
    <w:rPr>
      <w:rFonts w:cs="Times New Roman"/>
      <w:color w:val="106BBE"/>
    </w:rPr>
  </w:style>
  <w:style w:type="paragraph" w:customStyle="1" w:styleId="Iauiue">
    <w:name w:val="Iau?iue"/>
    <w:rsid w:val="00886F09"/>
    <w:pPr>
      <w:overflowPunct w:val="0"/>
      <w:autoSpaceDE w:val="0"/>
      <w:autoSpaceDN w:val="0"/>
      <w:adjustRightInd w:val="0"/>
      <w:spacing w:after="0" w:line="240" w:lineRule="auto"/>
    </w:pPr>
    <w:rPr>
      <w:rFonts w:ascii="Times New Roman" w:eastAsia="Times New Roman" w:hAnsi="Times New Roman" w:cs="Times New Roman"/>
      <w:color w:val="000000"/>
      <w:spacing w:val="-4"/>
      <w:sz w:val="28"/>
      <w:szCs w:val="20"/>
    </w:rPr>
  </w:style>
  <w:style w:type="paragraph" w:styleId="afc">
    <w:name w:val="Plain Text"/>
    <w:basedOn w:val="a"/>
    <w:link w:val="afd"/>
    <w:rsid w:val="00886F09"/>
    <w:pPr>
      <w:spacing w:after="0" w:line="240" w:lineRule="auto"/>
    </w:pPr>
    <w:rPr>
      <w:rFonts w:ascii="Courier New" w:eastAsia="Times New Roman" w:hAnsi="Courier New" w:cs="Times New Roman"/>
      <w:sz w:val="20"/>
      <w:szCs w:val="20"/>
    </w:rPr>
  </w:style>
  <w:style w:type="character" w:customStyle="1" w:styleId="afd">
    <w:name w:val="Текст Знак"/>
    <w:basedOn w:val="a0"/>
    <w:link w:val="afc"/>
    <w:rsid w:val="00886F09"/>
    <w:rPr>
      <w:rFonts w:ascii="Courier New" w:eastAsia="Times New Roman" w:hAnsi="Courier New" w:cs="Times New Roman"/>
      <w:sz w:val="20"/>
      <w:szCs w:val="20"/>
    </w:rPr>
  </w:style>
  <w:style w:type="character" w:customStyle="1" w:styleId="apple-converted-space">
    <w:name w:val="apple-converted-space"/>
    <w:basedOn w:val="a0"/>
    <w:rsid w:val="00D13891"/>
  </w:style>
  <w:style w:type="paragraph" w:styleId="afe">
    <w:name w:val="TOC Heading"/>
    <w:basedOn w:val="1"/>
    <w:next w:val="a"/>
    <w:uiPriority w:val="39"/>
    <w:unhideWhenUsed/>
    <w:qFormat/>
    <w:rsid w:val="00064F30"/>
    <w:pPr>
      <w:tabs>
        <w:tab w:val="clear" w:pos="284"/>
      </w:tabs>
      <w:spacing w:after="200"/>
      <w:outlineLvl w:val="9"/>
    </w:pPr>
  </w:style>
  <w:style w:type="paragraph" w:styleId="11">
    <w:name w:val="toc 1"/>
    <w:basedOn w:val="a"/>
    <w:next w:val="a"/>
    <w:autoRedefine/>
    <w:uiPriority w:val="39"/>
    <w:unhideWhenUsed/>
    <w:qFormat/>
    <w:rsid w:val="00064F30"/>
    <w:pPr>
      <w:tabs>
        <w:tab w:val="left" w:pos="7371"/>
        <w:tab w:val="left" w:pos="7513"/>
      </w:tabs>
      <w:spacing w:before="120" w:line="240" w:lineRule="auto"/>
      <w:ind w:right="2266" w:firstLine="709"/>
      <w:jc w:val="both"/>
    </w:pPr>
    <w:rPr>
      <w:rFonts w:ascii="Times New Roman" w:hAnsi="Times New Roman"/>
      <w:bCs/>
      <w:iCs/>
      <w:sz w:val="24"/>
    </w:rPr>
  </w:style>
  <w:style w:type="paragraph" w:customStyle="1" w:styleId="aff">
    <w:name w:val="Таблицы (моноширинный)"/>
    <w:basedOn w:val="a"/>
    <w:next w:val="a"/>
    <w:uiPriority w:val="99"/>
    <w:rsid w:val="00064F3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styleId="22">
    <w:name w:val="toc 2"/>
    <w:basedOn w:val="a"/>
    <w:next w:val="a"/>
    <w:autoRedefine/>
    <w:uiPriority w:val="39"/>
    <w:unhideWhenUsed/>
    <w:rsid w:val="00064F30"/>
    <w:pPr>
      <w:spacing w:after="100" w:line="360" w:lineRule="auto"/>
      <w:ind w:left="220"/>
      <w:jc w:val="both"/>
    </w:pPr>
    <w:rPr>
      <w:rFonts w:ascii="Times New Roman" w:hAnsi="Times New Roman"/>
      <w:sz w:val="24"/>
    </w:rPr>
  </w:style>
  <w:style w:type="paragraph" w:customStyle="1" w:styleId="p">
    <w:name w:val="p"/>
    <w:basedOn w:val="a"/>
    <w:uiPriority w:val="99"/>
    <w:rsid w:val="00064F30"/>
    <w:pPr>
      <w:spacing w:before="100" w:beforeAutospacing="1" w:after="100" w:afterAutospacing="1" w:line="240" w:lineRule="auto"/>
      <w:jc w:val="both"/>
    </w:pPr>
    <w:rPr>
      <w:rFonts w:ascii="Times New Roman" w:eastAsia="Times New Roman" w:hAnsi="Times New Roman" w:cs="Times New Roman"/>
      <w:sz w:val="24"/>
      <w:szCs w:val="24"/>
    </w:rPr>
  </w:style>
  <w:style w:type="paragraph" w:styleId="aff0">
    <w:name w:val="footnote text"/>
    <w:basedOn w:val="a"/>
    <w:link w:val="aff1"/>
    <w:uiPriority w:val="99"/>
    <w:semiHidden/>
    <w:unhideWhenUsed/>
    <w:rsid w:val="00064F30"/>
    <w:pPr>
      <w:spacing w:after="0" w:line="240" w:lineRule="auto"/>
    </w:pPr>
    <w:rPr>
      <w:rFonts w:eastAsiaTheme="minorHAnsi"/>
      <w:sz w:val="20"/>
      <w:szCs w:val="20"/>
      <w:lang w:eastAsia="en-US"/>
    </w:rPr>
  </w:style>
  <w:style w:type="character" w:customStyle="1" w:styleId="aff1">
    <w:name w:val="Текст сноски Знак"/>
    <w:basedOn w:val="a0"/>
    <w:link w:val="aff0"/>
    <w:uiPriority w:val="99"/>
    <w:semiHidden/>
    <w:rsid w:val="00064F30"/>
    <w:rPr>
      <w:rFonts w:eastAsiaTheme="minorHAnsi"/>
      <w:sz w:val="20"/>
      <w:szCs w:val="20"/>
      <w:lang w:eastAsia="en-US"/>
    </w:rPr>
  </w:style>
  <w:style w:type="character" w:styleId="aff2">
    <w:name w:val="footnote reference"/>
    <w:basedOn w:val="a0"/>
    <w:uiPriority w:val="99"/>
    <w:semiHidden/>
    <w:unhideWhenUsed/>
    <w:rsid w:val="00064F30"/>
    <w:rPr>
      <w:vertAlign w:val="superscript"/>
    </w:rPr>
  </w:style>
  <w:style w:type="paragraph" w:customStyle="1" w:styleId="headertext">
    <w:name w:val="headertext"/>
    <w:basedOn w:val="a"/>
    <w:rsid w:val="00064F30"/>
    <w:pPr>
      <w:spacing w:before="100" w:beforeAutospacing="1" w:after="100" w:afterAutospacing="1" w:line="240" w:lineRule="auto"/>
    </w:pPr>
    <w:rPr>
      <w:rFonts w:ascii="Times New Roman" w:eastAsia="Times New Roman" w:hAnsi="Times New Roman" w:cs="Times New Roman"/>
      <w:sz w:val="24"/>
      <w:szCs w:val="24"/>
    </w:rPr>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Знак Знак Знак Знак Знак, Знак Знак Знак Знак Знак Знак"/>
    <w:basedOn w:val="a"/>
    <w:link w:val="24"/>
    <w:rsid w:val="00064F30"/>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3"/>
    <w:rsid w:val="00064F30"/>
    <w:rPr>
      <w:rFonts w:ascii="Times New Roman" w:eastAsia="Times New Roman" w:hAnsi="Times New Roman" w:cs="Times New Roman"/>
      <w:sz w:val="24"/>
      <w:szCs w:val="24"/>
    </w:rPr>
  </w:style>
  <w:style w:type="character" w:customStyle="1" w:styleId="25">
    <w:name w:val="Основной текст (2) + Полужирный"/>
    <w:basedOn w:val="a0"/>
    <w:rsid w:val="00064F3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Курсив"/>
    <w:basedOn w:val="a0"/>
    <w:rsid w:val="00064F3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1">
    <w:name w:val="Основной текст (3)"/>
    <w:basedOn w:val="a0"/>
    <w:link w:val="310"/>
    <w:rsid w:val="00064F30"/>
    <w:rPr>
      <w:rFonts w:ascii="Times New Roman" w:eastAsia="Times New Roman" w:hAnsi="Times New Roman" w:cs="Times New Roman"/>
      <w:b/>
      <w:bCs/>
      <w:color w:val="000000"/>
      <w:sz w:val="24"/>
      <w:szCs w:val="24"/>
      <w:shd w:val="clear" w:color="auto" w:fill="FFFFFF"/>
      <w:lang w:bidi="ru-RU"/>
    </w:rPr>
  </w:style>
  <w:style w:type="paragraph" w:customStyle="1" w:styleId="310">
    <w:name w:val="Основной текст (3)1"/>
    <w:basedOn w:val="a"/>
    <w:link w:val="31"/>
    <w:rsid w:val="00064F30"/>
    <w:pPr>
      <w:shd w:val="clear" w:color="auto" w:fill="FFFFFF"/>
      <w:spacing w:before="360" w:after="1260" w:line="365" w:lineRule="exact"/>
      <w:ind w:hanging="660"/>
    </w:pPr>
    <w:rPr>
      <w:rFonts w:ascii="Times New Roman" w:eastAsia="Times New Roman" w:hAnsi="Times New Roman" w:cs="Times New Roman"/>
      <w:b/>
      <w:bCs/>
      <w:color w:val="000000"/>
      <w:sz w:val="24"/>
      <w:szCs w:val="24"/>
      <w:lang w:bidi="ru-RU"/>
    </w:rPr>
  </w:style>
  <w:style w:type="character" w:customStyle="1" w:styleId="212pt">
    <w:name w:val="Основной текст (2) + 12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
    <w:name w:val="Основной текст (9)"/>
    <w:basedOn w:val="a0"/>
    <w:link w:val="91"/>
    <w:uiPriority w:val="99"/>
    <w:locked/>
    <w:rsid w:val="00064F30"/>
    <w:rPr>
      <w:sz w:val="28"/>
      <w:szCs w:val="28"/>
      <w:shd w:val="clear" w:color="auto" w:fill="FFFFFF"/>
    </w:rPr>
  </w:style>
  <w:style w:type="paragraph" w:customStyle="1" w:styleId="91">
    <w:name w:val="Основной текст (9)1"/>
    <w:basedOn w:val="a"/>
    <w:link w:val="9"/>
    <w:uiPriority w:val="99"/>
    <w:rsid w:val="00064F30"/>
    <w:pPr>
      <w:shd w:val="clear" w:color="auto" w:fill="FFFFFF"/>
      <w:spacing w:after="0" w:line="240" w:lineRule="atLeast"/>
    </w:pPr>
    <w:rPr>
      <w:sz w:val="28"/>
      <w:szCs w:val="28"/>
    </w:rPr>
  </w:style>
  <w:style w:type="character" w:customStyle="1" w:styleId="110">
    <w:name w:val="Основной текст (11)"/>
    <w:basedOn w:val="a0"/>
    <w:link w:val="111"/>
    <w:locked/>
    <w:rsid w:val="00064F30"/>
    <w:rPr>
      <w:sz w:val="28"/>
      <w:szCs w:val="28"/>
      <w:shd w:val="clear" w:color="auto" w:fill="FFFFFF"/>
    </w:rPr>
  </w:style>
  <w:style w:type="paragraph" w:customStyle="1" w:styleId="111">
    <w:name w:val="Основной текст (11)1"/>
    <w:basedOn w:val="a"/>
    <w:link w:val="110"/>
    <w:rsid w:val="00064F30"/>
    <w:pPr>
      <w:shd w:val="clear" w:color="auto" w:fill="FFFFFF"/>
      <w:spacing w:after="0" w:line="312" w:lineRule="exact"/>
      <w:jc w:val="both"/>
    </w:pPr>
    <w:rPr>
      <w:sz w:val="28"/>
      <w:szCs w:val="28"/>
    </w:rPr>
  </w:style>
  <w:style w:type="character" w:customStyle="1" w:styleId="2105pt">
    <w:name w:val="Основной текст (2) + 10;5 pt"/>
    <w:basedOn w:val="a0"/>
    <w:rsid w:val="00064F30"/>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3">
    <w:name w:val="Основной текст с отступом Знак"/>
    <w:basedOn w:val="a0"/>
    <w:link w:val="aff4"/>
    <w:uiPriority w:val="99"/>
    <w:semiHidden/>
    <w:rsid w:val="00064F30"/>
    <w:rPr>
      <w:rFonts w:ascii="Times New Roman" w:hAnsi="Times New Roman"/>
      <w:sz w:val="24"/>
    </w:rPr>
  </w:style>
  <w:style w:type="paragraph" w:styleId="aff4">
    <w:name w:val="Body Text Indent"/>
    <w:basedOn w:val="a"/>
    <w:link w:val="aff3"/>
    <w:uiPriority w:val="99"/>
    <w:semiHidden/>
    <w:unhideWhenUsed/>
    <w:rsid w:val="00064F30"/>
    <w:pPr>
      <w:spacing w:after="120" w:line="360" w:lineRule="auto"/>
      <w:ind w:left="283"/>
      <w:jc w:val="both"/>
    </w:pPr>
    <w:rPr>
      <w:rFonts w:ascii="Times New Roman" w:hAnsi="Times New Roman"/>
      <w:sz w:val="24"/>
    </w:rPr>
  </w:style>
  <w:style w:type="paragraph" w:customStyle="1" w:styleId="12">
    <w:name w:val="1"/>
    <w:basedOn w:val="a"/>
    <w:next w:val="af9"/>
    <w:qFormat/>
    <w:rsid w:val="005E327B"/>
    <w:pPr>
      <w:spacing w:before="120" w:after="60" w:line="240" w:lineRule="auto"/>
      <w:ind w:firstLine="567"/>
      <w:jc w:val="center"/>
    </w:pPr>
    <w:rPr>
      <w:rFonts w:ascii="Times New Roman" w:eastAsia="Times New Roman" w:hAnsi="Times New Roman" w:cs="Times New Roman"/>
      <w:b/>
      <w:sz w:val="24"/>
      <w:szCs w:val="24"/>
    </w:rPr>
  </w:style>
  <w:style w:type="paragraph" w:customStyle="1" w:styleId="Normal">
    <w:name w:val="Normal Знак"/>
    <w:semiHidden/>
    <w:rsid w:val="00153E07"/>
    <w:pPr>
      <w:spacing w:after="0" w:line="240" w:lineRule="auto"/>
    </w:pPr>
    <w:rPr>
      <w:rFonts w:ascii="Times New Roman" w:eastAsia="Times New Roman" w:hAnsi="Times New Roman" w:cs="Times New Roman"/>
      <w:szCs w:val="24"/>
    </w:rPr>
  </w:style>
  <w:style w:type="paragraph" w:customStyle="1" w:styleId="font5">
    <w:name w:val="font5"/>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6">
    <w:name w:val="font6"/>
    <w:basedOn w:val="a"/>
    <w:rsid w:val="00153E07"/>
    <w:pPr>
      <w:spacing w:before="100" w:beforeAutospacing="1" w:after="100" w:afterAutospacing="1" w:line="240" w:lineRule="auto"/>
    </w:pPr>
    <w:rPr>
      <w:rFonts w:ascii="Times New Roman" w:eastAsia="Times New Roman" w:hAnsi="Times New Roman" w:cs="Times New Roman"/>
      <w:i/>
      <w:iCs/>
      <w:color w:val="000000"/>
    </w:rPr>
  </w:style>
  <w:style w:type="paragraph" w:customStyle="1" w:styleId="font7">
    <w:name w:val="font7"/>
    <w:basedOn w:val="a"/>
    <w:rsid w:val="00153E07"/>
    <w:pPr>
      <w:spacing w:before="100" w:beforeAutospacing="1" w:after="100" w:afterAutospacing="1" w:line="240" w:lineRule="auto"/>
    </w:pPr>
    <w:rPr>
      <w:rFonts w:ascii="Times New Roman" w:eastAsia="Times New Roman" w:hAnsi="Times New Roman" w:cs="Times New Roman"/>
      <w:color w:val="000000"/>
    </w:rPr>
  </w:style>
  <w:style w:type="paragraph" w:customStyle="1" w:styleId="font8">
    <w:name w:val="font8"/>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9">
    <w:name w:val="font9"/>
    <w:basedOn w:val="a"/>
    <w:rsid w:val="00153E0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10">
    <w:name w:val="font10"/>
    <w:basedOn w:val="a"/>
    <w:rsid w:val="00153E07"/>
    <w:pPr>
      <w:spacing w:before="100" w:beforeAutospacing="1" w:after="100" w:afterAutospacing="1" w:line="240" w:lineRule="auto"/>
    </w:pPr>
    <w:rPr>
      <w:rFonts w:ascii="Times New Roman" w:eastAsia="Times New Roman" w:hAnsi="Times New Roman" w:cs="Times New Roman"/>
      <w:color w:val="000000"/>
      <w:sz w:val="28"/>
      <w:szCs w:val="28"/>
    </w:rPr>
  </w:style>
  <w:style w:type="paragraph" w:customStyle="1" w:styleId="font11">
    <w:name w:val="font11"/>
    <w:basedOn w:val="a"/>
    <w:rsid w:val="00153E07"/>
    <w:pPr>
      <w:spacing w:before="100" w:beforeAutospacing="1" w:after="100" w:afterAutospacing="1" w:line="240" w:lineRule="auto"/>
    </w:pPr>
    <w:rPr>
      <w:rFonts w:ascii="Times New Roman" w:eastAsia="Times New Roman" w:hAnsi="Times New Roman" w:cs="Times New Roman"/>
      <w:color w:val="002060"/>
      <w:sz w:val="24"/>
      <w:szCs w:val="24"/>
    </w:rPr>
  </w:style>
  <w:style w:type="paragraph" w:customStyle="1" w:styleId="xl63">
    <w:name w:val="xl63"/>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4">
    <w:name w:val="xl64"/>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
    <w:rsid w:val="00153E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a"/>
    <w:rsid w:val="00153E0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a"/>
    <w:rsid w:val="00153E0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1">
    <w:name w:val="xl71"/>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a"/>
    <w:rsid w:val="00153E0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4">
    <w:name w:val="xl74"/>
    <w:basedOn w:val="a"/>
    <w:rsid w:val="00153E0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4"/>
      <w:szCs w:val="24"/>
    </w:rPr>
  </w:style>
  <w:style w:type="paragraph" w:customStyle="1" w:styleId="xl76">
    <w:name w:val="xl76"/>
    <w:basedOn w:val="a"/>
    <w:rsid w:val="00153E0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
    <w:rsid w:val="00153E0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0">
    <w:name w:val="xl80"/>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a"/>
    <w:rsid w:val="00153E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2">
    <w:name w:val="xl82"/>
    <w:basedOn w:val="a"/>
    <w:rsid w:val="00153E0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ConsPlusTitle">
    <w:name w:val="ConsPlusTitle"/>
    <w:uiPriority w:val="99"/>
    <w:rsid w:val="00153E07"/>
    <w:pPr>
      <w:widowControl w:val="0"/>
      <w:autoSpaceDE w:val="0"/>
      <w:autoSpaceDN w:val="0"/>
      <w:adjustRightInd w:val="0"/>
      <w:spacing w:after="0" w:line="240" w:lineRule="auto"/>
    </w:pPr>
    <w:rPr>
      <w:rFonts w:ascii="Arial" w:hAnsi="Arial" w:cs="Arial"/>
      <w:b/>
      <w:bCs/>
      <w:sz w:val="16"/>
      <w:szCs w:val="16"/>
    </w:rPr>
  </w:style>
</w:styles>
</file>

<file path=word/webSettings.xml><?xml version="1.0" encoding="utf-8"?>
<w:webSettings xmlns:r="http://schemas.openxmlformats.org/officeDocument/2006/relationships" xmlns:w="http://schemas.openxmlformats.org/wordprocessingml/2006/main">
  <w:divs>
    <w:div w:id="252475366">
      <w:bodyDiv w:val="1"/>
      <w:marLeft w:val="0"/>
      <w:marRight w:val="0"/>
      <w:marTop w:val="0"/>
      <w:marBottom w:val="0"/>
      <w:divBdr>
        <w:top w:val="none" w:sz="0" w:space="0" w:color="auto"/>
        <w:left w:val="none" w:sz="0" w:space="0" w:color="auto"/>
        <w:bottom w:val="none" w:sz="0" w:space="0" w:color="auto"/>
        <w:right w:val="none" w:sz="0" w:space="0" w:color="auto"/>
      </w:divBdr>
    </w:div>
    <w:div w:id="529800029">
      <w:bodyDiv w:val="1"/>
      <w:marLeft w:val="0"/>
      <w:marRight w:val="0"/>
      <w:marTop w:val="0"/>
      <w:marBottom w:val="0"/>
      <w:divBdr>
        <w:top w:val="none" w:sz="0" w:space="0" w:color="auto"/>
        <w:left w:val="none" w:sz="0" w:space="0" w:color="auto"/>
        <w:bottom w:val="none" w:sz="0" w:space="0" w:color="auto"/>
        <w:right w:val="none" w:sz="0" w:space="0" w:color="auto"/>
      </w:divBdr>
    </w:div>
    <w:div w:id="1345326197">
      <w:bodyDiv w:val="1"/>
      <w:marLeft w:val="0"/>
      <w:marRight w:val="0"/>
      <w:marTop w:val="0"/>
      <w:marBottom w:val="0"/>
      <w:divBdr>
        <w:top w:val="none" w:sz="0" w:space="0" w:color="auto"/>
        <w:left w:val="none" w:sz="0" w:space="0" w:color="auto"/>
        <w:bottom w:val="none" w:sz="0" w:space="0" w:color="auto"/>
        <w:right w:val="none" w:sz="0" w:space="0" w:color="auto"/>
      </w:divBdr>
    </w:div>
    <w:div w:id="1401638943">
      <w:bodyDiv w:val="1"/>
      <w:marLeft w:val="0"/>
      <w:marRight w:val="0"/>
      <w:marTop w:val="0"/>
      <w:marBottom w:val="0"/>
      <w:divBdr>
        <w:top w:val="none" w:sz="0" w:space="0" w:color="auto"/>
        <w:left w:val="none" w:sz="0" w:space="0" w:color="auto"/>
        <w:bottom w:val="none" w:sz="0" w:space="0" w:color="auto"/>
        <w:right w:val="none" w:sz="0" w:space="0" w:color="auto"/>
      </w:divBdr>
    </w:div>
    <w:div w:id="1419015254">
      <w:bodyDiv w:val="1"/>
      <w:marLeft w:val="0"/>
      <w:marRight w:val="0"/>
      <w:marTop w:val="0"/>
      <w:marBottom w:val="0"/>
      <w:divBdr>
        <w:top w:val="none" w:sz="0" w:space="0" w:color="auto"/>
        <w:left w:val="none" w:sz="0" w:space="0" w:color="auto"/>
        <w:bottom w:val="none" w:sz="0" w:space="0" w:color="auto"/>
        <w:right w:val="none" w:sz="0" w:space="0" w:color="auto"/>
      </w:divBdr>
    </w:div>
    <w:div w:id="1592008564">
      <w:bodyDiv w:val="1"/>
      <w:marLeft w:val="0"/>
      <w:marRight w:val="0"/>
      <w:marTop w:val="0"/>
      <w:marBottom w:val="0"/>
      <w:divBdr>
        <w:top w:val="none" w:sz="0" w:space="0" w:color="auto"/>
        <w:left w:val="none" w:sz="0" w:space="0" w:color="auto"/>
        <w:bottom w:val="none" w:sz="0" w:space="0" w:color="auto"/>
        <w:right w:val="none" w:sz="0" w:space="0" w:color="auto"/>
      </w:divBdr>
    </w:div>
    <w:div w:id="1672098652">
      <w:bodyDiv w:val="1"/>
      <w:marLeft w:val="0"/>
      <w:marRight w:val="0"/>
      <w:marTop w:val="0"/>
      <w:marBottom w:val="0"/>
      <w:divBdr>
        <w:top w:val="none" w:sz="0" w:space="0" w:color="auto"/>
        <w:left w:val="none" w:sz="0" w:space="0" w:color="auto"/>
        <w:bottom w:val="none" w:sz="0" w:space="0" w:color="auto"/>
        <w:right w:val="none" w:sz="0" w:space="0" w:color="auto"/>
      </w:divBdr>
    </w:div>
    <w:div w:id="1692536449">
      <w:bodyDiv w:val="1"/>
      <w:marLeft w:val="0"/>
      <w:marRight w:val="0"/>
      <w:marTop w:val="0"/>
      <w:marBottom w:val="0"/>
      <w:divBdr>
        <w:top w:val="none" w:sz="0" w:space="0" w:color="auto"/>
        <w:left w:val="none" w:sz="0" w:space="0" w:color="auto"/>
        <w:bottom w:val="none" w:sz="0" w:space="0" w:color="auto"/>
        <w:right w:val="none" w:sz="0" w:space="0" w:color="auto"/>
      </w:divBdr>
    </w:div>
    <w:div w:id="1695763994">
      <w:bodyDiv w:val="1"/>
      <w:marLeft w:val="0"/>
      <w:marRight w:val="0"/>
      <w:marTop w:val="0"/>
      <w:marBottom w:val="0"/>
      <w:divBdr>
        <w:top w:val="none" w:sz="0" w:space="0" w:color="auto"/>
        <w:left w:val="none" w:sz="0" w:space="0" w:color="auto"/>
        <w:bottom w:val="none" w:sz="0" w:space="0" w:color="auto"/>
        <w:right w:val="none" w:sz="0" w:space="0" w:color="auto"/>
      </w:divBdr>
    </w:div>
    <w:div w:id="1878463384">
      <w:bodyDiv w:val="1"/>
      <w:marLeft w:val="0"/>
      <w:marRight w:val="0"/>
      <w:marTop w:val="0"/>
      <w:marBottom w:val="0"/>
      <w:divBdr>
        <w:top w:val="none" w:sz="0" w:space="0" w:color="auto"/>
        <w:left w:val="none" w:sz="0" w:space="0" w:color="auto"/>
        <w:bottom w:val="none" w:sz="0" w:space="0" w:color="auto"/>
        <w:right w:val="none" w:sz="0" w:space="0" w:color="auto"/>
      </w:divBdr>
    </w:div>
    <w:div w:id="2071339641">
      <w:bodyDiv w:val="1"/>
      <w:marLeft w:val="0"/>
      <w:marRight w:val="0"/>
      <w:marTop w:val="0"/>
      <w:marBottom w:val="0"/>
      <w:divBdr>
        <w:top w:val="none" w:sz="0" w:space="0" w:color="auto"/>
        <w:left w:val="none" w:sz="0" w:space="0" w:color="auto"/>
        <w:bottom w:val="none" w:sz="0" w:space="0" w:color="auto"/>
        <w:right w:val="none" w:sz="0" w:space="0" w:color="auto"/>
      </w:divBdr>
    </w:div>
    <w:div w:id="2106266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117" Type="http://schemas.openxmlformats.org/officeDocument/2006/relationships/chart" Target="charts/chart86.xml"/><Relationship Id="rId21" Type="http://schemas.openxmlformats.org/officeDocument/2006/relationships/chart" Target="charts/chart11.xml"/><Relationship Id="rId42" Type="http://schemas.openxmlformats.org/officeDocument/2006/relationships/chart" Target="charts/chart32.xml"/><Relationship Id="rId47" Type="http://schemas.openxmlformats.org/officeDocument/2006/relationships/chart" Target="charts/chart37.xml"/><Relationship Id="rId63" Type="http://schemas.openxmlformats.org/officeDocument/2006/relationships/package" Target="embeddings/_____Microsoft_Office_Excel2.xlsx"/><Relationship Id="rId68" Type="http://schemas.openxmlformats.org/officeDocument/2006/relationships/chart" Target="charts/chart56.xml"/><Relationship Id="rId84" Type="http://schemas.openxmlformats.org/officeDocument/2006/relationships/chart" Target="charts/chart70.xml"/><Relationship Id="rId89" Type="http://schemas.openxmlformats.org/officeDocument/2006/relationships/chart" Target="charts/chart75.xml"/><Relationship Id="rId112" Type="http://schemas.openxmlformats.org/officeDocument/2006/relationships/oleObject" Target="embeddings/oleObject4.bin"/><Relationship Id="rId133" Type="http://schemas.openxmlformats.org/officeDocument/2006/relationships/chart" Target="charts/chart102.xml"/><Relationship Id="rId138" Type="http://schemas.microsoft.com/office/2007/relationships/diagramDrawing" Target="diagrams/drawing1.xml"/><Relationship Id="rId16" Type="http://schemas.openxmlformats.org/officeDocument/2006/relationships/chart" Target="charts/chart6.xml"/><Relationship Id="rId107" Type="http://schemas.openxmlformats.org/officeDocument/2006/relationships/image" Target="media/image5.wmf"/><Relationship Id="rId11" Type="http://schemas.openxmlformats.org/officeDocument/2006/relationships/chart" Target="charts/chart3.xml"/><Relationship Id="rId32" Type="http://schemas.openxmlformats.org/officeDocument/2006/relationships/chart" Target="charts/chart22.xml"/><Relationship Id="rId37" Type="http://schemas.openxmlformats.org/officeDocument/2006/relationships/chart" Target="charts/chart27.xml"/><Relationship Id="rId53" Type="http://schemas.openxmlformats.org/officeDocument/2006/relationships/chart" Target="charts/chart43.xml"/><Relationship Id="rId58" Type="http://schemas.openxmlformats.org/officeDocument/2006/relationships/chart" Target="charts/chart48.xml"/><Relationship Id="rId74" Type="http://schemas.openxmlformats.org/officeDocument/2006/relationships/chart" Target="charts/chart61.xml"/><Relationship Id="rId79" Type="http://schemas.openxmlformats.org/officeDocument/2006/relationships/chart" Target="charts/chart66.xml"/><Relationship Id="rId102" Type="http://schemas.openxmlformats.org/officeDocument/2006/relationships/chart" Target="charts/chart82.xml"/><Relationship Id="rId123" Type="http://schemas.openxmlformats.org/officeDocument/2006/relationships/chart" Target="charts/chart92.xml"/><Relationship Id="rId128" Type="http://schemas.openxmlformats.org/officeDocument/2006/relationships/chart" Target="charts/chart97.xml"/><Relationship Id="rId5" Type="http://schemas.openxmlformats.org/officeDocument/2006/relationships/webSettings" Target="webSettings.xml"/><Relationship Id="rId90" Type="http://schemas.openxmlformats.org/officeDocument/2006/relationships/chart" Target="charts/chart76.xml"/><Relationship Id="rId95" Type="http://schemas.openxmlformats.org/officeDocument/2006/relationships/footer" Target="footer4.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3.xml"/><Relationship Id="rId48" Type="http://schemas.openxmlformats.org/officeDocument/2006/relationships/chart" Target="charts/chart38.xml"/><Relationship Id="rId56" Type="http://schemas.openxmlformats.org/officeDocument/2006/relationships/chart" Target="charts/chart46.xml"/><Relationship Id="rId64" Type="http://schemas.openxmlformats.org/officeDocument/2006/relationships/chart" Target="charts/chart52.xml"/><Relationship Id="rId69" Type="http://schemas.openxmlformats.org/officeDocument/2006/relationships/chart" Target="charts/chart57.xml"/><Relationship Id="rId77" Type="http://schemas.openxmlformats.org/officeDocument/2006/relationships/chart" Target="charts/chart64.xml"/><Relationship Id="rId100" Type="http://schemas.openxmlformats.org/officeDocument/2006/relationships/chart" Target="charts/chart80.xml"/><Relationship Id="rId105" Type="http://schemas.openxmlformats.org/officeDocument/2006/relationships/image" Target="media/image4.wmf"/><Relationship Id="rId113" Type="http://schemas.openxmlformats.org/officeDocument/2006/relationships/hyperlink" Target="file:///C:\Users\Ilsiar1\Desktop\17%20&#1072;&#1074;&#1075;&#1091;&#1089;&#1090;&#1072;%202016\&#1079;&#1072;&#1082;&#1091;&#1087;&#1082;&#1080;\2017\&#1079;&#1072;&#1082;&#1091;&#1087;&#1082;&#1080;\4%20&#1053;&#1048;&#1056;%20&#1057;&#1090;&#1088;&#1072;&#1090;&#1077;&#1075;&#1080;&#1103;\&#1086;&#1084;&#1079;\4%20&#1090;&#1079;.docx" TargetMode="External"/><Relationship Id="rId118" Type="http://schemas.openxmlformats.org/officeDocument/2006/relationships/chart" Target="charts/chart87.xml"/><Relationship Id="rId126" Type="http://schemas.openxmlformats.org/officeDocument/2006/relationships/chart" Target="charts/chart95.xml"/><Relationship Id="rId13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hart" Target="charts/chart41.xml"/><Relationship Id="rId72" Type="http://schemas.openxmlformats.org/officeDocument/2006/relationships/chart" Target="charts/chart59.xml"/><Relationship Id="rId80" Type="http://schemas.openxmlformats.org/officeDocument/2006/relationships/chart" Target="charts/chart67.xml"/><Relationship Id="rId85" Type="http://schemas.openxmlformats.org/officeDocument/2006/relationships/chart" Target="charts/chart71.xml"/><Relationship Id="rId93" Type="http://schemas.openxmlformats.org/officeDocument/2006/relationships/chart" Target="charts/chart79.xml"/><Relationship Id="rId98" Type="http://schemas.openxmlformats.org/officeDocument/2006/relationships/diagramQuickStyle" Target="diagrams/quickStyle1.xml"/><Relationship Id="rId121" Type="http://schemas.openxmlformats.org/officeDocument/2006/relationships/chart" Target="charts/chart90.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6.xml"/><Relationship Id="rId59" Type="http://schemas.openxmlformats.org/officeDocument/2006/relationships/chart" Target="charts/chart49.xml"/><Relationship Id="rId67" Type="http://schemas.openxmlformats.org/officeDocument/2006/relationships/chart" Target="charts/chart55.xml"/><Relationship Id="rId103" Type="http://schemas.openxmlformats.org/officeDocument/2006/relationships/chart" Target="charts/chart83.xml"/><Relationship Id="rId108" Type="http://schemas.openxmlformats.org/officeDocument/2006/relationships/oleObject" Target="embeddings/oleObject2.bin"/><Relationship Id="rId116" Type="http://schemas.openxmlformats.org/officeDocument/2006/relationships/chart" Target="charts/chart85.xml"/><Relationship Id="rId124" Type="http://schemas.openxmlformats.org/officeDocument/2006/relationships/chart" Target="charts/chart93.xml"/><Relationship Id="rId129" Type="http://schemas.openxmlformats.org/officeDocument/2006/relationships/chart" Target="charts/chart98.xml"/><Relationship Id="rId137" Type="http://schemas.openxmlformats.org/officeDocument/2006/relationships/theme" Target="theme/theme1.xml"/><Relationship Id="rId20" Type="http://schemas.openxmlformats.org/officeDocument/2006/relationships/chart" Target="charts/chart10.xml"/><Relationship Id="rId41" Type="http://schemas.openxmlformats.org/officeDocument/2006/relationships/chart" Target="charts/chart31.xml"/><Relationship Id="rId54" Type="http://schemas.openxmlformats.org/officeDocument/2006/relationships/chart" Target="charts/chart44.xml"/><Relationship Id="rId62" Type="http://schemas.openxmlformats.org/officeDocument/2006/relationships/image" Target="media/image3.emf"/><Relationship Id="rId70" Type="http://schemas.openxmlformats.org/officeDocument/2006/relationships/footer" Target="footer1.xml"/><Relationship Id="rId75" Type="http://schemas.openxmlformats.org/officeDocument/2006/relationships/chart" Target="charts/chart62.xml"/><Relationship Id="rId83" Type="http://schemas.openxmlformats.org/officeDocument/2006/relationships/chart" Target="charts/chart69.xml"/><Relationship Id="rId88" Type="http://schemas.openxmlformats.org/officeDocument/2006/relationships/chart" Target="charts/chart74.xml"/><Relationship Id="rId91" Type="http://schemas.openxmlformats.org/officeDocument/2006/relationships/chart" Target="charts/chart77.xml"/><Relationship Id="rId96" Type="http://schemas.openxmlformats.org/officeDocument/2006/relationships/diagramData" Target="diagrams/data1.xml"/><Relationship Id="rId111" Type="http://schemas.openxmlformats.org/officeDocument/2006/relationships/image" Target="media/image7.wmf"/><Relationship Id="rId132" Type="http://schemas.openxmlformats.org/officeDocument/2006/relationships/chart" Target="charts/chart10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9.xml"/><Relationship Id="rId57" Type="http://schemas.openxmlformats.org/officeDocument/2006/relationships/chart" Target="charts/chart47.xml"/><Relationship Id="rId106" Type="http://schemas.openxmlformats.org/officeDocument/2006/relationships/oleObject" Target="embeddings/oleObject1.bin"/><Relationship Id="rId114" Type="http://schemas.openxmlformats.org/officeDocument/2006/relationships/hyperlink" Target="file:///C:\Users\Ilsiar1\Desktop\17%20&#1072;&#1074;&#1075;&#1091;&#1089;&#1090;&#1072;%202016\&#1079;&#1072;&#1082;&#1091;&#1087;&#1082;&#1080;\2017\&#1079;&#1072;&#1082;&#1091;&#1087;&#1082;&#1080;\4%20&#1053;&#1048;&#1056;%20&#1057;&#1090;&#1088;&#1072;&#1090;&#1077;&#1075;&#1080;&#1103;\&#1086;&#1084;&#1079;\4%20&#1090;&#1079;.docx" TargetMode="External"/><Relationship Id="rId119" Type="http://schemas.openxmlformats.org/officeDocument/2006/relationships/chart" Target="charts/chart88.xml"/><Relationship Id="rId127" Type="http://schemas.openxmlformats.org/officeDocument/2006/relationships/chart" Target="charts/chart96.xml"/><Relationship Id="rId10" Type="http://schemas.openxmlformats.org/officeDocument/2006/relationships/chart" Target="charts/chart2.xml"/><Relationship Id="rId31" Type="http://schemas.openxmlformats.org/officeDocument/2006/relationships/chart" Target="charts/chart21.xml"/><Relationship Id="rId44" Type="http://schemas.openxmlformats.org/officeDocument/2006/relationships/chart" Target="charts/chart34.xml"/><Relationship Id="rId52" Type="http://schemas.openxmlformats.org/officeDocument/2006/relationships/chart" Target="charts/chart42.xml"/><Relationship Id="rId60" Type="http://schemas.openxmlformats.org/officeDocument/2006/relationships/chart" Target="charts/chart50.xml"/><Relationship Id="rId65" Type="http://schemas.openxmlformats.org/officeDocument/2006/relationships/chart" Target="charts/chart53.xml"/><Relationship Id="rId73" Type="http://schemas.openxmlformats.org/officeDocument/2006/relationships/chart" Target="charts/chart60.xml"/><Relationship Id="rId78" Type="http://schemas.openxmlformats.org/officeDocument/2006/relationships/chart" Target="charts/chart65.xml"/><Relationship Id="rId81" Type="http://schemas.openxmlformats.org/officeDocument/2006/relationships/chart" Target="charts/chart68.xml"/><Relationship Id="rId86" Type="http://schemas.openxmlformats.org/officeDocument/2006/relationships/chart" Target="charts/chart72.xml"/><Relationship Id="rId94" Type="http://schemas.openxmlformats.org/officeDocument/2006/relationships/footer" Target="footer3.xml"/><Relationship Id="rId99" Type="http://schemas.openxmlformats.org/officeDocument/2006/relationships/diagramColors" Target="diagrams/colors1.xml"/><Relationship Id="rId101" Type="http://schemas.openxmlformats.org/officeDocument/2006/relationships/chart" Target="charts/chart81.xml"/><Relationship Id="rId122" Type="http://schemas.openxmlformats.org/officeDocument/2006/relationships/chart" Target="charts/chart91.xml"/><Relationship Id="rId130" Type="http://schemas.openxmlformats.org/officeDocument/2006/relationships/chart" Target="charts/chart99.xml"/><Relationship Id="rId13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package" Target="embeddings/_____Microsoft_Office_Excel1.xlsx"/><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image" Target="media/image6.wmf"/><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3.xml"/><Relationship Id="rId97" Type="http://schemas.openxmlformats.org/officeDocument/2006/relationships/diagramLayout" Target="diagrams/layout1.xml"/><Relationship Id="rId104" Type="http://schemas.openxmlformats.org/officeDocument/2006/relationships/hyperlink" Target="file:///C:\Documents%20and%20Settings\user\&#1056;&#1072;&#1073;&#1086;&#1095;&#1080;&#1081;%20&#1089;&#1090;&#1086;&#1083;\1_&#1082;%20&#1057;&#1069;&#1056;.docx" TargetMode="External"/><Relationship Id="rId120" Type="http://schemas.openxmlformats.org/officeDocument/2006/relationships/chart" Target="charts/chart89.xml"/><Relationship Id="rId125" Type="http://schemas.openxmlformats.org/officeDocument/2006/relationships/chart" Target="charts/chart94.xm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chart" Target="charts/chart78.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4.xml"/><Relationship Id="rId87" Type="http://schemas.openxmlformats.org/officeDocument/2006/relationships/chart" Target="charts/chart73.xml"/><Relationship Id="rId110" Type="http://schemas.openxmlformats.org/officeDocument/2006/relationships/oleObject" Target="embeddings/oleObject3.bin"/><Relationship Id="rId115" Type="http://schemas.openxmlformats.org/officeDocument/2006/relationships/chart" Target="charts/chart84.xml"/><Relationship Id="rId131" Type="http://schemas.openxmlformats.org/officeDocument/2006/relationships/chart" Target="charts/chart100.xml"/><Relationship Id="rId136" Type="http://schemas.openxmlformats.org/officeDocument/2006/relationships/fontTable" Target="fontTable.xml"/><Relationship Id="rId61" Type="http://schemas.openxmlformats.org/officeDocument/2006/relationships/chart" Target="charts/chart51.xml"/><Relationship Id="rId82" Type="http://schemas.openxmlformats.org/officeDocument/2006/relationships/footer" Target="footer2.xml"/><Relationship Id="rId19" Type="http://schemas.openxmlformats.org/officeDocument/2006/relationships/chart" Target="charts/chart9.xml"/></Relationships>
</file>

<file path=word/charts/_rels/chart1.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00.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01.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02.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79;&#1072;&#1073;&#1086;&#1083;&#1077;&#1074;&#1072;&#1085;&#1080;&#1103;%20&#1085;&#1072;&#1089;&#1077;&#1083;&#1077;&#1085;&#1080;&#110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G:\&#1055;&#1077;&#1088;&#1084;&#1100;,%20&#1041;&#1072;&#1088;&#1076;&#1099;\&#1055;&#1088;&#1086;&#1075;&#1085;&#1086;&#1079;%20&#1088;&#1072;&#1079;&#1074;&#1080;&#1090;&#1080;&#1103;%20&#1041;&#1072;&#1088;&#1076;&#1099;%2021.08.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K:\&#1055;&#1077;&#1088;&#1084;&#1100;,%20&#1041;&#1072;&#1088;&#1076;&#1099;\&#1057;&#1086;&#1094;-&#1101;&#1082;&#1086;&#1085;.%20&#1087;&#1086;&#1082;&#1072;&#1079;&#1072;&#1090;&#1077;&#1083;&#1080;%2015.09.2017.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1041;&#1072;&#1088;&#1076;&#1099;%20&#1076;&#1077;&#1084;&#1086;&#1075;&#1088;&#1072;&#1092;&#1080;&#1103;.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G:\&#1055;&#1077;&#1088;&#1084;&#1100;,%20&#1041;&#1072;&#1088;&#1076;&#1099;\&#1044;&#1072;&#1085;&#1085;&#1099;&#1077;\&#1060;&#1080;&#1085;&#1072;&#1085;&#1089;&#1086;&#1074;&#1072;&#1103;%20&#1076;&#1077;&#1103;&#1090;&#1077;&#1083;&#1100;&#1085;&#1086;&#1089;&#1090;&#1100;.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K:\&#1055;&#1077;&#1088;&#1084;&#1100;,%20&#1041;&#1072;&#1088;&#1076;&#1099;\&#1057;&#1086;&#1094;-&#1101;&#1082;&#1086;&#1085;.%20&#1087;&#1086;&#1082;&#1072;&#1079;&#1072;&#1090;&#1077;&#1083;&#1080;%2015.09.2017.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G:\&#1055;&#1077;&#1088;&#1084;&#1100;,%20&#1041;&#1072;&#1088;&#1076;&#1099;\&#1076;&#1086;&#1093;&#1086;&#1076;&#1099;%20&#1050;&#1041;%202006-2017.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G:\&#1055;&#1077;&#1088;&#1084;&#1100;,%20&#1041;&#1072;&#1088;&#1076;&#1099;\&#1076;&#1086;&#1093;&#1086;&#1076;&#1099;%20&#1050;&#1041;%202006-2017.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1045;&#1083;&#1077;&#1085;&#1072;\Desktop\&#1041;&#1072;&#1088;&#1076;&#1099;\&#1058;&#1072;&#1073;&#1083;&#1080;&#1094;&#1099;\Nf,kbws.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H:\&#1055;&#1077;&#1088;&#1084;&#1100;,%20&#1041;&#1072;&#1088;&#1076;&#1099;\&#1042;&#1072;&#1088;&#1080;&#1072;&#1085;&#1090;&#1099;%20&#1088;&#1072;&#1073;&#1086;&#1090;&#1099;\&#1041;&#1102;&#1076;&#1078;&#1077;&#1090;&#1041;&#1072;&#1088;&#1076;&#1072;.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K:\&#1055;&#1077;&#1088;&#1084;&#1100;,%20&#1041;&#1072;&#1088;&#1076;&#1099;\&#1042;&#1072;&#1088;&#1080;&#1072;&#1085;&#1090;&#1099;%20&#1088;&#1072;&#1073;&#1086;&#1090;&#1099;\&#1041;&#1102;&#1076;&#1078;&#1077;&#1090;&#1041;&#1072;&#1088;&#1076;&#1072;.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K:\&#1055;&#1077;&#1088;&#1084;&#1100;,%20&#1041;&#1072;&#1088;&#1076;&#1099;\&#1042;&#1072;&#1088;&#1080;&#1072;&#1085;&#1090;&#1099;%20&#1088;&#1072;&#1073;&#1086;&#1090;&#1099;\&#1041;&#1102;&#1076;&#1078;&#1077;&#1090;&#1041;&#1072;&#1088;&#1076;&#1072;.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1045;&#1083;&#1077;&#1085;&#1072;\Desktop\&#1041;&#1072;&#1088;&#1076;&#1099;\&#1041;&#1102;&#1076;&#1078;&#1077;&#1090;&#1041;&#1072;&#1088;&#1076;&#1072;.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1055;&#1086;&#1083;&#1100;&#1079;&#1086;&#1074;&#1072;&#1090;&#1077;&#1083;&#1100;\AppData\Roaming\Microsoft\Excel\Report%20(34)%20(version%202).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Report%20(34)%20(&#1042;&#1086;&#1089;&#1089;&#1090;&#1072;&#1085;&#1086;&#1074;&#1083;&#1077;&#1085;&#1085;&#1099;&#1081;).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87;&#1088;&#1086;&#1077;&#1082;&#1090;&#1099;\&#1041;&#1072;&#1088;&#1076;&#1099;\Report%20(34)%20(&#1042;&#1086;&#1089;&#1089;&#1090;&#1072;&#1085;&#1086;&#1074;&#1083;&#1077;&#1085;&#1085;&#1099;&#1081;).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G:\&#1055;&#1077;&#1088;&#1084;&#1100;,%20&#1041;&#1072;&#1088;&#1076;&#1099;\&#1057;&#1086;&#1094;-&#1101;&#1082;&#1086;&#1085;.%20&#1087;&#1086;&#1082;&#1072;&#1079;&#1072;&#1090;&#1077;&#1083;&#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55;&#1086;&#1083;&#1100;&#1079;&#1086;&#1074;&#1072;&#1090;&#1077;&#1083;&#1100;\Desktop\&#1041;&#1072;&#1088;&#1076;&#1099;\&#1041;&#1072;&#1088;&#1076;&#1099;%20&#1076;&#1077;&#1084;&#1086;&#1075;&#1088;&#1072;&#1092;&#1080;&#1103;.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3.xml.rels><?xml version="1.0" encoding="UTF-8" standalone="yes"?>
<Relationships xmlns="http://schemas.openxmlformats.org/package/2006/relationships"><Relationship Id="rId1" Type="http://schemas.openxmlformats.org/officeDocument/2006/relationships/oleObject" Target="file:///C:\Users\TenSilon\Desktop\&#1055;&#1077;&#1088;&#1084;&#1100;,%20&#1041;&#1072;&#1088;&#1076;&#1099;\&#1042;&#1072;&#1088;&#1080;&#1072;&#1085;&#1090;&#1099;%20&#1088;&#1072;&#1073;&#1086;&#1090;&#1099;\3.6.xlsx" TargetMode="External"/></Relationships>
</file>

<file path=word/charts/_rels/chart84.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5.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6.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7.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8.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89.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0;&#1089;&#1077;&#1085;&#1080;&#1103;\Desktop\&#1090;&#1077;&#1085;&#1089;&#1080;&#1083;&#1086;&#1085;\&#1041;&#1072;&#1088;&#1076;&#1099;\&#1041;&#1072;&#1088;&#1076;&#1072;.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K:\&#1055;&#1077;&#1088;&#1084;&#1100;,%20&#1041;&#1072;&#1088;&#1076;&#1099;\&#1044;&#1072;&#1085;&#1085;&#1099;&#1077;\&#1041;&#1102;&#1076;&#1078;&#1077;&#1090;%20&#1089;&#1077;&#1083;&#1100;&#1089;&#1082;&#1093;%20&#1087;&#1086;&#1089;&#1077;&#1083;&#1077;&#1085;&#1080;&#1081;.xlsx" TargetMode="External"/></Relationships>
</file>

<file path=word/charts/_rels/chart91.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2.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3.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4.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5.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6.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7.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8.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_rels/chart99.xml.rels><?xml version="1.0" encoding="UTF-8" standalone="yes"?>
<Relationships xmlns="http://schemas.openxmlformats.org/package/2006/relationships"><Relationship Id="rId2" Type="http://schemas.openxmlformats.org/officeDocument/2006/relationships/oleObject" Target="file:///K:\&#1055;&#1077;&#1088;&#1084;&#1100;,%20&#1041;&#1072;&#1088;&#1076;&#1099;\&#1044;&#1072;&#1085;&#1085;&#1099;&#1077;\&#1041;&#1102;&#1076;&#1078;&#1077;&#1090;%20&#1089;&#1077;&#1083;&#1100;&#1089;&#1082;&#1093;%20&#1087;&#1086;&#1089;&#1077;&#1083;&#1077;&#1085;&#1080;&#1081;.xlsx" TargetMode="External"/><Relationship Id="rId1" Type="http://schemas.openxmlformats.org/officeDocument/2006/relationships/image" Target="../media/image8.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otX val="30"/>
      <c:rotY val="37"/>
      <c:perspective val="30"/>
    </c:view3D>
    <c:plotArea>
      <c:layout/>
      <c:pie3DChart>
        <c:varyColors val="1"/>
        <c:ser>
          <c:idx val="0"/>
          <c:order val="0"/>
          <c:dLbls>
            <c:dLbl>
              <c:idx val="3"/>
              <c:layout>
                <c:manualLayout>
                  <c:x val="1.4667389492536787E-3"/>
                  <c:y val="0.14935236439269794"/>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2F3-4E1F-9134-5319D9EE60EF}"/>
                </c:ext>
              </c:extLst>
            </c:dLbl>
            <c:spPr>
              <a:noFill/>
              <a:ln>
                <a:noFill/>
              </a:ln>
              <a:effectLst/>
            </c:spPr>
            <c:txPr>
              <a:bodyPr/>
              <a:lstStyle/>
              <a:p>
                <a:pPr>
                  <a:defRPr sz="900" baseline="0">
                    <a:latin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'Плотность населения'!$A$5:$A$16</c:f>
              <c:strCache>
                <c:ptCount val="12"/>
                <c:pt idx="0">
                  <c:v>Бардымское сельское поселение</c:v>
                </c:pt>
                <c:pt idx="1">
                  <c:v>Красноярское сельское поселение</c:v>
                </c:pt>
                <c:pt idx="2">
                  <c:v>Елпачихинское сельское поселение</c:v>
                </c:pt>
                <c:pt idx="3">
                  <c:v>Сарашевское сельское поселение</c:v>
                </c:pt>
                <c:pt idx="4">
                  <c:v>Березниковское сельское поселение</c:v>
                </c:pt>
                <c:pt idx="5">
                  <c:v>Бичуринское сельское поселение</c:v>
                </c:pt>
                <c:pt idx="6">
                  <c:v>Брюзлинское сельское поселение</c:v>
                </c:pt>
                <c:pt idx="7">
                  <c:v>Тюндюковское сельское поселение</c:v>
                </c:pt>
                <c:pt idx="8">
                  <c:v>Печменское сельское поселение</c:v>
                </c:pt>
                <c:pt idx="9">
                  <c:v>Федорковское сельское поселение</c:v>
                </c:pt>
                <c:pt idx="10">
                  <c:v>Новоашапское сельское поселение</c:v>
                </c:pt>
                <c:pt idx="11">
                  <c:v>Шермейское сельское поселение</c:v>
                </c:pt>
              </c:strCache>
            </c:strRef>
          </c:cat>
          <c:val>
            <c:numRef>
              <c:f>'Плотность населения'!$E$5:$E$16</c:f>
              <c:numCache>
                <c:formatCode>0.0%</c:formatCode>
                <c:ptCount val="12"/>
                <c:pt idx="0">
                  <c:v>0.38855719425883134</c:v>
                </c:pt>
                <c:pt idx="1">
                  <c:v>8.8924914001028268E-2</c:v>
                </c:pt>
                <c:pt idx="2">
                  <c:v>7.5758174844807749E-2</c:v>
                </c:pt>
                <c:pt idx="3">
                  <c:v>9.8335376220791498E-2</c:v>
                </c:pt>
                <c:pt idx="4">
                  <c:v>5.39322288561161E-2</c:v>
                </c:pt>
                <c:pt idx="5">
                  <c:v>6.5319678937172429E-2</c:v>
                </c:pt>
                <c:pt idx="6">
                  <c:v>3.1315487722905412E-2</c:v>
                </c:pt>
                <c:pt idx="7">
                  <c:v>5.1876161480368506E-2</c:v>
                </c:pt>
                <c:pt idx="8">
                  <c:v>6.3540389862006302E-2</c:v>
                </c:pt>
                <c:pt idx="9">
                  <c:v>4.6815072555454466E-2</c:v>
                </c:pt>
                <c:pt idx="10">
                  <c:v>1.6685777549326146E-2</c:v>
                </c:pt>
                <c:pt idx="11">
                  <c:v>1.8939543711201625E-2</c:v>
                </c:pt>
              </c:numCache>
            </c:numRef>
          </c:val>
          <c:extLst xmlns:c16r2="http://schemas.microsoft.com/office/drawing/2015/06/chart">
            <c:ext xmlns:c16="http://schemas.microsoft.com/office/drawing/2014/chart" uri="{C3380CC4-5D6E-409C-BE32-E72D297353CC}">
              <c16:uniqueId val="{00000001-42F3-4E1F-9134-5319D9EE60EF}"/>
            </c:ext>
          </c:extLst>
        </c:ser>
      </c:pie3DChart>
    </c:plotArea>
    <c:plotVisOnly val="1"/>
    <c:dispBlanksAs val="zero"/>
  </c:chart>
  <c:spPr>
    <a:ln>
      <a:no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'Соц. образование'!$C$12</c:f>
              <c:strCache>
                <c:ptCount val="1"/>
                <c:pt idx="0">
                  <c:v> обучающиеся во 2-3 смену, человек</c:v>
                </c:pt>
              </c:strCache>
            </c:strRef>
          </c:tx>
          <c:dLbls>
            <c:spPr>
              <a:noFill/>
              <a:ln>
                <a:noFill/>
              </a:ln>
              <a:effectLst/>
            </c:spPr>
            <c:txPr>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'Соц. образование'!$B$13:$B$19</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образование'!$C$13:$C$19</c:f>
              <c:numCache>
                <c:formatCode>General</c:formatCode>
                <c:ptCount val="7"/>
                <c:pt idx="0">
                  <c:v>26</c:v>
                </c:pt>
                <c:pt idx="1">
                  <c:v>443</c:v>
                </c:pt>
                <c:pt idx="2">
                  <c:v>457</c:v>
                </c:pt>
                <c:pt idx="3">
                  <c:v>398</c:v>
                </c:pt>
                <c:pt idx="4">
                  <c:v>355</c:v>
                </c:pt>
                <c:pt idx="5">
                  <c:v>449</c:v>
                </c:pt>
                <c:pt idx="6">
                  <c:v>381</c:v>
                </c:pt>
              </c:numCache>
            </c:numRef>
          </c:val>
          <c:extLst xmlns:c16r2="http://schemas.microsoft.com/office/drawing/2015/06/chart">
            <c:ext xmlns:c16="http://schemas.microsoft.com/office/drawing/2014/chart" uri="{C3380CC4-5D6E-409C-BE32-E72D297353CC}">
              <c16:uniqueId val="{00000000-0115-44D3-8322-DBD51426005D}"/>
            </c:ext>
          </c:extLst>
        </c:ser>
        <c:axId val="201802880"/>
        <c:axId val="201804416"/>
      </c:barChart>
      <c:catAx>
        <c:axId val="201802880"/>
        <c:scaling>
          <c:orientation val="minMax"/>
        </c:scaling>
        <c:axPos val="b"/>
        <c:numFmt formatCode="General" sourceLinked="0"/>
        <c:tickLblPos val="nextTo"/>
        <c:crossAx val="201804416"/>
        <c:crosses val="autoZero"/>
        <c:auto val="1"/>
        <c:lblAlgn val="ctr"/>
        <c:lblOffset val="100"/>
      </c:catAx>
      <c:valAx>
        <c:axId val="201804416"/>
        <c:scaling>
          <c:orientation val="minMax"/>
        </c:scaling>
        <c:axPos val="l"/>
        <c:majorGridlines/>
        <c:numFmt formatCode="General" sourceLinked="1"/>
        <c:tickLblPos val="nextTo"/>
        <c:crossAx val="201802880"/>
        <c:crosses val="autoZero"/>
        <c:crossBetween val="between"/>
      </c:valAx>
    </c:plotArea>
    <c:plotVisOnly val="1"/>
    <c:dispBlanksAs val="gap"/>
  </c:chart>
  <c:spPr>
    <a:ln>
      <a:noFill/>
    </a:ln>
  </c:sp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Лист9!$C$74</c:f>
              <c:strCache>
                <c:ptCount val="1"/>
                <c:pt idx="0">
                  <c:v>доходы</c:v>
                </c:pt>
              </c:strCache>
            </c:strRef>
          </c:tx>
          <c:spPr>
            <a:noFill/>
          </c:spPr>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Лист9!$C$75:$C$81</c:f>
              <c:numCache>
                <c:formatCode>General</c:formatCode>
                <c:ptCount val="7"/>
                <c:pt idx="0">
                  <c:v>5508</c:v>
                </c:pt>
                <c:pt idx="1">
                  <c:v>5753.5</c:v>
                </c:pt>
                <c:pt idx="2">
                  <c:v>6359.6</c:v>
                </c:pt>
                <c:pt idx="3">
                  <c:v>7200</c:v>
                </c:pt>
                <c:pt idx="4">
                  <c:v>7060.4000000000005</c:v>
                </c:pt>
                <c:pt idx="5">
                  <c:v>8161.2999999999993</c:v>
                </c:pt>
                <c:pt idx="6">
                  <c:v>9126.7000000000007</c:v>
                </c:pt>
              </c:numCache>
            </c:numRef>
          </c:val>
          <c:extLst xmlns:c16r2="http://schemas.microsoft.com/office/drawing/2015/06/chart">
            <c:ext xmlns:c16="http://schemas.microsoft.com/office/drawing/2014/chart" uri="{C3380CC4-5D6E-409C-BE32-E72D297353CC}">
              <c16:uniqueId val="{00000000-8A00-4714-ABA0-07C1196DAB2E}"/>
            </c:ext>
          </c:extLst>
        </c:ser>
        <c:ser>
          <c:idx val="1"/>
          <c:order val="1"/>
          <c:tx>
            <c:strRef>
              <c:f>Лист9!$E$74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Лист9!$E$75:$E$81</c:f>
              <c:numCache>
                <c:formatCode>General</c:formatCode>
                <c:ptCount val="7"/>
                <c:pt idx="0">
                  <c:v>-93.899999999999636</c:v>
                </c:pt>
                <c:pt idx="1">
                  <c:v>-544.5</c:v>
                </c:pt>
                <c:pt idx="2">
                  <c:v>-12.200000000000728</c:v>
                </c:pt>
                <c:pt idx="3">
                  <c:v>-100.60000000000035</c:v>
                </c:pt>
                <c:pt idx="4">
                  <c:v>119.19999999999982</c:v>
                </c:pt>
                <c:pt idx="5">
                  <c:v>41</c:v>
                </c:pt>
                <c:pt idx="6">
                  <c:v>-111.10000000000035</c:v>
                </c:pt>
              </c:numCache>
            </c:numRef>
          </c:val>
          <c:extLst xmlns:c16r2="http://schemas.microsoft.com/office/drawing/2015/06/chart">
            <c:ext xmlns:c16="http://schemas.microsoft.com/office/drawing/2014/chart" uri="{C3380CC4-5D6E-409C-BE32-E72D297353CC}">
              <c16:uniqueId val="{00000001-8A00-4714-ABA0-07C1196DAB2E}"/>
            </c:ext>
          </c:extLst>
        </c:ser>
        <c:axId val="202299264"/>
        <c:axId val="202300800"/>
      </c:areaChart>
      <c:lineChart>
        <c:grouping val="standard"/>
        <c:ser>
          <c:idx val="2"/>
          <c:order val="2"/>
          <c:tx>
            <c:strRef>
              <c:f>Лист9!$C$74</c:f>
              <c:strCache>
                <c:ptCount val="1"/>
                <c:pt idx="0">
                  <c:v>доходы</c:v>
                </c:pt>
              </c:strCache>
            </c:strRef>
          </c:tx>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Лист9!$C$75:$C$81</c:f>
              <c:numCache>
                <c:formatCode>General</c:formatCode>
                <c:ptCount val="7"/>
                <c:pt idx="0">
                  <c:v>5508</c:v>
                </c:pt>
                <c:pt idx="1">
                  <c:v>5753.5</c:v>
                </c:pt>
                <c:pt idx="2">
                  <c:v>6359.6</c:v>
                </c:pt>
                <c:pt idx="3">
                  <c:v>7200</c:v>
                </c:pt>
                <c:pt idx="4">
                  <c:v>7060.4000000000005</c:v>
                </c:pt>
                <c:pt idx="5">
                  <c:v>8161.2999999999993</c:v>
                </c:pt>
                <c:pt idx="6">
                  <c:v>9126.7000000000007</c:v>
                </c:pt>
              </c:numCache>
            </c:numRef>
          </c:val>
          <c:extLst xmlns:c16r2="http://schemas.microsoft.com/office/drawing/2015/06/chart">
            <c:ext xmlns:c16="http://schemas.microsoft.com/office/drawing/2014/chart" uri="{C3380CC4-5D6E-409C-BE32-E72D297353CC}">
              <c16:uniqueId val="{00000002-8A00-4714-ABA0-07C1196DAB2E}"/>
            </c:ext>
          </c:extLst>
        </c:ser>
        <c:ser>
          <c:idx val="3"/>
          <c:order val="3"/>
          <c:tx>
            <c:strRef>
              <c:f>Лист9!$D$74</c:f>
              <c:strCache>
                <c:ptCount val="1"/>
                <c:pt idx="0">
                  <c:v>расходы</c:v>
                </c:pt>
              </c:strCache>
            </c:strRef>
          </c:tx>
          <c:cat>
            <c:strRef>
              <c:f>Лист9!$B$75:$B$81</c:f>
              <c:strCache>
                <c:ptCount val="7"/>
                <c:pt idx="0">
                  <c:v>2010 год</c:v>
                </c:pt>
                <c:pt idx="1">
                  <c:v>2011 год</c:v>
                </c:pt>
                <c:pt idx="2">
                  <c:v>2012 год</c:v>
                </c:pt>
                <c:pt idx="3">
                  <c:v>2013 год</c:v>
                </c:pt>
                <c:pt idx="4">
                  <c:v>2014 год</c:v>
                </c:pt>
                <c:pt idx="5">
                  <c:v>2015 год</c:v>
                </c:pt>
                <c:pt idx="6">
                  <c:v>2016 год</c:v>
                </c:pt>
              </c:strCache>
            </c:strRef>
          </c:cat>
          <c:val>
            <c:numRef>
              <c:f>Лист9!$D$75:$D$81</c:f>
              <c:numCache>
                <c:formatCode>General</c:formatCode>
                <c:ptCount val="7"/>
                <c:pt idx="0">
                  <c:v>5414.1</c:v>
                </c:pt>
                <c:pt idx="1">
                  <c:v>5209</c:v>
                </c:pt>
                <c:pt idx="2">
                  <c:v>6347.4</c:v>
                </c:pt>
                <c:pt idx="3">
                  <c:v>7099.4</c:v>
                </c:pt>
                <c:pt idx="4">
                  <c:v>7179.6</c:v>
                </c:pt>
                <c:pt idx="5">
                  <c:v>8202.2999999999811</c:v>
                </c:pt>
                <c:pt idx="6">
                  <c:v>9015.6</c:v>
                </c:pt>
              </c:numCache>
            </c:numRef>
          </c:val>
          <c:extLst xmlns:c16r2="http://schemas.microsoft.com/office/drawing/2015/06/chart">
            <c:ext xmlns:c16="http://schemas.microsoft.com/office/drawing/2014/chart" uri="{C3380CC4-5D6E-409C-BE32-E72D297353CC}">
              <c16:uniqueId val="{00000003-8A00-4714-ABA0-07C1196DAB2E}"/>
            </c:ext>
          </c:extLst>
        </c:ser>
        <c:marker val="1"/>
        <c:axId val="202299264"/>
        <c:axId val="202300800"/>
      </c:lineChart>
      <c:catAx>
        <c:axId val="202299264"/>
        <c:scaling>
          <c:orientation val="minMax"/>
        </c:scaling>
        <c:axPos val="b"/>
        <c:numFmt formatCode="General" sourceLinked="0"/>
        <c:tickLblPos val="nextTo"/>
        <c:crossAx val="202300800"/>
        <c:crosses val="autoZero"/>
        <c:auto val="1"/>
        <c:lblAlgn val="ctr"/>
        <c:lblOffset val="100"/>
      </c:catAx>
      <c:valAx>
        <c:axId val="202300800"/>
        <c:scaling>
          <c:orientation val="minMax"/>
        </c:scaling>
        <c:axPos val="l"/>
        <c:majorGridlines/>
        <c:numFmt formatCode="General" sourceLinked="1"/>
        <c:tickLblPos val="nextTo"/>
        <c:crossAx val="20229926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Лист9!$C$82</c:f>
              <c:strCache>
                <c:ptCount val="1"/>
                <c:pt idx="0">
                  <c:v>доходы</c:v>
                </c:pt>
              </c:strCache>
            </c:strRef>
          </c:tx>
          <c:spPr>
            <a:noFill/>
          </c:spPr>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Лист9!$C$83:$C$89</c:f>
              <c:numCache>
                <c:formatCode>General</c:formatCode>
                <c:ptCount val="7"/>
                <c:pt idx="0">
                  <c:v>4311</c:v>
                </c:pt>
                <c:pt idx="1">
                  <c:v>4781.7</c:v>
                </c:pt>
                <c:pt idx="2">
                  <c:v>5723.9</c:v>
                </c:pt>
                <c:pt idx="3">
                  <c:v>5840.2999999999993</c:v>
                </c:pt>
                <c:pt idx="4">
                  <c:v>5607.8</c:v>
                </c:pt>
                <c:pt idx="5">
                  <c:v>6899</c:v>
                </c:pt>
                <c:pt idx="6">
                  <c:v>6331.2000000000007</c:v>
                </c:pt>
              </c:numCache>
            </c:numRef>
          </c:val>
          <c:extLst xmlns:c16r2="http://schemas.microsoft.com/office/drawing/2015/06/chart">
            <c:ext xmlns:c16="http://schemas.microsoft.com/office/drawing/2014/chart" uri="{C3380CC4-5D6E-409C-BE32-E72D297353CC}">
              <c16:uniqueId val="{00000000-C4CB-430F-A11C-BD1F622424C7}"/>
            </c:ext>
          </c:extLst>
        </c:ser>
        <c:ser>
          <c:idx val="1"/>
          <c:order val="1"/>
          <c:tx>
            <c:strRef>
              <c:f>Лист9!$E$82</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Лист9!$E$83:$E$89</c:f>
              <c:numCache>
                <c:formatCode>General</c:formatCode>
                <c:ptCount val="7"/>
                <c:pt idx="0">
                  <c:v>-4.6999999999998181</c:v>
                </c:pt>
                <c:pt idx="1">
                  <c:v>-30.699999999999818</c:v>
                </c:pt>
                <c:pt idx="2">
                  <c:v>-33.399999999999636</c:v>
                </c:pt>
                <c:pt idx="3">
                  <c:v>185.30000000000109</c:v>
                </c:pt>
                <c:pt idx="4">
                  <c:v>-1088</c:v>
                </c:pt>
                <c:pt idx="5">
                  <c:v>-34.600000000000364</c:v>
                </c:pt>
                <c:pt idx="6">
                  <c:v>-66.300000000001049</c:v>
                </c:pt>
              </c:numCache>
            </c:numRef>
          </c:val>
          <c:extLst xmlns:c16r2="http://schemas.microsoft.com/office/drawing/2015/06/chart">
            <c:ext xmlns:c16="http://schemas.microsoft.com/office/drawing/2014/chart" uri="{C3380CC4-5D6E-409C-BE32-E72D297353CC}">
              <c16:uniqueId val="{00000001-C4CB-430F-A11C-BD1F622424C7}"/>
            </c:ext>
          </c:extLst>
        </c:ser>
        <c:axId val="186094720"/>
        <c:axId val="186096256"/>
      </c:areaChart>
      <c:lineChart>
        <c:grouping val="standard"/>
        <c:ser>
          <c:idx val="2"/>
          <c:order val="2"/>
          <c:tx>
            <c:strRef>
              <c:f>Лист9!$C$82</c:f>
              <c:strCache>
                <c:ptCount val="1"/>
                <c:pt idx="0">
                  <c:v>доходы</c:v>
                </c:pt>
              </c:strCache>
            </c:strRef>
          </c:tx>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Лист9!$C$83:$C$89</c:f>
              <c:numCache>
                <c:formatCode>General</c:formatCode>
                <c:ptCount val="7"/>
                <c:pt idx="0">
                  <c:v>4311</c:v>
                </c:pt>
                <c:pt idx="1">
                  <c:v>4781.7</c:v>
                </c:pt>
                <c:pt idx="2">
                  <c:v>5723.9</c:v>
                </c:pt>
                <c:pt idx="3">
                  <c:v>5840.2999999999993</c:v>
                </c:pt>
                <c:pt idx="4">
                  <c:v>5607.8</c:v>
                </c:pt>
                <c:pt idx="5">
                  <c:v>6899</c:v>
                </c:pt>
                <c:pt idx="6">
                  <c:v>6331.2000000000007</c:v>
                </c:pt>
              </c:numCache>
            </c:numRef>
          </c:val>
          <c:extLst xmlns:c16r2="http://schemas.microsoft.com/office/drawing/2015/06/chart">
            <c:ext xmlns:c16="http://schemas.microsoft.com/office/drawing/2014/chart" uri="{C3380CC4-5D6E-409C-BE32-E72D297353CC}">
              <c16:uniqueId val="{00000002-C4CB-430F-A11C-BD1F622424C7}"/>
            </c:ext>
          </c:extLst>
        </c:ser>
        <c:ser>
          <c:idx val="3"/>
          <c:order val="3"/>
          <c:tx>
            <c:strRef>
              <c:f>Лист9!$D$82</c:f>
              <c:strCache>
                <c:ptCount val="1"/>
                <c:pt idx="0">
                  <c:v>расходы</c:v>
                </c:pt>
              </c:strCache>
            </c:strRef>
          </c:tx>
          <c:cat>
            <c:strRef>
              <c:f>Лист9!$B$83:$B$89</c:f>
              <c:strCache>
                <c:ptCount val="7"/>
                <c:pt idx="0">
                  <c:v>2010 год</c:v>
                </c:pt>
                <c:pt idx="1">
                  <c:v>2011 год</c:v>
                </c:pt>
                <c:pt idx="2">
                  <c:v>2012 год</c:v>
                </c:pt>
                <c:pt idx="3">
                  <c:v>2013 год</c:v>
                </c:pt>
                <c:pt idx="4">
                  <c:v>2014 год</c:v>
                </c:pt>
                <c:pt idx="5">
                  <c:v>2015 год</c:v>
                </c:pt>
                <c:pt idx="6">
                  <c:v>2016 год</c:v>
                </c:pt>
              </c:strCache>
            </c:strRef>
          </c:cat>
          <c:val>
            <c:numRef>
              <c:f>Лист9!$D$83:$D$89</c:f>
              <c:numCache>
                <c:formatCode>General</c:formatCode>
                <c:ptCount val="7"/>
                <c:pt idx="0">
                  <c:v>4306.3</c:v>
                </c:pt>
                <c:pt idx="1">
                  <c:v>4751</c:v>
                </c:pt>
                <c:pt idx="2">
                  <c:v>5690.5</c:v>
                </c:pt>
                <c:pt idx="3">
                  <c:v>6025.6</c:v>
                </c:pt>
                <c:pt idx="4">
                  <c:v>4519.8</c:v>
                </c:pt>
                <c:pt idx="5">
                  <c:v>6864.4</c:v>
                </c:pt>
                <c:pt idx="6">
                  <c:v>6264.9</c:v>
                </c:pt>
              </c:numCache>
            </c:numRef>
          </c:val>
          <c:extLst xmlns:c16r2="http://schemas.microsoft.com/office/drawing/2015/06/chart">
            <c:ext xmlns:c16="http://schemas.microsoft.com/office/drawing/2014/chart" uri="{C3380CC4-5D6E-409C-BE32-E72D297353CC}">
              <c16:uniqueId val="{00000003-C4CB-430F-A11C-BD1F622424C7}"/>
            </c:ext>
          </c:extLst>
        </c:ser>
        <c:marker val="1"/>
        <c:axId val="186094720"/>
        <c:axId val="186096256"/>
      </c:lineChart>
      <c:catAx>
        <c:axId val="186094720"/>
        <c:scaling>
          <c:orientation val="minMax"/>
        </c:scaling>
        <c:axPos val="b"/>
        <c:numFmt formatCode="General" sourceLinked="0"/>
        <c:tickLblPos val="nextTo"/>
        <c:crossAx val="186096256"/>
        <c:crosses val="autoZero"/>
        <c:auto val="1"/>
        <c:lblAlgn val="ctr"/>
        <c:lblOffset val="100"/>
      </c:catAx>
      <c:valAx>
        <c:axId val="186096256"/>
        <c:scaling>
          <c:orientation val="minMax"/>
        </c:scaling>
        <c:axPos val="l"/>
        <c:majorGridlines/>
        <c:numFmt formatCode="General" sourceLinked="1"/>
        <c:tickLblPos val="nextTo"/>
        <c:crossAx val="186094720"/>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Лист9!$C$90</c:f>
              <c:strCache>
                <c:ptCount val="1"/>
                <c:pt idx="0">
                  <c:v>доходы</c:v>
                </c:pt>
              </c:strCache>
            </c:strRef>
          </c:tx>
          <c:spPr>
            <a:noFill/>
          </c:spPr>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Лист9!$C$91:$C$97</c:f>
              <c:numCache>
                <c:formatCode>General</c:formatCode>
                <c:ptCount val="7"/>
                <c:pt idx="0">
                  <c:v>3735</c:v>
                </c:pt>
                <c:pt idx="1">
                  <c:v>3262.4</c:v>
                </c:pt>
                <c:pt idx="2">
                  <c:v>4239.8</c:v>
                </c:pt>
                <c:pt idx="3">
                  <c:v>5121.7</c:v>
                </c:pt>
                <c:pt idx="4">
                  <c:v>4361.7000000000007</c:v>
                </c:pt>
                <c:pt idx="5">
                  <c:v>4938.4000000000005</c:v>
                </c:pt>
                <c:pt idx="6">
                  <c:v>4573.1000000000004</c:v>
                </c:pt>
              </c:numCache>
            </c:numRef>
          </c:val>
          <c:extLst xmlns:c16r2="http://schemas.microsoft.com/office/drawing/2015/06/chart">
            <c:ext xmlns:c16="http://schemas.microsoft.com/office/drawing/2014/chart" uri="{C3380CC4-5D6E-409C-BE32-E72D297353CC}">
              <c16:uniqueId val="{00000000-BF05-4EC3-8F95-ECC438F706D8}"/>
            </c:ext>
          </c:extLst>
        </c:ser>
        <c:ser>
          <c:idx val="1"/>
          <c:order val="1"/>
          <c:tx>
            <c:strRef>
              <c:f>Лист9!$E$90</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Лист9!$E$91:$E$97</c:f>
              <c:numCache>
                <c:formatCode>General</c:formatCode>
                <c:ptCount val="7"/>
                <c:pt idx="0">
                  <c:v>75.099999999999923</c:v>
                </c:pt>
                <c:pt idx="1">
                  <c:v>-49.200000000000273</c:v>
                </c:pt>
                <c:pt idx="2">
                  <c:v>-8.6999999999998217</c:v>
                </c:pt>
                <c:pt idx="3">
                  <c:v>-624.80000000000018</c:v>
                </c:pt>
                <c:pt idx="4">
                  <c:v>686.49999999999909</c:v>
                </c:pt>
                <c:pt idx="5">
                  <c:v>-165.70000000000073</c:v>
                </c:pt>
                <c:pt idx="6">
                  <c:v>-3.3000000000001797</c:v>
                </c:pt>
              </c:numCache>
            </c:numRef>
          </c:val>
          <c:extLst xmlns:c16r2="http://schemas.microsoft.com/office/drawing/2015/06/chart">
            <c:ext xmlns:c16="http://schemas.microsoft.com/office/drawing/2014/chart" uri="{C3380CC4-5D6E-409C-BE32-E72D297353CC}">
              <c16:uniqueId val="{00000001-BF05-4EC3-8F95-ECC438F706D8}"/>
            </c:ext>
          </c:extLst>
        </c:ser>
        <c:axId val="202340992"/>
        <c:axId val="202355072"/>
      </c:areaChart>
      <c:lineChart>
        <c:grouping val="standard"/>
        <c:ser>
          <c:idx val="2"/>
          <c:order val="2"/>
          <c:tx>
            <c:strRef>
              <c:f>Лист9!$C$90</c:f>
              <c:strCache>
                <c:ptCount val="1"/>
                <c:pt idx="0">
                  <c:v>доходы</c:v>
                </c:pt>
              </c:strCache>
            </c:strRef>
          </c:tx>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Лист9!$C$91:$C$97</c:f>
              <c:numCache>
                <c:formatCode>General</c:formatCode>
                <c:ptCount val="7"/>
                <c:pt idx="0">
                  <c:v>3735</c:v>
                </c:pt>
                <c:pt idx="1">
                  <c:v>3262.4</c:v>
                </c:pt>
                <c:pt idx="2">
                  <c:v>4239.8</c:v>
                </c:pt>
                <c:pt idx="3">
                  <c:v>5121.7</c:v>
                </c:pt>
                <c:pt idx="4">
                  <c:v>4361.7000000000007</c:v>
                </c:pt>
                <c:pt idx="5">
                  <c:v>4938.4000000000005</c:v>
                </c:pt>
                <c:pt idx="6">
                  <c:v>4573.1000000000004</c:v>
                </c:pt>
              </c:numCache>
            </c:numRef>
          </c:val>
          <c:extLst xmlns:c16r2="http://schemas.microsoft.com/office/drawing/2015/06/chart">
            <c:ext xmlns:c16="http://schemas.microsoft.com/office/drawing/2014/chart" uri="{C3380CC4-5D6E-409C-BE32-E72D297353CC}">
              <c16:uniqueId val="{00000002-BF05-4EC3-8F95-ECC438F706D8}"/>
            </c:ext>
          </c:extLst>
        </c:ser>
        <c:ser>
          <c:idx val="3"/>
          <c:order val="3"/>
          <c:tx>
            <c:strRef>
              <c:f>Лист9!$D$90</c:f>
              <c:strCache>
                <c:ptCount val="1"/>
                <c:pt idx="0">
                  <c:v>расходы</c:v>
                </c:pt>
              </c:strCache>
            </c:strRef>
          </c:tx>
          <c:cat>
            <c:strRef>
              <c:f>Лист9!$B$91:$B$97</c:f>
              <c:strCache>
                <c:ptCount val="7"/>
                <c:pt idx="0">
                  <c:v>2010 год</c:v>
                </c:pt>
                <c:pt idx="1">
                  <c:v>2011 год</c:v>
                </c:pt>
                <c:pt idx="2">
                  <c:v>2012 год</c:v>
                </c:pt>
                <c:pt idx="3">
                  <c:v>2013 год</c:v>
                </c:pt>
                <c:pt idx="4">
                  <c:v>2014 год</c:v>
                </c:pt>
                <c:pt idx="5">
                  <c:v>2015 год</c:v>
                </c:pt>
                <c:pt idx="6">
                  <c:v>2016 год</c:v>
                </c:pt>
              </c:strCache>
            </c:strRef>
          </c:cat>
          <c:val>
            <c:numRef>
              <c:f>Лист9!$D$91:$D$97</c:f>
              <c:numCache>
                <c:formatCode>General</c:formatCode>
                <c:ptCount val="7"/>
                <c:pt idx="0">
                  <c:v>3810.1</c:v>
                </c:pt>
                <c:pt idx="1">
                  <c:v>3213.2</c:v>
                </c:pt>
                <c:pt idx="2">
                  <c:v>4231.1000000000004</c:v>
                </c:pt>
                <c:pt idx="3">
                  <c:v>4496.9000000000005</c:v>
                </c:pt>
                <c:pt idx="4">
                  <c:v>5048.2</c:v>
                </c:pt>
                <c:pt idx="5">
                  <c:v>4772.7</c:v>
                </c:pt>
                <c:pt idx="6">
                  <c:v>4569.8</c:v>
                </c:pt>
              </c:numCache>
            </c:numRef>
          </c:val>
          <c:extLst xmlns:c16r2="http://schemas.microsoft.com/office/drawing/2015/06/chart">
            <c:ext xmlns:c16="http://schemas.microsoft.com/office/drawing/2014/chart" uri="{C3380CC4-5D6E-409C-BE32-E72D297353CC}">
              <c16:uniqueId val="{00000003-BF05-4EC3-8F95-ECC438F706D8}"/>
            </c:ext>
          </c:extLst>
        </c:ser>
        <c:marker val="1"/>
        <c:axId val="202340992"/>
        <c:axId val="202355072"/>
      </c:lineChart>
      <c:catAx>
        <c:axId val="202340992"/>
        <c:scaling>
          <c:orientation val="minMax"/>
        </c:scaling>
        <c:axPos val="b"/>
        <c:numFmt formatCode="General" sourceLinked="0"/>
        <c:tickLblPos val="nextTo"/>
        <c:crossAx val="202355072"/>
        <c:crosses val="autoZero"/>
        <c:auto val="1"/>
        <c:lblAlgn val="ctr"/>
        <c:lblOffset val="100"/>
      </c:catAx>
      <c:valAx>
        <c:axId val="202355072"/>
        <c:scaling>
          <c:orientation val="minMax"/>
        </c:scaling>
        <c:axPos val="l"/>
        <c:majorGridlines/>
        <c:numFmt formatCode="General" sourceLinked="1"/>
        <c:tickLblPos val="nextTo"/>
        <c:crossAx val="202340992"/>
        <c:crosses val="autoZero"/>
        <c:crossBetween val="between"/>
      </c:valAx>
    </c:plotArea>
    <c:legend>
      <c:legendPos val="b"/>
      <c:legendEntry>
        <c:idx val="0"/>
        <c:delete val="1"/>
      </c:legendEntry>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'Соц. образование'!$C$37</c:f>
              <c:strCache>
                <c:ptCount val="1"/>
                <c:pt idx="0">
                  <c:v>Количество мест в детских дошкольных организациях, единиц</c:v>
                </c:pt>
              </c:strCache>
            </c:strRef>
          </c:tx>
          <c:dLbls>
            <c:dLbl>
              <c:idx val="1"/>
              <c:layout>
                <c:manualLayout>
                  <c:x val="2.222222222222225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038-4DF0-B211-15DBF250197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'Соц. образование'!$B$38:$B$44</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образование'!$C$38:$C$44</c:f>
              <c:numCache>
                <c:formatCode>General</c:formatCode>
                <c:ptCount val="7"/>
                <c:pt idx="0">
                  <c:v>991</c:v>
                </c:pt>
                <c:pt idx="1">
                  <c:v>1030</c:v>
                </c:pt>
                <c:pt idx="2">
                  <c:v>1290</c:v>
                </c:pt>
                <c:pt idx="3">
                  <c:v>1398</c:v>
                </c:pt>
                <c:pt idx="4">
                  <c:v>1651</c:v>
                </c:pt>
                <c:pt idx="5">
                  <c:v>1758</c:v>
                </c:pt>
                <c:pt idx="6">
                  <c:v>1922</c:v>
                </c:pt>
              </c:numCache>
            </c:numRef>
          </c:val>
          <c:extLst xmlns:c16r2="http://schemas.microsoft.com/office/drawing/2015/06/chart">
            <c:ext xmlns:c16="http://schemas.microsoft.com/office/drawing/2014/chart" uri="{C3380CC4-5D6E-409C-BE32-E72D297353CC}">
              <c16:uniqueId val="{00000001-A038-4DF0-B211-15DBF250197C}"/>
            </c:ext>
          </c:extLst>
        </c:ser>
        <c:ser>
          <c:idx val="1"/>
          <c:order val="1"/>
          <c:tx>
            <c:strRef>
              <c:f>'Соц. образование'!$D$37</c:f>
              <c:strCache>
                <c:ptCount val="1"/>
                <c:pt idx="0">
                  <c:v>Численность детей в дошкольных организациях, человек</c:v>
                </c:pt>
              </c:strCache>
            </c:strRef>
          </c:tx>
          <c:dLbls>
            <c:dLbl>
              <c:idx val="0"/>
              <c:layout>
                <c:manualLayout>
                  <c:x val="3.0555555555555551E-2"/>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038-4DF0-B211-15DBF250197C}"/>
                </c:ext>
              </c:extLst>
            </c:dLbl>
            <c:dLbl>
              <c:idx val="1"/>
              <c:layout>
                <c:manualLayout>
                  <c:x val="2.5000000000000001E-2"/>
                  <c:y val="2.777777777777861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038-4DF0-B211-15DBF250197C}"/>
                </c:ext>
              </c:extLst>
            </c:dLbl>
            <c:dLbl>
              <c:idx val="2"/>
              <c:layout>
                <c:manualLayout>
                  <c:x val="1.6666666666666725E-2"/>
                  <c:y val="1.38888888888891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038-4DF0-B211-15DBF250197C}"/>
                </c:ext>
              </c:extLst>
            </c:dLbl>
            <c:dLbl>
              <c:idx val="3"/>
              <c:layout>
                <c:manualLayout>
                  <c:x val="1.9444444444444445E-2"/>
                  <c:y val="9.259259259259484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038-4DF0-B211-15DBF250197C}"/>
                </c:ext>
              </c:extLst>
            </c:dLbl>
            <c:dLbl>
              <c:idx val="4"/>
              <c:layout>
                <c:manualLayout>
                  <c:x val="8.3333333333333367E-3"/>
                  <c:y val="1.38888888888891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038-4DF0-B211-15DBF250197C}"/>
                </c:ext>
              </c:extLst>
            </c:dLbl>
            <c:dLbl>
              <c:idx val="5"/>
              <c:layout>
                <c:manualLayout>
                  <c:x val="1.3888888888889143E-2"/>
                  <c:y val="1.38888888888891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038-4DF0-B211-15DBF250197C}"/>
                </c:ext>
              </c:extLst>
            </c:dLbl>
            <c:dLbl>
              <c:idx val="6"/>
              <c:layout>
                <c:manualLayout>
                  <c:x val="1.3888888888889143E-2"/>
                  <c:y val="1.38888888888891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038-4DF0-B211-15DBF250197C}"/>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'Соц. образование'!$B$38:$B$44</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образование'!$D$38:$D$44</c:f>
              <c:numCache>
                <c:formatCode>General</c:formatCode>
                <c:ptCount val="7"/>
                <c:pt idx="0">
                  <c:v>1028</c:v>
                </c:pt>
                <c:pt idx="1">
                  <c:v>1010</c:v>
                </c:pt>
                <c:pt idx="2">
                  <c:v>1087</c:v>
                </c:pt>
                <c:pt idx="3">
                  <c:v>1325</c:v>
                </c:pt>
                <c:pt idx="4">
                  <c:v>1517</c:v>
                </c:pt>
                <c:pt idx="5">
                  <c:v>1597</c:v>
                </c:pt>
                <c:pt idx="6">
                  <c:v>1636</c:v>
                </c:pt>
              </c:numCache>
            </c:numRef>
          </c:val>
          <c:extLst xmlns:c16r2="http://schemas.microsoft.com/office/drawing/2015/06/chart">
            <c:ext xmlns:c16="http://schemas.microsoft.com/office/drawing/2014/chart" uri="{C3380CC4-5D6E-409C-BE32-E72D297353CC}">
              <c16:uniqueId val="{00000009-A038-4DF0-B211-15DBF250197C}"/>
            </c:ext>
          </c:extLst>
        </c:ser>
        <c:axId val="201852800"/>
        <c:axId val="201854336"/>
      </c:barChart>
      <c:catAx>
        <c:axId val="201852800"/>
        <c:scaling>
          <c:orientation val="minMax"/>
        </c:scaling>
        <c:axPos val="b"/>
        <c:numFmt formatCode="General" sourceLinked="0"/>
        <c:tickLblPos val="nextTo"/>
        <c:crossAx val="201854336"/>
        <c:crosses val="autoZero"/>
        <c:auto val="1"/>
        <c:lblAlgn val="ctr"/>
        <c:lblOffset val="100"/>
      </c:catAx>
      <c:valAx>
        <c:axId val="201854336"/>
        <c:scaling>
          <c:orientation val="minMax"/>
        </c:scaling>
        <c:axPos val="l"/>
        <c:majorGridlines/>
        <c:numFmt formatCode="General" sourceLinked="1"/>
        <c:tickLblPos val="nextTo"/>
        <c:crossAx val="201852800"/>
        <c:crosses val="autoZero"/>
        <c:crossBetween val="between"/>
      </c:valAx>
    </c:plotArea>
    <c:legend>
      <c:legendPos val="b"/>
    </c:legend>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8.6906336707911494E-2"/>
          <c:y val="4.1350166424727643E-2"/>
          <c:w val="0.89214128233971524"/>
          <c:h val="0.61967093989284394"/>
        </c:manualLayout>
      </c:layout>
      <c:bar3DChart>
        <c:barDir val="col"/>
        <c:grouping val="stacked"/>
        <c:ser>
          <c:idx val="0"/>
          <c:order val="0"/>
          <c:tx>
            <c:strRef>
              <c:f>Анализ!$A$6</c:f>
              <c:strCache>
                <c:ptCount val="1"/>
                <c:pt idx="0">
                  <c:v>некоторые инфекционные и паразитарные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Анализ!$B$6:$G$6</c:f>
              <c:numCache>
                <c:formatCode>0</c:formatCode>
                <c:ptCount val="6"/>
                <c:pt idx="0" formatCode="General">
                  <c:v>913</c:v>
                </c:pt>
                <c:pt idx="1">
                  <c:v>664</c:v>
                </c:pt>
                <c:pt idx="2" formatCode="General">
                  <c:v>678</c:v>
                </c:pt>
                <c:pt idx="3" formatCode="General">
                  <c:v>642</c:v>
                </c:pt>
                <c:pt idx="4" formatCode="General">
                  <c:v>800</c:v>
                </c:pt>
                <c:pt idx="5" formatCode="General">
                  <c:v>815</c:v>
                </c:pt>
              </c:numCache>
            </c:numRef>
          </c:val>
          <c:extLst xmlns:c16r2="http://schemas.microsoft.com/office/drawing/2015/06/chart">
            <c:ext xmlns:c16="http://schemas.microsoft.com/office/drawing/2014/chart" uri="{C3380CC4-5D6E-409C-BE32-E72D297353CC}">
              <c16:uniqueId val="{00000000-E8EF-4405-9D88-71B411E56A44}"/>
            </c:ext>
          </c:extLst>
        </c:ser>
        <c:ser>
          <c:idx val="1"/>
          <c:order val="1"/>
          <c:tx>
            <c:strRef>
              <c:f>Анализ!$A$7</c:f>
              <c:strCache>
                <c:ptCount val="1"/>
                <c:pt idx="0">
                  <c:v>заболевания центральной нервной системы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Анализ!$B$7:$G$7</c:f>
              <c:numCache>
                <c:formatCode>0</c:formatCode>
                <c:ptCount val="6"/>
                <c:pt idx="0" formatCode="General">
                  <c:v>870</c:v>
                </c:pt>
                <c:pt idx="1">
                  <c:v>772</c:v>
                </c:pt>
                <c:pt idx="2" formatCode="General">
                  <c:v>971</c:v>
                </c:pt>
                <c:pt idx="3" formatCode="General">
                  <c:v>785</c:v>
                </c:pt>
                <c:pt idx="4" formatCode="General">
                  <c:v>505</c:v>
                </c:pt>
                <c:pt idx="5" formatCode="General">
                  <c:v>525</c:v>
                </c:pt>
              </c:numCache>
            </c:numRef>
          </c:val>
          <c:extLst xmlns:c16r2="http://schemas.microsoft.com/office/drawing/2015/06/chart">
            <c:ext xmlns:c16="http://schemas.microsoft.com/office/drawing/2014/chart" uri="{C3380CC4-5D6E-409C-BE32-E72D297353CC}">
              <c16:uniqueId val="{00000001-E8EF-4405-9D88-71B411E56A44}"/>
            </c:ext>
          </c:extLst>
        </c:ser>
        <c:ser>
          <c:idx val="2"/>
          <c:order val="2"/>
          <c:tx>
            <c:strRef>
              <c:f>Анализ!$A$8</c:f>
              <c:strCache>
                <c:ptCount val="1"/>
                <c:pt idx="0">
                  <c:v>новообразования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Анализ!$B$8:$G$8</c:f>
              <c:numCache>
                <c:formatCode>0</c:formatCode>
                <c:ptCount val="6"/>
                <c:pt idx="0" formatCode="General">
                  <c:v>499</c:v>
                </c:pt>
                <c:pt idx="1">
                  <c:v>522</c:v>
                </c:pt>
                <c:pt idx="2" formatCode="General">
                  <c:v>546</c:v>
                </c:pt>
                <c:pt idx="3" formatCode="General">
                  <c:v>597</c:v>
                </c:pt>
                <c:pt idx="4" formatCode="General">
                  <c:v>718</c:v>
                </c:pt>
                <c:pt idx="5" formatCode="General">
                  <c:v>671</c:v>
                </c:pt>
              </c:numCache>
            </c:numRef>
          </c:val>
          <c:extLst xmlns:c16r2="http://schemas.microsoft.com/office/drawing/2015/06/chart">
            <c:ext xmlns:c16="http://schemas.microsoft.com/office/drawing/2014/chart" uri="{C3380CC4-5D6E-409C-BE32-E72D297353CC}">
              <c16:uniqueId val="{00000002-E8EF-4405-9D88-71B411E56A44}"/>
            </c:ext>
          </c:extLst>
        </c:ser>
        <c:ser>
          <c:idx val="3"/>
          <c:order val="3"/>
          <c:tx>
            <c:strRef>
              <c:f>Анализ!$A$9</c:f>
              <c:strCache>
                <c:ptCount val="1"/>
                <c:pt idx="0">
                  <c:v>органов дыхания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Анализ!$B$9:$G$9</c:f>
              <c:numCache>
                <c:formatCode>0</c:formatCode>
                <c:ptCount val="6"/>
                <c:pt idx="0" formatCode="General">
                  <c:v>10118</c:v>
                </c:pt>
                <c:pt idx="1">
                  <c:v>10922</c:v>
                </c:pt>
                <c:pt idx="2" formatCode="General">
                  <c:v>10925</c:v>
                </c:pt>
                <c:pt idx="3" formatCode="General">
                  <c:v>11146</c:v>
                </c:pt>
                <c:pt idx="4" formatCode="General">
                  <c:v>10784</c:v>
                </c:pt>
                <c:pt idx="5" formatCode="General">
                  <c:v>10840</c:v>
                </c:pt>
              </c:numCache>
            </c:numRef>
          </c:val>
          <c:extLst xmlns:c16r2="http://schemas.microsoft.com/office/drawing/2015/06/chart">
            <c:ext xmlns:c16="http://schemas.microsoft.com/office/drawing/2014/chart" uri="{C3380CC4-5D6E-409C-BE32-E72D297353CC}">
              <c16:uniqueId val="{00000003-E8EF-4405-9D88-71B411E56A44}"/>
            </c:ext>
          </c:extLst>
        </c:ser>
        <c:ser>
          <c:idx val="4"/>
          <c:order val="4"/>
          <c:tx>
            <c:strRef>
              <c:f>Анализ!$A$10</c:f>
              <c:strCache>
                <c:ptCount val="1"/>
                <c:pt idx="0">
                  <c:v>мочеполовой системы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Анализ!$B$10:$G$10</c:f>
              <c:numCache>
                <c:formatCode>0</c:formatCode>
                <c:ptCount val="6"/>
                <c:pt idx="0" formatCode="General">
                  <c:v>1733</c:v>
                </c:pt>
                <c:pt idx="1">
                  <c:v>2074</c:v>
                </c:pt>
                <c:pt idx="2" formatCode="General">
                  <c:v>1601</c:v>
                </c:pt>
                <c:pt idx="3" formatCode="General">
                  <c:v>690</c:v>
                </c:pt>
                <c:pt idx="4" formatCode="General">
                  <c:v>842</c:v>
                </c:pt>
                <c:pt idx="5" formatCode="General">
                  <c:v>854</c:v>
                </c:pt>
              </c:numCache>
            </c:numRef>
          </c:val>
          <c:extLst xmlns:c16r2="http://schemas.microsoft.com/office/drawing/2015/06/chart">
            <c:ext xmlns:c16="http://schemas.microsoft.com/office/drawing/2014/chart" uri="{C3380CC4-5D6E-409C-BE32-E72D297353CC}">
              <c16:uniqueId val="{00000004-E8EF-4405-9D88-71B411E56A44}"/>
            </c:ext>
          </c:extLst>
        </c:ser>
        <c:ser>
          <c:idx val="5"/>
          <c:order val="5"/>
          <c:tx>
            <c:strRef>
              <c:f>Анализ!$A$11</c:f>
              <c:strCache>
                <c:ptCount val="1"/>
                <c:pt idx="0">
                  <c:v>кожи и подкожной клетчатки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Анализ!$B$11:$G$11</c:f>
              <c:numCache>
                <c:formatCode>0</c:formatCode>
                <c:ptCount val="6"/>
                <c:pt idx="0" formatCode="General">
                  <c:v>1480</c:v>
                </c:pt>
                <c:pt idx="1">
                  <c:v>1483</c:v>
                </c:pt>
                <c:pt idx="2" formatCode="General">
                  <c:v>1189</c:v>
                </c:pt>
                <c:pt idx="3" formatCode="General">
                  <c:v>1494</c:v>
                </c:pt>
                <c:pt idx="4" formatCode="General">
                  <c:v>1673</c:v>
                </c:pt>
                <c:pt idx="5" formatCode="General">
                  <c:v>1598</c:v>
                </c:pt>
              </c:numCache>
            </c:numRef>
          </c:val>
          <c:extLst xmlns:c16r2="http://schemas.microsoft.com/office/drawing/2015/06/chart">
            <c:ext xmlns:c16="http://schemas.microsoft.com/office/drawing/2014/chart" uri="{C3380CC4-5D6E-409C-BE32-E72D297353CC}">
              <c16:uniqueId val="{00000005-E8EF-4405-9D88-71B411E56A44}"/>
            </c:ext>
          </c:extLst>
        </c:ser>
        <c:ser>
          <c:idx val="6"/>
          <c:order val="6"/>
          <c:tx>
            <c:strRef>
              <c:f>Анализ!$A$12</c:f>
              <c:strCache>
                <c:ptCount val="1"/>
                <c:pt idx="0">
                  <c:v>травмы, отравления и некоторые другие последствия внешних причин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Анализ!$B$3:$G$3</c:f>
              <c:numCache>
                <c:formatCode>General</c:formatCode>
                <c:ptCount val="6"/>
                <c:pt idx="0">
                  <c:v>2011</c:v>
                </c:pt>
                <c:pt idx="1">
                  <c:v>2012</c:v>
                </c:pt>
                <c:pt idx="2">
                  <c:v>2013</c:v>
                </c:pt>
                <c:pt idx="3">
                  <c:v>2014</c:v>
                </c:pt>
                <c:pt idx="4">
                  <c:v>2015</c:v>
                </c:pt>
                <c:pt idx="5">
                  <c:v>2016</c:v>
                </c:pt>
              </c:numCache>
            </c:numRef>
          </c:cat>
          <c:val>
            <c:numRef>
              <c:f>Анализ!$B$12:$G$12</c:f>
              <c:numCache>
                <c:formatCode>0</c:formatCode>
                <c:ptCount val="6"/>
                <c:pt idx="0" formatCode="General">
                  <c:v>1093</c:v>
                </c:pt>
                <c:pt idx="1">
                  <c:v>1063</c:v>
                </c:pt>
                <c:pt idx="2" formatCode="General">
                  <c:v>1165</c:v>
                </c:pt>
                <c:pt idx="3" formatCode="General">
                  <c:v>1135</c:v>
                </c:pt>
                <c:pt idx="4" formatCode="General">
                  <c:v>1365</c:v>
                </c:pt>
                <c:pt idx="5" formatCode="General">
                  <c:v>1621</c:v>
                </c:pt>
              </c:numCache>
            </c:numRef>
          </c:val>
          <c:extLst xmlns:c16r2="http://schemas.microsoft.com/office/drawing/2015/06/chart">
            <c:ext xmlns:c16="http://schemas.microsoft.com/office/drawing/2014/chart" uri="{C3380CC4-5D6E-409C-BE32-E72D297353CC}">
              <c16:uniqueId val="{00000006-E8EF-4405-9D88-71B411E56A44}"/>
            </c:ext>
          </c:extLst>
        </c:ser>
        <c:shape val="box"/>
        <c:axId val="202013312"/>
        <c:axId val="202019200"/>
        <c:axId val="0"/>
      </c:bar3DChart>
      <c:catAx>
        <c:axId val="202013312"/>
        <c:scaling>
          <c:orientation val="minMax"/>
        </c:scaling>
        <c:axPos val="b"/>
        <c:numFmt formatCode="General" sourceLinked="1"/>
        <c:tickLblPos val="nextTo"/>
        <c:crossAx val="202019200"/>
        <c:crosses val="autoZero"/>
        <c:auto val="1"/>
        <c:lblAlgn val="ctr"/>
        <c:lblOffset val="100"/>
      </c:catAx>
      <c:valAx>
        <c:axId val="202019200"/>
        <c:scaling>
          <c:orientation val="minMax"/>
        </c:scaling>
        <c:axPos val="l"/>
        <c:majorGridlines/>
        <c:numFmt formatCode="General" sourceLinked="1"/>
        <c:tickLblPos val="nextTo"/>
        <c:crossAx val="202013312"/>
        <c:crosses val="autoZero"/>
        <c:crossBetween val="between"/>
      </c:valAx>
    </c:plotArea>
    <c:legend>
      <c:legendPos val="b"/>
      <c:legendEntry>
        <c:idx val="1"/>
        <c:delete val="1"/>
      </c:legendEntry>
      <c:layout>
        <c:manualLayout>
          <c:xMode val="edge"/>
          <c:yMode val="edge"/>
          <c:x val="4.8538582677165348E-2"/>
          <c:y val="0.75281317108088763"/>
          <c:w val="0.88768473940757464"/>
          <c:h val="0.22484045899221294"/>
        </c:manualLayout>
      </c:layout>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'Здравоохранение      '!$C$2</c:f>
              <c:strCache>
                <c:ptCount val="1"/>
                <c:pt idx="0">
                  <c:v>Число больничных коек, единиц</c:v>
                </c:pt>
              </c:strCache>
            </c:strRef>
          </c:tx>
          <c:dLbls>
            <c:dLbl>
              <c:idx val="0"/>
              <c:layout>
                <c:manualLayout>
                  <c:x val="-2.6607538802660816E-2"/>
                  <c:y val="-6.130268199233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8F6-4348-8B40-E3BE733E8366}"/>
                </c:ext>
              </c:extLst>
            </c:dLbl>
            <c:dLbl>
              <c:idx val="1"/>
              <c:layout>
                <c:manualLayout>
                  <c:x val="-2.069475240206984E-2"/>
                  <c:y val="-4.59770114942528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8F6-4348-8B40-E3BE733E8366}"/>
                </c:ext>
              </c:extLst>
            </c:dLbl>
            <c:dLbl>
              <c:idx val="2"/>
              <c:layout>
                <c:manualLayout>
                  <c:x val="-1.1825572801182786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8F6-4348-8B40-E3BE733E8366}"/>
                </c:ext>
              </c:extLst>
            </c:dLbl>
            <c:dLbl>
              <c:idx val="3"/>
              <c:layout>
                <c:manualLayout>
                  <c:x val="-1.4781966001478197E-2"/>
                  <c:y val="-4.08684546615581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8F6-4348-8B40-E3BE733E8366}"/>
                </c:ext>
              </c:extLst>
            </c:dLbl>
            <c:dLbl>
              <c:idx val="4"/>
              <c:layout>
                <c:manualLayout>
                  <c:x val="-1.4781966001478197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8F6-4348-8B40-E3BE733E8366}"/>
                </c:ext>
              </c:extLst>
            </c:dLbl>
            <c:dLbl>
              <c:idx val="5"/>
              <c:layout>
                <c:manualLayout>
                  <c:x val="-2.3651145602365493E-2"/>
                  <c:y val="-4.59770114942528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8F6-4348-8B40-E3BE733E8366}"/>
                </c:ext>
              </c:extLst>
            </c:dLbl>
            <c:dLbl>
              <c:idx val="6"/>
              <c:layout>
                <c:manualLayout>
                  <c:x val="-5.128205128205128E-2"/>
                  <c:y val="-6.4197530864197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8F6-4348-8B40-E3BE733E8366}"/>
                </c:ext>
              </c:extLst>
            </c:dLbl>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'!$B$3:$B$9</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'!$C$3:$C$9</c:f>
              <c:numCache>
                <c:formatCode>General</c:formatCode>
                <c:ptCount val="7"/>
                <c:pt idx="0">
                  <c:v>123</c:v>
                </c:pt>
                <c:pt idx="1">
                  <c:v>123</c:v>
                </c:pt>
                <c:pt idx="2">
                  <c:v>117</c:v>
                </c:pt>
                <c:pt idx="3">
                  <c:v>101</c:v>
                </c:pt>
                <c:pt idx="4">
                  <c:v>78</c:v>
                </c:pt>
                <c:pt idx="5">
                  <c:v>69</c:v>
                </c:pt>
                <c:pt idx="6">
                  <c:v>69</c:v>
                </c:pt>
              </c:numCache>
            </c:numRef>
          </c:val>
          <c:extLst xmlns:c16r2="http://schemas.microsoft.com/office/drawing/2015/06/chart">
            <c:ext xmlns:c16="http://schemas.microsoft.com/office/drawing/2014/chart" uri="{C3380CC4-5D6E-409C-BE32-E72D297353CC}">
              <c16:uniqueId val="{00000007-B8F6-4348-8B40-E3BE733E8366}"/>
            </c:ext>
          </c:extLst>
        </c:ser>
        <c:marker val="1"/>
        <c:axId val="202049024"/>
        <c:axId val="202050560"/>
      </c:lineChart>
      <c:catAx>
        <c:axId val="202049024"/>
        <c:scaling>
          <c:orientation val="minMax"/>
        </c:scaling>
        <c:axPos val="b"/>
        <c:numFmt formatCode="General" sourceLinked="0"/>
        <c:tickLblPos val="nextTo"/>
        <c:crossAx val="202050560"/>
        <c:crosses val="autoZero"/>
        <c:auto val="1"/>
        <c:lblAlgn val="ctr"/>
        <c:lblOffset val="100"/>
      </c:catAx>
      <c:valAx>
        <c:axId val="202050560"/>
        <c:scaling>
          <c:orientation val="minMax"/>
        </c:scaling>
        <c:axPos val="l"/>
        <c:majorGridlines/>
        <c:numFmt formatCode="General" sourceLinked="1"/>
        <c:tickLblPos val="nextTo"/>
        <c:crossAx val="20204902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'!$C$15</c:f>
              <c:strCache>
                <c:ptCount val="1"/>
                <c:pt idx="0">
                  <c:v>Численность врачей, человек</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'!$B$16:$B$22</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'!$C$16:$C$22</c:f>
              <c:numCache>
                <c:formatCode>General</c:formatCode>
                <c:ptCount val="7"/>
                <c:pt idx="0">
                  <c:v>46</c:v>
                </c:pt>
                <c:pt idx="1">
                  <c:v>45</c:v>
                </c:pt>
                <c:pt idx="2">
                  <c:v>50</c:v>
                </c:pt>
                <c:pt idx="3">
                  <c:v>53</c:v>
                </c:pt>
                <c:pt idx="4">
                  <c:v>56</c:v>
                </c:pt>
                <c:pt idx="5">
                  <c:v>59</c:v>
                </c:pt>
                <c:pt idx="6">
                  <c:v>60</c:v>
                </c:pt>
              </c:numCache>
            </c:numRef>
          </c:val>
          <c:extLst xmlns:c16r2="http://schemas.microsoft.com/office/drawing/2015/06/chart">
            <c:ext xmlns:c16="http://schemas.microsoft.com/office/drawing/2014/chart" uri="{C3380CC4-5D6E-409C-BE32-E72D297353CC}">
              <c16:uniqueId val="{00000000-B1B0-43E6-A1A1-AD429F021BD7}"/>
            </c:ext>
          </c:extLst>
        </c:ser>
        <c:ser>
          <c:idx val="1"/>
          <c:order val="1"/>
          <c:tx>
            <c:strRef>
              <c:f>'Здравоохранение      '!$D$15</c:f>
              <c:strCache>
                <c:ptCount val="1"/>
                <c:pt idx="0">
                  <c:v>Численность среднего медперсонала, человек</c:v>
                </c:pt>
              </c:strCache>
            </c:strRef>
          </c:tx>
          <c:dLbls>
            <c:dLbl>
              <c:idx val="0"/>
              <c:layout>
                <c:manualLayout>
                  <c:x val="2.7777777777778694E-3"/>
                  <c:y val="2.7777777777778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B0-43E6-A1A1-AD429F021BD7}"/>
                </c:ext>
              </c:extLst>
            </c:dLbl>
            <c:dLbl>
              <c:idx val="1"/>
              <c:layout>
                <c:manualLayout>
                  <c:x val="8.3333333333333367E-3"/>
                  <c:y val="2.7777777777778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B0-43E6-A1A1-AD429F021BD7}"/>
                </c:ext>
              </c:extLst>
            </c:dLbl>
            <c:dLbl>
              <c:idx val="2"/>
              <c:layout>
                <c:manualLayout>
                  <c:x val="8.3333333333333367E-3"/>
                  <c:y val="1.38888888888891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B0-43E6-A1A1-AD429F021BD7}"/>
                </c:ext>
              </c:extLst>
            </c:dLbl>
            <c:dLbl>
              <c:idx val="3"/>
              <c:layout>
                <c:manualLayout>
                  <c:x val="0"/>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1B0-43E6-A1A1-AD429F021BD7}"/>
                </c:ext>
              </c:extLst>
            </c:dLbl>
            <c:dLbl>
              <c:idx val="4"/>
              <c:layout>
                <c:manualLayout>
                  <c:x val="0"/>
                  <c:y val="2.7777777777778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1B0-43E6-A1A1-AD429F021BD7}"/>
                </c:ext>
              </c:extLst>
            </c:dLbl>
            <c:dLbl>
              <c:idx val="5"/>
              <c:layout>
                <c:manualLayout>
                  <c:x val="0"/>
                  <c:y val="2.7777777777778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1B0-43E6-A1A1-AD429F021BD7}"/>
                </c:ext>
              </c:extLst>
            </c:dLbl>
            <c:dLbl>
              <c:idx val="6"/>
              <c:layout>
                <c:manualLayout>
                  <c:x val="0"/>
                  <c:y val="2.7777777777778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1B0-43E6-A1A1-AD429F021BD7}"/>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'!$B$16:$B$22</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'!$D$16:$D$22</c:f>
              <c:numCache>
                <c:formatCode>General</c:formatCode>
                <c:ptCount val="7"/>
                <c:pt idx="0">
                  <c:v>154</c:v>
                </c:pt>
                <c:pt idx="1">
                  <c:v>157</c:v>
                </c:pt>
                <c:pt idx="2">
                  <c:v>156</c:v>
                </c:pt>
                <c:pt idx="3">
                  <c:v>160</c:v>
                </c:pt>
                <c:pt idx="4">
                  <c:v>176</c:v>
                </c:pt>
                <c:pt idx="5">
                  <c:v>164</c:v>
                </c:pt>
                <c:pt idx="6">
                  <c:v>158</c:v>
                </c:pt>
              </c:numCache>
            </c:numRef>
          </c:val>
          <c:extLst xmlns:c16r2="http://schemas.microsoft.com/office/drawing/2015/06/chart">
            <c:ext xmlns:c16="http://schemas.microsoft.com/office/drawing/2014/chart" uri="{C3380CC4-5D6E-409C-BE32-E72D297353CC}">
              <c16:uniqueId val="{00000008-B1B0-43E6-A1A1-AD429F021BD7}"/>
            </c:ext>
          </c:extLst>
        </c:ser>
        <c:axId val="202079616"/>
        <c:axId val="202085504"/>
      </c:barChart>
      <c:catAx>
        <c:axId val="202079616"/>
        <c:scaling>
          <c:orientation val="minMax"/>
        </c:scaling>
        <c:axPos val="b"/>
        <c:numFmt formatCode="General" sourceLinked="0"/>
        <c:tickLblPos val="nextTo"/>
        <c:crossAx val="202085504"/>
        <c:crosses val="autoZero"/>
        <c:auto val="1"/>
        <c:lblAlgn val="ctr"/>
        <c:lblOffset val="100"/>
      </c:catAx>
      <c:valAx>
        <c:axId val="202085504"/>
        <c:scaling>
          <c:orientation val="minMax"/>
        </c:scaling>
        <c:axPos val="l"/>
        <c:majorGridlines/>
        <c:numFmt formatCode="General" sourceLinked="1"/>
        <c:tickLblPos val="nextTo"/>
        <c:crossAx val="202079616"/>
        <c:crosses val="autoZero"/>
        <c:crossBetween val="between"/>
      </c:valAx>
    </c:plotArea>
    <c:legend>
      <c:legendPos val="b"/>
    </c:legend>
    <c:plotVisOnly val="1"/>
    <c:dispBlanksAs val="gap"/>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'!$C$69</c:f>
              <c:strCache>
                <c:ptCount val="1"/>
                <c:pt idx="0">
                  <c:v>дети (0-14 лет)</c:v>
                </c:pt>
              </c:strCache>
            </c:strRef>
          </c:tx>
          <c:dLbls>
            <c:dLbl>
              <c:idx val="5"/>
              <c:layout>
                <c:manualLayout>
                  <c:x val="1.0185067526416507E-16"/>
                  <c:y val="1.38888888888891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'!$C$70:$C$76</c:f>
              <c:numCache>
                <c:formatCode>General</c:formatCode>
                <c:ptCount val="7"/>
                <c:pt idx="0">
                  <c:v>1588</c:v>
                </c:pt>
                <c:pt idx="1">
                  <c:v>1915.7</c:v>
                </c:pt>
                <c:pt idx="2">
                  <c:v>1933.8</c:v>
                </c:pt>
                <c:pt idx="3">
                  <c:v>1926.1</c:v>
                </c:pt>
                <c:pt idx="4">
                  <c:v>1903.5</c:v>
                </c:pt>
                <c:pt idx="5">
                  <c:v>574</c:v>
                </c:pt>
                <c:pt idx="6">
                  <c:v>1529.8</c:v>
                </c:pt>
              </c:numCache>
            </c:numRef>
          </c:val>
          <c:extLst xmlns:c16r2="http://schemas.microsoft.com/office/drawing/2015/06/chart">
            <c:ext xmlns:c16="http://schemas.microsoft.com/office/drawing/2014/chart" uri="{C3380CC4-5D6E-409C-BE32-E72D297353CC}">
              <c16:uniqueId val="{00000001-5E6B-49EA-AC4F-6BAB5D8B2555}"/>
            </c:ext>
          </c:extLst>
        </c:ser>
        <c:ser>
          <c:idx val="1"/>
          <c:order val="1"/>
          <c:tx>
            <c:strRef>
              <c:f>'Здравоохранение      '!$D$69</c:f>
              <c:strCache>
                <c:ptCount val="1"/>
                <c:pt idx="0">
                  <c:v>подростки (15-17 лет)</c:v>
                </c:pt>
              </c:strCache>
            </c:strRef>
          </c:tx>
          <c:dLbls>
            <c:dLbl>
              <c:idx val="0"/>
              <c:layout>
                <c:manualLayout>
                  <c:x val="2.7777777777778598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E6B-49EA-AC4F-6BAB5D8B2555}"/>
                </c:ext>
              </c:extLst>
            </c:dLbl>
            <c:dLbl>
              <c:idx val="1"/>
              <c:layout>
                <c:manualLayout>
                  <c:x val="2.222222222222225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E6B-49EA-AC4F-6BAB5D8B2555}"/>
                </c:ext>
              </c:extLst>
            </c:dLbl>
            <c:dLbl>
              <c:idx val="2"/>
              <c:layout>
                <c:manualLayout>
                  <c:x val="3.2080874283778212E-2"/>
                  <c:y val="2.2354539015956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E6B-49EA-AC4F-6BAB5D8B2555}"/>
                </c:ext>
              </c:extLst>
            </c:dLbl>
            <c:dLbl>
              <c:idx val="3"/>
              <c:layout>
                <c:manualLayout>
                  <c:x val="2.951183125230734E-2"/>
                  <c:y val="1.38889305503479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E6B-49EA-AC4F-6BAB5D8B2555}"/>
                </c:ext>
              </c:extLst>
            </c:dLbl>
            <c:dLbl>
              <c:idx val="4"/>
              <c:layout>
                <c:manualLayout>
                  <c:x val="2.2430982254385851E-2"/>
                  <c:y val="1.26984126984127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E6B-49EA-AC4F-6BAB5D8B2555}"/>
                </c:ext>
              </c:extLst>
            </c:dLbl>
            <c:dLbl>
              <c:idx val="6"/>
              <c:layout>
                <c:manualLayout>
                  <c:x val="3.5276197411740297E-2"/>
                  <c:y val="2.55291421905595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'!$D$70:$D$76</c:f>
              <c:numCache>
                <c:formatCode>General</c:formatCode>
                <c:ptCount val="7"/>
                <c:pt idx="0">
                  <c:v>1212.5999999999999</c:v>
                </c:pt>
                <c:pt idx="1">
                  <c:v>1210.5</c:v>
                </c:pt>
                <c:pt idx="2">
                  <c:v>1213.5999999999999</c:v>
                </c:pt>
                <c:pt idx="3">
                  <c:v>1302.5999999999999</c:v>
                </c:pt>
                <c:pt idx="4">
                  <c:v>1292.3</c:v>
                </c:pt>
                <c:pt idx="5">
                  <c:v>1321</c:v>
                </c:pt>
                <c:pt idx="6">
                  <c:v>1385.2</c:v>
                </c:pt>
              </c:numCache>
            </c:numRef>
          </c:val>
          <c:extLst xmlns:c16r2="http://schemas.microsoft.com/office/drawing/2015/06/chart">
            <c:ext xmlns:c16="http://schemas.microsoft.com/office/drawing/2014/chart" uri="{C3380CC4-5D6E-409C-BE32-E72D297353CC}">
              <c16:uniqueId val="{00000008-5E6B-49EA-AC4F-6BAB5D8B2555}"/>
            </c:ext>
          </c:extLst>
        </c:ser>
        <c:ser>
          <c:idx val="2"/>
          <c:order val="2"/>
          <c:tx>
            <c:strRef>
              <c:f>'Здравоохранение      '!$E$69</c:f>
              <c:strCache>
                <c:ptCount val="1"/>
                <c:pt idx="0">
                  <c:v>взрослые (старше 17 лет)</c:v>
                </c:pt>
              </c:strCache>
            </c:strRef>
          </c:tx>
          <c:dLbls>
            <c:dLbl>
              <c:idx val="0"/>
              <c:layout>
                <c:manualLayout>
                  <c:x val="1.9444444444444445E-2"/>
                  <c:y val="1.388888888888913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E6B-49EA-AC4F-6BAB5D8B2555}"/>
                </c:ext>
              </c:extLst>
            </c:dLbl>
            <c:dLbl>
              <c:idx val="1"/>
              <c:layout>
                <c:manualLayout>
                  <c:x val="2.2222222222222251E-2"/>
                  <c:y val="9.259259259259487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E6B-49EA-AC4F-6BAB5D8B2555}"/>
                </c:ext>
              </c:extLst>
            </c:dLbl>
            <c:dLbl>
              <c:idx val="2"/>
              <c:layout>
                <c:manualLayout>
                  <c:x val="1.6666666666666701E-2"/>
                  <c:y val="9.259259259259487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E6B-49EA-AC4F-6BAB5D8B2555}"/>
                </c:ext>
              </c:extLst>
            </c:dLbl>
            <c:dLbl>
              <c:idx val="3"/>
              <c:layout>
                <c:manualLayout>
                  <c:x val="2.50000000000000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E6B-49EA-AC4F-6BAB5D8B2555}"/>
                </c:ext>
              </c:extLst>
            </c:dLbl>
            <c:dLbl>
              <c:idx val="5"/>
              <c:layout>
                <c:manualLayout>
                  <c:x val="2.4999999999999897E-2"/>
                  <c:y val="2.77777777777785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E6B-49EA-AC4F-6BAB5D8B2555}"/>
                </c:ext>
              </c:extLst>
            </c:dLbl>
            <c:dLbl>
              <c:idx val="6"/>
              <c:layout>
                <c:manualLayout>
                  <c:x val="1.111111111111102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5E6B-49EA-AC4F-6BAB5D8B255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'Здравоохранение      '!$B$70:$B$76</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'!$E$70:$E$76</c:f>
              <c:numCache>
                <c:formatCode>General</c:formatCode>
                <c:ptCount val="7"/>
                <c:pt idx="0">
                  <c:v>367.4</c:v>
                </c:pt>
                <c:pt idx="1">
                  <c:v>377.4</c:v>
                </c:pt>
                <c:pt idx="2">
                  <c:v>427</c:v>
                </c:pt>
                <c:pt idx="3">
                  <c:v>444.5</c:v>
                </c:pt>
                <c:pt idx="4">
                  <c:v>442.6</c:v>
                </c:pt>
                <c:pt idx="5">
                  <c:v>457.3</c:v>
                </c:pt>
                <c:pt idx="6">
                  <c:v>399.5</c:v>
                </c:pt>
              </c:numCache>
            </c:numRef>
          </c:val>
          <c:extLst xmlns:c16r2="http://schemas.microsoft.com/office/drawing/2015/06/chart">
            <c:ext xmlns:c16="http://schemas.microsoft.com/office/drawing/2014/chart" uri="{C3380CC4-5D6E-409C-BE32-E72D297353CC}">
              <c16:uniqueId val="{0000000F-5E6B-49EA-AC4F-6BAB5D8B2555}"/>
            </c:ext>
          </c:extLst>
        </c:ser>
        <c:axId val="202475392"/>
        <c:axId val="202476928"/>
      </c:barChart>
      <c:catAx>
        <c:axId val="202475392"/>
        <c:scaling>
          <c:orientation val="minMax"/>
        </c:scaling>
        <c:axPos val="b"/>
        <c:numFmt formatCode="General" sourceLinked="0"/>
        <c:tickLblPos val="nextTo"/>
        <c:crossAx val="202476928"/>
        <c:crosses val="autoZero"/>
        <c:auto val="1"/>
        <c:lblAlgn val="ctr"/>
        <c:lblOffset val="100"/>
      </c:catAx>
      <c:valAx>
        <c:axId val="202476928"/>
        <c:scaling>
          <c:orientation val="minMax"/>
        </c:scaling>
        <c:axPos val="l"/>
        <c:majorGridlines/>
        <c:numFmt formatCode="General" sourceLinked="1"/>
        <c:tickLblPos val="nextTo"/>
        <c:crossAx val="202475392"/>
        <c:crosses val="autoZero"/>
        <c:crossBetween val="between"/>
      </c:valAx>
    </c:plotArea>
    <c:legend>
      <c:legendPos val="b"/>
    </c:legend>
    <c:plotVisOnly val="1"/>
    <c:dispBlanksAs val="gap"/>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'Здравоохранение      '!$C$96</c:f>
              <c:strCache>
                <c:ptCount val="1"/>
                <c:pt idx="0">
                  <c:v>Младенческая смертность, промилле</c:v>
                </c:pt>
              </c:strCache>
            </c:strRef>
          </c:tx>
          <c:dLbls>
            <c:spPr>
              <a:noFill/>
              <a:ln>
                <a:noFill/>
              </a:ln>
              <a:effectLst/>
            </c:spPr>
            <c:txPr>
              <a:bodyPr/>
              <a:lstStyle/>
              <a:p>
                <a:pPr>
                  <a:defRPr sz="12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'!$B$97:$B$103</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'!$C$97:$C$103</c:f>
              <c:numCache>
                <c:formatCode>General</c:formatCode>
                <c:ptCount val="7"/>
                <c:pt idx="0">
                  <c:v>8.3000000000000007</c:v>
                </c:pt>
                <c:pt idx="1">
                  <c:v>17</c:v>
                </c:pt>
                <c:pt idx="2">
                  <c:v>4.9000000000000004</c:v>
                </c:pt>
                <c:pt idx="3">
                  <c:v>2.2999999999999998</c:v>
                </c:pt>
                <c:pt idx="4">
                  <c:v>21.1</c:v>
                </c:pt>
                <c:pt idx="5">
                  <c:v>5.5</c:v>
                </c:pt>
                <c:pt idx="6">
                  <c:v>22.7</c:v>
                </c:pt>
              </c:numCache>
            </c:numRef>
          </c:val>
          <c:extLst xmlns:c16r2="http://schemas.microsoft.com/office/drawing/2015/06/chart">
            <c:ext xmlns:c16="http://schemas.microsoft.com/office/drawing/2014/chart" uri="{C3380CC4-5D6E-409C-BE32-E72D297353CC}">
              <c16:uniqueId val="{00000000-CB26-430A-96A3-41075BC824D6}"/>
            </c:ext>
          </c:extLst>
        </c:ser>
        <c:axId val="202523008"/>
        <c:axId val="202524544"/>
      </c:barChart>
      <c:catAx>
        <c:axId val="202523008"/>
        <c:scaling>
          <c:orientation val="minMax"/>
        </c:scaling>
        <c:axPos val="b"/>
        <c:numFmt formatCode="General" sourceLinked="0"/>
        <c:tickLblPos val="nextTo"/>
        <c:crossAx val="202524544"/>
        <c:crosses val="autoZero"/>
        <c:auto val="1"/>
        <c:lblAlgn val="ctr"/>
        <c:lblOffset val="100"/>
      </c:catAx>
      <c:valAx>
        <c:axId val="202524544"/>
        <c:scaling>
          <c:orientation val="minMax"/>
        </c:scaling>
        <c:axPos val="l"/>
        <c:majorGridlines/>
        <c:numFmt formatCode="General" sourceLinked="1"/>
        <c:tickLblPos val="nextTo"/>
        <c:crossAx val="202523008"/>
        <c:crosses val="autoZero"/>
        <c:crossBetween val="between"/>
      </c:valAx>
    </c:plotArea>
    <c:plotVisOnly val="1"/>
    <c:dispBlanksAs val="gap"/>
  </c:chart>
  <c:spPr>
    <a:ln>
      <a:noFill/>
    </a:ln>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'Здравоохранение      '!$C$111</c:f>
              <c:strCache>
                <c:ptCount val="1"/>
                <c:pt idx="0">
                  <c:v>Количество больничных коек на 10000 чел.</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'!$C$112:$C$118</c:f>
              <c:numCache>
                <c:formatCode>General</c:formatCode>
                <c:ptCount val="7"/>
                <c:pt idx="0">
                  <c:v>20.9</c:v>
                </c:pt>
                <c:pt idx="1">
                  <c:v>21.9</c:v>
                </c:pt>
                <c:pt idx="2">
                  <c:v>22</c:v>
                </c:pt>
                <c:pt idx="3">
                  <c:v>22.6</c:v>
                </c:pt>
                <c:pt idx="4">
                  <c:v>22.3</c:v>
                </c:pt>
                <c:pt idx="5">
                  <c:v>22.6</c:v>
                </c:pt>
                <c:pt idx="6">
                  <c:v>22.7</c:v>
                </c:pt>
              </c:numCache>
            </c:numRef>
          </c:val>
          <c:extLst xmlns:c16r2="http://schemas.microsoft.com/office/drawing/2015/06/chart">
            <c:ext xmlns:c16="http://schemas.microsoft.com/office/drawing/2014/chart" uri="{C3380CC4-5D6E-409C-BE32-E72D297353CC}">
              <c16:uniqueId val="{00000000-2717-4107-86B6-EEEEF9111B7A}"/>
            </c:ext>
          </c:extLst>
        </c:ser>
        <c:ser>
          <c:idx val="1"/>
          <c:order val="1"/>
          <c:tx>
            <c:strRef>
              <c:f>'Здравоохранение      '!$D$111</c:f>
              <c:strCache>
                <c:ptCount val="1"/>
                <c:pt idx="0">
                  <c:v>Обеспеченность врачами  на 10000 человек населения, единиц</c:v>
                </c:pt>
              </c:strCache>
            </c:strRef>
          </c:tx>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'!$D$112:$D$118</c:f>
              <c:numCache>
                <c:formatCode>General</c:formatCode>
                <c:ptCount val="7"/>
                <c:pt idx="0">
                  <c:v>20.9</c:v>
                </c:pt>
                <c:pt idx="1">
                  <c:v>21.9</c:v>
                </c:pt>
                <c:pt idx="2">
                  <c:v>22</c:v>
                </c:pt>
                <c:pt idx="3">
                  <c:v>22.6</c:v>
                </c:pt>
                <c:pt idx="4">
                  <c:v>22.3</c:v>
                </c:pt>
                <c:pt idx="5">
                  <c:v>22.6</c:v>
                </c:pt>
                <c:pt idx="6">
                  <c:v>22.7</c:v>
                </c:pt>
              </c:numCache>
            </c:numRef>
          </c:val>
          <c:extLst xmlns:c16r2="http://schemas.microsoft.com/office/drawing/2015/06/chart">
            <c:ext xmlns:c16="http://schemas.microsoft.com/office/drawing/2014/chart" uri="{C3380CC4-5D6E-409C-BE32-E72D297353CC}">
              <c16:uniqueId val="{00000001-2717-4107-86B6-EEEEF9111B7A}"/>
            </c:ext>
          </c:extLst>
        </c:ser>
        <c:ser>
          <c:idx val="2"/>
          <c:order val="2"/>
          <c:tx>
            <c:strRef>
              <c:f>'Здравоохранение      '!$E$111</c:f>
              <c:strCache>
                <c:ptCount val="1"/>
                <c:pt idx="0">
                  <c:v>Обеспеченность средним медицинским персонала на 10000 человек населения, единиц</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'Здравоохранение      '!$B$112:$B$118</c:f>
              <c:strCache>
                <c:ptCount val="7"/>
                <c:pt idx="0">
                  <c:v>01.01.2011 г.</c:v>
                </c:pt>
                <c:pt idx="1">
                  <c:v>01.01.2012 г.</c:v>
                </c:pt>
                <c:pt idx="2">
                  <c:v>01.01.2013 г.</c:v>
                </c:pt>
                <c:pt idx="3">
                  <c:v>01.01.2014 г.</c:v>
                </c:pt>
                <c:pt idx="4">
                  <c:v>01.01.2015 г.</c:v>
                </c:pt>
                <c:pt idx="5">
                  <c:v>01.01.2016 г.</c:v>
                </c:pt>
                <c:pt idx="6">
                  <c:v>01.01.2017 г.</c:v>
                </c:pt>
              </c:strCache>
            </c:strRef>
          </c:cat>
          <c:val>
            <c:numRef>
              <c:f>'Здравоохранение      '!$E$112:$E$118</c:f>
              <c:numCache>
                <c:formatCode>General</c:formatCode>
                <c:ptCount val="7"/>
                <c:pt idx="0">
                  <c:v>68.7</c:v>
                </c:pt>
                <c:pt idx="1">
                  <c:v>74.8</c:v>
                </c:pt>
                <c:pt idx="2">
                  <c:v>71.2</c:v>
                </c:pt>
                <c:pt idx="3">
                  <c:v>71.7</c:v>
                </c:pt>
                <c:pt idx="4">
                  <c:v>69.900000000000006</c:v>
                </c:pt>
                <c:pt idx="5">
                  <c:v>66.400000000000006</c:v>
                </c:pt>
                <c:pt idx="6">
                  <c:v>65.3</c:v>
                </c:pt>
              </c:numCache>
            </c:numRef>
          </c:val>
          <c:extLst xmlns:c16r2="http://schemas.microsoft.com/office/drawing/2015/06/chart">
            <c:ext xmlns:c16="http://schemas.microsoft.com/office/drawing/2014/chart" uri="{C3380CC4-5D6E-409C-BE32-E72D297353CC}">
              <c16:uniqueId val="{00000002-2717-4107-86B6-EEEEF9111B7A}"/>
            </c:ext>
          </c:extLst>
        </c:ser>
        <c:axId val="202546176"/>
        <c:axId val="202560256"/>
      </c:barChart>
      <c:catAx>
        <c:axId val="202546176"/>
        <c:scaling>
          <c:orientation val="minMax"/>
        </c:scaling>
        <c:axPos val="b"/>
        <c:numFmt formatCode="General" sourceLinked="0"/>
        <c:tickLblPos val="nextTo"/>
        <c:crossAx val="202560256"/>
        <c:crosses val="autoZero"/>
        <c:auto val="1"/>
        <c:lblAlgn val="ctr"/>
        <c:lblOffset val="100"/>
      </c:catAx>
      <c:valAx>
        <c:axId val="202560256"/>
        <c:scaling>
          <c:orientation val="minMax"/>
        </c:scaling>
        <c:axPos val="l"/>
        <c:majorGridlines/>
        <c:numFmt formatCode="General" sourceLinked="1"/>
        <c:tickLblPos val="nextTo"/>
        <c:crossAx val="202546176"/>
        <c:crosses val="autoZero"/>
        <c:crossBetween val="between"/>
      </c:valAx>
    </c:plotArea>
    <c:legend>
      <c:legendPos val="b"/>
    </c:legend>
    <c:plotVisOnly val="1"/>
    <c:dispBlanksAs val="gap"/>
  </c:chart>
  <c:spPr>
    <a:ln>
      <a:noFill/>
    </a:ln>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досуг'!$C$2</c:f>
              <c:strCache>
                <c:ptCount val="1"/>
                <c:pt idx="0">
                  <c:v>Библиотечный фонд, количество экземпляров на 1000 человек</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досуг'!$B$3:$B$9</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досуг'!$C$3:$C$9</c:f>
              <c:numCache>
                <c:formatCode>General</c:formatCode>
                <c:ptCount val="7"/>
                <c:pt idx="0">
                  <c:v>436160</c:v>
                </c:pt>
                <c:pt idx="1">
                  <c:v>261750</c:v>
                </c:pt>
                <c:pt idx="2">
                  <c:v>255650</c:v>
                </c:pt>
                <c:pt idx="3">
                  <c:v>234344</c:v>
                </c:pt>
                <c:pt idx="4">
                  <c:v>248305</c:v>
                </c:pt>
                <c:pt idx="5">
                  <c:v>243533</c:v>
                </c:pt>
                <c:pt idx="6">
                  <c:v>239188</c:v>
                </c:pt>
              </c:numCache>
            </c:numRef>
          </c:val>
          <c:extLst xmlns:c16r2="http://schemas.microsoft.com/office/drawing/2015/06/chart">
            <c:ext xmlns:c16="http://schemas.microsoft.com/office/drawing/2014/chart" uri="{C3380CC4-5D6E-409C-BE32-E72D297353CC}">
              <c16:uniqueId val="{00000000-81D8-4728-A01B-DD508F9ADAE0}"/>
            </c:ext>
          </c:extLst>
        </c:ser>
        <c:axId val="202584448"/>
        <c:axId val="202585984"/>
      </c:barChart>
      <c:catAx>
        <c:axId val="202584448"/>
        <c:scaling>
          <c:orientation val="minMax"/>
        </c:scaling>
        <c:axPos val="b"/>
        <c:numFmt formatCode="General" sourceLinked="0"/>
        <c:tickLblPos val="nextTo"/>
        <c:crossAx val="202585984"/>
        <c:crosses val="autoZero"/>
        <c:auto val="1"/>
        <c:lblAlgn val="ctr"/>
        <c:lblOffset val="100"/>
      </c:catAx>
      <c:valAx>
        <c:axId val="202585984"/>
        <c:scaling>
          <c:orientation val="minMax"/>
        </c:scaling>
        <c:axPos val="l"/>
        <c:majorGridlines/>
        <c:numFmt formatCode="General" sourceLinked="1"/>
        <c:tickLblPos val="nextTo"/>
        <c:crossAx val="202584448"/>
        <c:crosses val="autoZero"/>
        <c:crossBetween val="between"/>
      </c:valAx>
    </c:plotArea>
    <c:plotVisOnly val="1"/>
    <c:dispBlanksAs val="gap"/>
  </c:chart>
  <c:spPr>
    <a:ln>
      <a:noFill/>
    </a:ln>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досуг'!$C$14</c:f>
              <c:strCache>
                <c:ptCount val="1"/>
                <c:pt idx="0">
                  <c:v>Численность детей отдохнувших в лагерях, чел.</c:v>
                </c:pt>
              </c:strCache>
            </c:strRef>
          </c:tx>
          <c:dLbls>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досуг'!$B$15:$B$21</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досуг'!$C$15:$C$21</c:f>
              <c:numCache>
                <c:formatCode>General</c:formatCode>
                <c:ptCount val="7"/>
                <c:pt idx="0">
                  <c:v>3349</c:v>
                </c:pt>
                <c:pt idx="1">
                  <c:v>3153</c:v>
                </c:pt>
                <c:pt idx="2">
                  <c:v>2865</c:v>
                </c:pt>
                <c:pt idx="3">
                  <c:v>2891</c:v>
                </c:pt>
                <c:pt idx="4">
                  <c:v>2781</c:v>
                </c:pt>
                <c:pt idx="5">
                  <c:v>2643</c:v>
                </c:pt>
                <c:pt idx="6">
                  <c:v>2708</c:v>
                </c:pt>
              </c:numCache>
            </c:numRef>
          </c:val>
          <c:extLst xmlns:c16r2="http://schemas.microsoft.com/office/drawing/2015/06/chart">
            <c:ext xmlns:c16="http://schemas.microsoft.com/office/drawing/2014/chart" uri="{C3380CC4-5D6E-409C-BE32-E72D297353CC}">
              <c16:uniqueId val="{00000000-DE8F-4976-90EE-84835BD90D4F}"/>
            </c:ext>
          </c:extLst>
        </c:ser>
        <c:axId val="202601600"/>
        <c:axId val="202603136"/>
      </c:barChart>
      <c:catAx>
        <c:axId val="202601600"/>
        <c:scaling>
          <c:orientation val="minMax"/>
        </c:scaling>
        <c:axPos val="b"/>
        <c:numFmt formatCode="General" sourceLinked="0"/>
        <c:tickLblPos val="nextTo"/>
        <c:crossAx val="202603136"/>
        <c:crosses val="autoZero"/>
        <c:auto val="1"/>
        <c:lblAlgn val="ctr"/>
        <c:lblOffset val="100"/>
      </c:catAx>
      <c:valAx>
        <c:axId val="202603136"/>
        <c:scaling>
          <c:orientation val="minMax"/>
        </c:scaling>
        <c:axPos val="l"/>
        <c:majorGridlines/>
        <c:numFmt formatCode="General" sourceLinked="1"/>
        <c:tickLblPos val="nextTo"/>
        <c:crossAx val="202601600"/>
        <c:crosses val="autoZero"/>
        <c:crossBetween val="between"/>
      </c:valAx>
    </c:plotArea>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демография!$G$4</c:f>
              <c:strCache>
                <c:ptCount val="1"/>
                <c:pt idx="0">
                  <c:v>Численность населения по данным Пермьстата, человек.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демография!$F$5:$F$11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демография!$G$5:$G$11</c:f>
              <c:numCache>
                <c:formatCode>General</c:formatCode>
                <c:ptCount val="7"/>
                <c:pt idx="0">
                  <c:v>25588</c:v>
                </c:pt>
                <c:pt idx="1">
                  <c:v>25431</c:v>
                </c:pt>
                <c:pt idx="2">
                  <c:v>25249</c:v>
                </c:pt>
                <c:pt idx="3">
                  <c:v>25555</c:v>
                </c:pt>
                <c:pt idx="4">
                  <c:v>25172</c:v>
                </c:pt>
                <c:pt idx="5">
                  <c:v>25251</c:v>
                </c:pt>
                <c:pt idx="6">
                  <c:v>25291</c:v>
                </c:pt>
              </c:numCache>
            </c:numRef>
          </c:val>
          <c:extLst xmlns:c16r2="http://schemas.microsoft.com/office/drawing/2015/06/chart">
            <c:ext xmlns:c16="http://schemas.microsoft.com/office/drawing/2014/chart" uri="{C3380CC4-5D6E-409C-BE32-E72D297353CC}">
              <c16:uniqueId val="{00000000-504E-44A5-B080-A96F9A7D2CB2}"/>
            </c:ext>
          </c:extLst>
        </c:ser>
        <c:overlap val="100"/>
        <c:axId val="191425920"/>
        <c:axId val="193771008"/>
      </c:barChart>
      <c:catAx>
        <c:axId val="191425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771008"/>
        <c:crosses val="autoZero"/>
        <c:auto val="1"/>
        <c:lblAlgn val="ctr"/>
        <c:lblOffset val="100"/>
      </c:catAx>
      <c:valAx>
        <c:axId val="1937710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42592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'культура досуг'!$C$42</c:f>
              <c:strCache>
                <c:ptCount val="1"/>
                <c:pt idx="0">
                  <c:v>Численность пенсионеров, человек</c:v>
                </c:pt>
              </c:strCache>
            </c:strRef>
          </c:tx>
          <c:dLbls>
            <c:dLbl>
              <c:idx val="0"/>
              <c:layout>
                <c:manualLayout>
                  <c:x val="-5.4054054054054092E-2"/>
                  <c:y val="5.7613168724279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DA3-4F9B-B78C-7F879F0BC2C1}"/>
                </c:ext>
              </c:extLst>
            </c:dLbl>
            <c:dLbl>
              <c:idx val="1"/>
              <c:layout>
                <c:manualLayout>
                  <c:x val="-4.6332046332047024E-2"/>
                  <c:y val="-6.17283950617283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DA3-4F9B-B78C-7F879F0BC2C1}"/>
                </c:ext>
              </c:extLst>
            </c:dLbl>
            <c:dLbl>
              <c:idx val="2"/>
              <c:layout>
                <c:manualLayout>
                  <c:x val="-3.8610038610038609E-2"/>
                  <c:y val="-6.17283950617283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DA3-4F9B-B78C-7F879F0BC2C1}"/>
                </c:ext>
              </c:extLst>
            </c:dLbl>
            <c:dLbl>
              <c:idx val="4"/>
              <c:layout>
                <c:manualLayout>
                  <c:x val="-4.3758043758043812E-2"/>
                  <c:y val="-5.761316872427979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DA3-4F9B-B78C-7F879F0BC2C1}"/>
                </c:ext>
              </c:extLst>
            </c:dLbl>
            <c:dLbl>
              <c:idx val="5"/>
              <c:layout>
                <c:manualLayout>
                  <c:x val="-5.4054054054054022E-2"/>
                  <c:y val="5.34979423868313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DA3-4F9B-B78C-7F879F0BC2C1}"/>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досуг'!$B$43:$B$49</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досуг'!$C$43:$C$49</c:f>
              <c:numCache>
                <c:formatCode>General</c:formatCode>
                <c:ptCount val="7"/>
                <c:pt idx="0">
                  <c:v>5956</c:v>
                </c:pt>
                <c:pt idx="1">
                  <c:v>5982</c:v>
                </c:pt>
                <c:pt idx="2">
                  <c:v>6078</c:v>
                </c:pt>
                <c:pt idx="3">
                  <c:v>6141</c:v>
                </c:pt>
                <c:pt idx="4">
                  <c:v>7929</c:v>
                </c:pt>
                <c:pt idx="5">
                  <c:v>7943</c:v>
                </c:pt>
                <c:pt idx="6">
                  <c:v>7990</c:v>
                </c:pt>
              </c:numCache>
            </c:numRef>
          </c:val>
          <c:extLst xmlns:c16r2="http://schemas.microsoft.com/office/drawing/2015/06/chart">
            <c:ext xmlns:c16="http://schemas.microsoft.com/office/drawing/2014/chart" uri="{C3380CC4-5D6E-409C-BE32-E72D297353CC}">
              <c16:uniqueId val="{00000005-FDA3-4F9B-B78C-7F879F0BC2C1}"/>
            </c:ext>
          </c:extLst>
        </c:ser>
        <c:marker val="1"/>
        <c:axId val="202672000"/>
        <c:axId val="202673536"/>
      </c:lineChart>
      <c:catAx>
        <c:axId val="202672000"/>
        <c:scaling>
          <c:orientation val="minMax"/>
        </c:scaling>
        <c:axPos val="b"/>
        <c:numFmt formatCode="General" sourceLinked="0"/>
        <c:tickLblPos val="nextTo"/>
        <c:crossAx val="202673536"/>
        <c:crosses val="autoZero"/>
        <c:auto val="1"/>
        <c:lblAlgn val="ctr"/>
        <c:lblOffset val="100"/>
      </c:catAx>
      <c:valAx>
        <c:axId val="202673536"/>
        <c:scaling>
          <c:orientation val="minMax"/>
        </c:scaling>
        <c:axPos val="l"/>
        <c:majorGridlines/>
        <c:numFmt formatCode="General" sourceLinked="1"/>
        <c:tickLblPos val="nextTo"/>
        <c:crossAx val="202672000"/>
        <c:crosses val="autoZero"/>
        <c:crossBetween val="between"/>
      </c:valAx>
    </c:plotArea>
    <c:plotVisOnly val="1"/>
    <c:dispBlanksAs val="gap"/>
  </c:chart>
  <c:spPr>
    <a:ln>
      <a:noFill/>
    </a:ln>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досуг'!$C$66</c:f>
              <c:strCache>
                <c:ptCount val="1"/>
                <c:pt idx="0">
                  <c:v>Средний размер месячных пенсий на конец года, руб.</c:v>
                </c:pt>
              </c:strCache>
            </c:strRef>
          </c:tx>
          <c:dLbls>
            <c:dLbl>
              <c:idx val="1"/>
              <c:layout>
                <c:manualLayout>
                  <c:x val="1.66666666666667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347-4FC7-BD7E-2E49ACF6417B}"/>
                </c:ext>
              </c:extLst>
            </c:dLbl>
            <c:dLbl>
              <c:idx val="2"/>
              <c:layout>
                <c:manualLayout>
                  <c:x val="1.6666666666666701E-2"/>
                  <c:y val="1.38888888888891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347-4FC7-BD7E-2E49ACF6417B}"/>
                </c:ext>
              </c:extLst>
            </c:dLbl>
            <c:dLbl>
              <c:idx val="3"/>
              <c:layout>
                <c:manualLayout>
                  <c:x val="2.7777777777778664E-3"/>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347-4FC7-BD7E-2E49ACF6417B}"/>
                </c:ext>
              </c:extLst>
            </c:dLbl>
            <c:dLbl>
              <c:idx val="4"/>
              <c:layout>
                <c:manualLayout>
                  <c:x val="8.3333333333333367E-3"/>
                  <c:y val="-3.24074074074080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347-4FC7-BD7E-2E49ACF6417B}"/>
                </c:ext>
              </c:extLst>
            </c:dLbl>
            <c:dLbl>
              <c:idx val="5"/>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347-4FC7-BD7E-2E49ACF6417B}"/>
                </c:ext>
              </c:extLst>
            </c:dLbl>
            <c:dLbl>
              <c:idx val="6"/>
              <c:layout>
                <c:manualLayout>
                  <c:x val="2.2222222222222251E-2"/>
                  <c:y val="1.388888888888912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347-4FC7-BD7E-2E49ACF6417B}"/>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досуг'!$B$67:$B$73</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досуг'!$C$67:$C$73</c:f>
              <c:numCache>
                <c:formatCode>General</c:formatCode>
                <c:ptCount val="7"/>
                <c:pt idx="0">
                  <c:v>8722.5</c:v>
                </c:pt>
                <c:pt idx="1">
                  <c:v>8896.4</c:v>
                </c:pt>
                <c:pt idx="2">
                  <c:v>8956.2999999999811</c:v>
                </c:pt>
                <c:pt idx="3">
                  <c:v>9005.1</c:v>
                </c:pt>
                <c:pt idx="4">
                  <c:v>9064.7999999999811</c:v>
                </c:pt>
                <c:pt idx="5">
                  <c:v>10095.33</c:v>
                </c:pt>
                <c:pt idx="6">
                  <c:v>10456.959999999819</c:v>
                </c:pt>
              </c:numCache>
            </c:numRef>
          </c:val>
          <c:extLst xmlns:c16r2="http://schemas.microsoft.com/office/drawing/2015/06/chart">
            <c:ext xmlns:c16="http://schemas.microsoft.com/office/drawing/2014/chart" uri="{C3380CC4-5D6E-409C-BE32-E72D297353CC}">
              <c16:uniqueId val="{00000006-F347-4FC7-BD7E-2E49ACF6417B}"/>
            </c:ext>
          </c:extLst>
        </c:ser>
        <c:axId val="202700672"/>
        <c:axId val="190968192"/>
      </c:barChart>
      <c:catAx>
        <c:axId val="202700672"/>
        <c:scaling>
          <c:orientation val="minMax"/>
        </c:scaling>
        <c:axPos val="b"/>
        <c:numFmt formatCode="General" sourceLinked="0"/>
        <c:tickLblPos val="nextTo"/>
        <c:crossAx val="190968192"/>
        <c:crosses val="autoZero"/>
        <c:auto val="1"/>
        <c:lblAlgn val="ctr"/>
        <c:lblOffset val="100"/>
      </c:catAx>
      <c:valAx>
        <c:axId val="190968192"/>
        <c:scaling>
          <c:orientation val="minMax"/>
        </c:scaling>
        <c:axPos val="l"/>
        <c:majorGridlines/>
        <c:numFmt formatCode="General" sourceLinked="1"/>
        <c:tickLblPos val="nextTo"/>
        <c:crossAx val="202700672"/>
        <c:crosses val="autoZero"/>
        <c:crossBetween val="between"/>
      </c:valAx>
    </c:plotArea>
    <c:plotVisOnly val="1"/>
    <c:dispBlanksAs val="gap"/>
  </c:chart>
  <c:spPr>
    <a:ln>
      <a:noFill/>
    </a:ln>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dLbls>
            <c:dLbl>
              <c:idx val="0"/>
              <c:layout>
                <c:manualLayout>
                  <c:x val="0"/>
                  <c:y val="4.73372634029840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E2D-49BE-8744-E14577D80D52}"/>
                </c:ext>
              </c:extLst>
            </c:dLbl>
            <c:dLbl>
              <c:idx val="1"/>
              <c:layout>
                <c:manualLayout>
                  <c:x val="0"/>
                  <c:y val="3.9447719502486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E2D-49BE-8744-E14577D80D52}"/>
                </c:ext>
              </c:extLst>
            </c:dLbl>
            <c:dLbl>
              <c:idx val="2"/>
              <c:layout>
                <c:manualLayout>
                  <c:x val="0"/>
                  <c:y val="2.7613403651740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E2D-49BE-8744-E14577D80D52}"/>
                </c:ext>
              </c:extLst>
            </c:dLbl>
            <c:dLbl>
              <c:idx val="4"/>
              <c:layout>
                <c:manualLayout>
                  <c:x val="8.258161394731892E-17"/>
                  <c:y val="3.94477195024866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E2D-49BE-8744-E14577D80D52}"/>
                </c:ext>
              </c:extLst>
            </c:dLbl>
            <c:dLbl>
              <c:idx val="5"/>
              <c:layout>
                <c:manualLayout>
                  <c:x val="-2.2522518528318492E-3"/>
                  <c:y val="3.550294755223800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E2D-49BE-8744-E14577D80D5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Консерв.!$R$69:$X$69</c:f>
              <c:strCache>
                <c:ptCount val="7"/>
                <c:pt idx="0">
                  <c:v>01.01.2011 г.</c:v>
                </c:pt>
                <c:pt idx="1">
                  <c:v>01.01.2012 г.</c:v>
                </c:pt>
                <c:pt idx="2">
                  <c:v>01.01.2013 г.</c:v>
                </c:pt>
                <c:pt idx="3">
                  <c:v>01.01.2014 г.</c:v>
                </c:pt>
                <c:pt idx="4">
                  <c:v>01.01.2015 г.</c:v>
                </c:pt>
                <c:pt idx="5">
                  <c:v>01.01.2016 г.</c:v>
                </c:pt>
                <c:pt idx="6">
                  <c:v>01.01.2017 г.</c:v>
                </c:pt>
              </c:strCache>
            </c:strRef>
          </c:cat>
          <c:val>
            <c:numRef>
              <c:f>Консерв.!$V$37:$V$43</c:f>
              <c:numCache>
                <c:formatCode>0.000</c:formatCode>
                <c:ptCount val="7"/>
                <c:pt idx="0">
                  <c:v>0.42232149188116436</c:v>
                </c:pt>
                <c:pt idx="1">
                  <c:v>0.42353440951571791</c:v>
                </c:pt>
                <c:pt idx="2">
                  <c:v>0.42691578281942022</c:v>
                </c:pt>
                <c:pt idx="3">
                  <c:v>0.44371387283236996</c:v>
                </c:pt>
                <c:pt idx="4">
                  <c:v>0.58603104212860313</c:v>
                </c:pt>
                <c:pt idx="5">
                  <c:v>0.61048343709169162</c:v>
                </c:pt>
                <c:pt idx="6">
                  <c:v>0.60927253317065733</c:v>
                </c:pt>
              </c:numCache>
            </c:numRef>
          </c:val>
          <c:extLst xmlns:c16r2="http://schemas.microsoft.com/office/drawing/2015/06/chart">
            <c:ext xmlns:c16="http://schemas.microsoft.com/office/drawing/2014/chart" uri="{C3380CC4-5D6E-409C-BE32-E72D297353CC}">
              <c16:uniqueId val="{00000005-AE2D-49BE-8744-E14577D80D52}"/>
            </c:ext>
          </c:extLst>
        </c:ser>
        <c:marker val="1"/>
        <c:axId val="191133952"/>
        <c:axId val="191791104"/>
      </c:lineChart>
      <c:catAx>
        <c:axId val="191133952"/>
        <c:scaling>
          <c:orientation val="minMax"/>
        </c:scaling>
        <c:axPos val="b"/>
        <c:numFmt formatCode="General" sourceLinked="0"/>
        <c:tickLblPos val="nextTo"/>
        <c:crossAx val="191791104"/>
        <c:crosses val="autoZero"/>
        <c:auto val="1"/>
        <c:lblAlgn val="ctr"/>
        <c:lblOffset val="100"/>
      </c:catAx>
      <c:valAx>
        <c:axId val="191791104"/>
        <c:scaling>
          <c:orientation val="minMax"/>
        </c:scaling>
        <c:axPos val="l"/>
        <c:majorGridlines>
          <c:spPr>
            <a:ln w="0">
              <a:solidFill>
                <a:schemeClr val="bg1"/>
              </a:solidFill>
            </a:ln>
          </c:spPr>
        </c:majorGridlines>
        <c:numFmt formatCode="0.000" sourceLinked="1"/>
        <c:tickLblPos val="nextTo"/>
        <c:crossAx val="191133952"/>
        <c:crosses val="autoZero"/>
        <c:crossBetween val="between"/>
      </c:valAx>
    </c:plotArea>
    <c:plotVisOnly val="1"/>
    <c:dispBlanksAs val="gap"/>
  </c:chart>
  <c:spPr>
    <a:ln>
      <a:noFill/>
    </a:ln>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досуг'!$C$83</c:f>
              <c:strCache>
                <c:ptCount val="1"/>
                <c:pt idx="0">
                  <c:v>Число семей, стоящих на учете, как нуждающиеся в жилых помещениях, единиц</c:v>
                </c:pt>
              </c:strCache>
            </c:strRef>
          </c:tx>
          <c:dLbls>
            <c:dLbl>
              <c:idx val="0"/>
              <c:layout>
                <c:manualLayout>
                  <c:x val="0"/>
                  <c:y val="2.77777777777785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E80-4277-9C8C-68E8D20942DF}"/>
                </c:ext>
              </c:extLst>
            </c:dLbl>
            <c:dLbl>
              <c:idx val="1"/>
              <c:layout>
                <c:manualLayout>
                  <c:x val="0"/>
                  <c:y val="4.6296296296295903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E80-4277-9C8C-68E8D20942DF}"/>
                </c:ext>
              </c:extLst>
            </c:dLbl>
            <c:dLbl>
              <c:idx val="2"/>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E80-4277-9C8C-68E8D20942DF}"/>
                </c:ext>
              </c:extLst>
            </c:dLbl>
            <c:dLbl>
              <c:idx val="3"/>
              <c:layout>
                <c:manualLayout>
                  <c:x val="8.3333333333333367E-3"/>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E80-4277-9C8C-68E8D20942DF}"/>
                </c:ext>
              </c:extLst>
            </c:dLbl>
            <c:dLbl>
              <c:idx val="6"/>
              <c:layout>
                <c:manualLayout>
                  <c:x val="2.7777777777779843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E80-4277-9C8C-68E8D20942DF}"/>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досуг'!$B$84:$B$90</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досуг'!$C$84:$C$90</c:f>
              <c:numCache>
                <c:formatCode>General</c:formatCode>
                <c:ptCount val="7"/>
                <c:pt idx="0">
                  <c:v>340</c:v>
                </c:pt>
                <c:pt idx="1">
                  <c:v>338</c:v>
                </c:pt>
                <c:pt idx="2">
                  <c:v>335</c:v>
                </c:pt>
                <c:pt idx="3">
                  <c:v>330</c:v>
                </c:pt>
                <c:pt idx="4">
                  <c:v>326</c:v>
                </c:pt>
                <c:pt idx="5">
                  <c:v>322</c:v>
                </c:pt>
                <c:pt idx="6">
                  <c:v>320</c:v>
                </c:pt>
              </c:numCache>
            </c:numRef>
          </c:val>
          <c:extLst xmlns:c16r2="http://schemas.microsoft.com/office/drawing/2015/06/chart">
            <c:ext xmlns:c16="http://schemas.microsoft.com/office/drawing/2014/chart" uri="{C3380CC4-5D6E-409C-BE32-E72D297353CC}">
              <c16:uniqueId val="{00000005-4E80-4277-9C8C-68E8D20942DF}"/>
            </c:ext>
          </c:extLst>
        </c:ser>
        <c:axId val="191259008"/>
        <c:axId val="191260544"/>
      </c:barChart>
      <c:catAx>
        <c:axId val="191259008"/>
        <c:scaling>
          <c:orientation val="minMax"/>
        </c:scaling>
        <c:axPos val="b"/>
        <c:numFmt formatCode="General" sourceLinked="0"/>
        <c:tickLblPos val="nextTo"/>
        <c:crossAx val="191260544"/>
        <c:crosses val="autoZero"/>
        <c:auto val="1"/>
        <c:lblAlgn val="ctr"/>
        <c:lblOffset val="100"/>
      </c:catAx>
      <c:valAx>
        <c:axId val="191260544"/>
        <c:scaling>
          <c:orientation val="minMax"/>
        </c:scaling>
        <c:axPos val="l"/>
        <c:majorGridlines/>
        <c:numFmt formatCode="General" sourceLinked="1"/>
        <c:tickLblPos val="nextTo"/>
        <c:crossAx val="191259008"/>
        <c:crosses val="autoZero"/>
        <c:crossBetween val="between"/>
      </c:valAx>
    </c:plotArea>
    <c:plotVisOnly val="1"/>
    <c:dispBlanksAs val="gap"/>
  </c:chart>
  <c:spPr>
    <a:ln>
      <a:noFill/>
    </a:ln>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досуг'!$C$129</c:f>
              <c:strCache>
                <c:ptCount val="1"/>
                <c:pt idx="0">
                  <c:v>Кол-во зарегистрированных преступлений на 10000 человек населения, ед.</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досуг'!$B$130:$B$136</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досуг'!$C$130:$C$136</c:f>
              <c:numCache>
                <c:formatCode>General</c:formatCode>
                <c:ptCount val="7"/>
                <c:pt idx="0">
                  <c:v>166.5</c:v>
                </c:pt>
                <c:pt idx="1">
                  <c:v>163.9</c:v>
                </c:pt>
                <c:pt idx="2">
                  <c:v>190.1</c:v>
                </c:pt>
                <c:pt idx="3">
                  <c:v>180.6</c:v>
                </c:pt>
                <c:pt idx="4">
                  <c:v>169.6</c:v>
                </c:pt>
                <c:pt idx="5">
                  <c:v>195.5</c:v>
                </c:pt>
                <c:pt idx="6">
                  <c:v>179.8</c:v>
                </c:pt>
              </c:numCache>
            </c:numRef>
          </c:val>
          <c:extLst xmlns:c16r2="http://schemas.microsoft.com/office/drawing/2015/06/chart">
            <c:ext xmlns:c16="http://schemas.microsoft.com/office/drawing/2014/chart" uri="{C3380CC4-5D6E-409C-BE32-E72D297353CC}">
              <c16:uniqueId val="{00000000-3ED4-4F84-9DDC-5DA68C45B953}"/>
            </c:ext>
          </c:extLst>
        </c:ser>
        <c:axId val="191284352"/>
        <c:axId val="191285888"/>
      </c:barChart>
      <c:catAx>
        <c:axId val="191284352"/>
        <c:scaling>
          <c:orientation val="minMax"/>
        </c:scaling>
        <c:axPos val="b"/>
        <c:numFmt formatCode="General" sourceLinked="0"/>
        <c:tickLblPos val="nextTo"/>
        <c:crossAx val="191285888"/>
        <c:crosses val="autoZero"/>
        <c:auto val="1"/>
        <c:lblAlgn val="ctr"/>
        <c:lblOffset val="100"/>
      </c:catAx>
      <c:valAx>
        <c:axId val="191285888"/>
        <c:scaling>
          <c:orientation val="minMax"/>
        </c:scaling>
        <c:axPos val="l"/>
        <c:majorGridlines/>
        <c:numFmt formatCode="General" sourceLinked="1"/>
        <c:tickLblPos val="nextTo"/>
        <c:crossAx val="191284352"/>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'культура досуг'!$C$141</c:f>
              <c:strCache>
                <c:ptCount val="1"/>
                <c:pt idx="0">
                  <c:v>Детская преступность, кол-во зарегистрированных преступлений совершенных несовершеннолетними на 10000 человек населения, ед.</c:v>
                </c:pt>
              </c:strCache>
            </c:strRef>
          </c:tx>
          <c:dLbls>
            <c:dLbl>
              <c:idx val="2"/>
              <c:layout>
                <c:manualLayout>
                  <c:x val="-2.5204788909892408E-3"/>
                  <c:y val="-1.60642570281124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5B0-4416-9E47-4A2E5E16AF40}"/>
                </c:ext>
              </c:extLst>
            </c:dLbl>
            <c:dLbl>
              <c:idx val="3"/>
              <c:layout>
                <c:manualLayout>
                  <c:x val="5.0409577819785934E-3"/>
                  <c:y val="1.6064257028112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B0-4416-9E47-4A2E5E16AF40}"/>
                </c:ext>
              </c:extLst>
            </c:dLbl>
            <c:dLbl>
              <c:idx val="4"/>
              <c:layout>
                <c:manualLayout>
                  <c:x val="7.5614366729678814E-3"/>
                  <c:y val="8.032128514056224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5B0-4416-9E47-4A2E5E16AF40}"/>
                </c:ext>
              </c:extLst>
            </c:dLbl>
            <c:dLbl>
              <c:idx val="5"/>
              <c:layout>
                <c:manualLayout>
                  <c:x val="0"/>
                  <c:y val="2.409638554216867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5B0-4416-9E47-4A2E5E16AF40}"/>
                </c:ext>
              </c:extLst>
            </c:dLbl>
            <c:dLbl>
              <c:idx val="6"/>
              <c:layout>
                <c:manualLayout>
                  <c:x val="0"/>
                  <c:y val="1.606425702811252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5B0-4416-9E47-4A2E5E16AF40}"/>
                </c:ext>
              </c:extLst>
            </c:dLbl>
            <c:spPr>
              <a:noFill/>
              <a:ln>
                <a:noFill/>
              </a:ln>
              <a:effectLst/>
            </c:spPr>
            <c:txPr>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'культура досуг'!$B$142:$B$148</c:f>
              <c:strCache>
                <c:ptCount val="7"/>
                <c:pt idx="0">
                  <c:v>01.01.2011 г.</c:v>
                </c:pt>
                <c:pt idx="1">
                  <c:v>01.01.2012 г.</c:v>
                </c:pt>
                <c:pt idx="2">
                  <c:v>01.01.2013 г.</c:v>
                </c:pt>
                <c:pt idx="3">
                  <c:v>01.01.2014 г.</c:v>
                </c:pt>
                <c:pt idx="4">
                  <c:v>01.01.2015 г.</c:v>
                </c:pt>
                <c:pt idx="5">
                  <c:v>01.01.2016 г.</c:v>
                </c:pt>
                <c:pt idx="6">
                  <c:v>01.01.2017 г.</c:v>
                </c:pt>
              </c:strCache>
            </c:strRef>
          </c:cat>
          <c:val>
            <c:numRef>
              <c:f>'культура досуг'!$C$142:$C$148</c:f>
              <c:numCache>
                <c:formatCode>General</c:formatCode>
                <c:ptCount val="7"/>
                <c:pt idx="0">
                  <c:v>3.2</c:v>
                </c:pt>
                <c:pt idx="1">
                  <c:v>3.9</c:v>
                </c:pt>
                <c:pt idx="2">
                  <c:v>2.4</c:v>
                </c:pt>
                <c:pt idx="3">
                  <c:v>5.2</c:v>
                </c:pt>
                <c:pt idx="4">
                  <c:v>4.4000000000000004</c:v>
                </c:pt>
                <c:pt idx="5">
                  <c:v>6.1</c:v>
                </c:pt>
                <c:pt idx="6">
                  <c:v>4</c:v>
                </c:pt>
              </c:numCache>
            </c:numRef>
          </c:val>
          <c:extLst xmlns:c16r2="http://schemas.microsoft.com/office/drawing/2015/06/chart">
            <c:ext xmlns:c16="http://schemas.microsoft.com/office/drawing/2014/chart" uri="{C3380CC4-5D6E-409C-BE32-E72D297353CC}">
              <c16:uniqueId val="{00000005-C5B0-4416-9E47-4A2E5E16AF40}"/>
            </c:ext>
          </c:extLst>
        </c:ser>
        <c:axId val="191317888"/>
        <c:axId val="191319424"/>
      </c:barChart>
      <c:catAx>
        <c:axId val="191317888"/>
        <c:scaling>
          <c:orientation val="minMax"/>
        </c:scaling>
        <c:axPos val="b"/>
        <c:numFmt formatCode="General" sourceLinked="0"/>
        <c:tickLblPos val="nextTo"/>
        <c:crossAx val="191319424"/>
        <c:crosses val="autoZero"/>
        <c:auto val="1"/>
        <c:lblAlgn val="ctr"/>
        <c:lblOffset val="100"/>
      </c:catAx>
      <c:valAx>
        <c:axId val="191319424"/>
        <c:scaling>
          <c:orientation val="minMax"/>
        </c:scaling>
        <c:axPos val="l"/>
        <c:majorGridlines/>
        <c:numFmt formatCode="General" sourceLinked="1"/>
        <c:tickLblPos val="nextTo"/>
        <c:crossAx val="191317888"/>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транспорт!$E$41</c:f>
              <c:strCache>
                <c:ptCount val="1"/>
                <c:pt idx="0">
                  <c:v>Доля автодорог общего пользования местного значения, не отвечающих нормативным требованиям,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транспорт!$D$42:$D$48</c:f>
              <c:strCache>
                <c:ptCount val="7"/>
                <c:pt idx="0">
                  <c:v>01.01.2011 г.</c:v>
                </c:pt>
                <c:pt idx="1">
                  <c:v>01.01.2012 г.</c:v>
                </c:pt>
                <c:pt idx="2">
                  <c:v>01.01.2013 г.</c:v>
                </c:pt>
                <c:pt idx="3">
                  <c:v>01.01.2014 г.</c:v>
                </c:pt>
                <c:pt idx="4">
                  <c:v>01.01.2015 г.</c:v>
                </c:pt>
                <c:pt idx="5">
                  <c:v>01.01.2016 г.</c:v>
                </c:pt>
                <c:pt idx="6">
                  <c:v>01.01.2017 г.</c:v>
                </c:pt>
              </c:strCache>
            </c:strRef>
          </c:cat>
          <c:val>
            <c:numRef>
              <c:f>транспорт!$E$42:$E$48</c:f>
              <c:numCache>
                <c:formatCode>General</c:formatCode>
                <c:ptCount val="7"/>
                <c:pt idx="0">
                  <c:v>68.88</c:v>
                </c:pt>
                <c:pt idx="1">
                  <c:v>66.959999999999994</c:v>
                </c:pt>
                <c:pt idx="2">
                  <c:v>66.959999999999994</c:v>
                </c:pt>
                <c:pt idx="3">
                  <c:v>30.17</c:v>
                </c:pt>
                <c:pt idx="4">
                  <c:v>29.39</c:v>
                </c:pt>
                <c:pt idx="5">
                  <c:v>27.37</c:v>
                </c:pt>
                <c:pt idx="6">
                  <c:v>27.4</c:v>
                </c:pt>
              </c:numCache>
            </c:numRef>
          </c:val>
          <c:extLst xmlns:c16r2="http://schemas.microsoft.com/office/drawing/2015/06/chart">
            <c:ext xmlns:c16="http://schemas.microsoft.com/office/drawing/2014/chart" uri="{C3380CC4-5D6E-409C-BE32-E72D297353CC}">
              <c16:uniqueId val="{00000000-E9E2-47A3-A39E-E3A92D355FD8}"/>
            </c:ext>
          </c:extLst>
        </c:ser>
        <c:gapWidth val="219"/>
        <c:overlap val="-27"/>
        <c:axId val="191351424"/>
        <c:axId val="73998720"/>
      </c:barChart>
      <c:catAx>
        <c:axId val="19135142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3998720"/>
        <c:crosses val="autoZero"/>
        <c:auto val="1"/>
        <c:lblAlgn val="ctr"/>
        <c:lblOffset val="100"/>
      </c:catAx>
      <c:valAx>
        <c:axId val="739987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35142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транспорт!$E$56</c:f>
              <c:strCache>
                <c:ptCount val="1"/>
                <c:pt idx="0">
                  <c:v>Доля освещенных улиц, проездов, набережных, %</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транспорт!$D$57:$D$63</c:f>
              <c:strCache>
                <c:ptCount val="7"/>
                <c:pt idx="0">
                  <c:v>01.01.2011 г.</c:v>
                </c:pt>
                <c:pt idx="1">
                  <c:v>01.01.2012 г.</c:v>
                </c:pt>
                <c:pt idx="2">
                  <c:v>01.01.2013 г.</c:v>
                </c:pt>
                <c:pt idx="3">
                  <c:v>01.01.2014 г.</c:v>
                </c:pt>
                <c:pt idx="4">
                  <c:v>01.01.2015 г.</c:v>
                </c:pt>
                <c:pt idx="5">
                  <c:v>01.01.2016 г.</c:v>
                </c:pt>
                <c:pt idx="6">
                  <c:v>01.01.2017 г.</c:v>
                </c:pt>
              </c:strCache>
            </c:strRef>
          </c:cat>
          <c:val>
            <c:numRef>
              <c:f>транспорт!$E$57:$E$63</c:f>
              <c:numCache>
                <c:formatCode>General</c:formatCode>
                <c:ptCount val="7"/>
                <c:pt idx="0">
                  <c:v>63.7</c:v>
                </c:pt>
                <c:pt idx="1">
                  <c:v>64.989999999999995</c:v>
                </c:pt>
                <c:pt idx="2">
                  <c:v>65</c:v>
                </c:pt>
                <c:pt idx="3">
                  <c:v>65</c:v>
                </c:pt>
                <c:pt idx="4">
                  <c:v>65</c:v>
                </c:pt>
                <c:pt idx="5">
                  <c:v>72.8</c:v>
                </c:pt>
                <c:pt idx="6">
                  <c:v>73</c:v>
                </c:pt>
              </c:numCache>
            </c:numRef>
          </c:val>
          <c:extLst xmlns:c16r2="http://schemas.microsoft.com/office/drawing/2015/06/chart">
            <c:ext xmlns:c16="http://schemas.microsoft.com/office/drawing/2014/chart" uri="{C3380CC4-5D6E-409C-BE32-E72D297353CC}">
              <c16:uniqueId val="{00000000-3AB6-46BB-9288-A6A8FA91F0FB}"/>
            </c:ext>
          </c:extLst>
        </c:ser>
        <c:gapWidth val="219"/>
        <c:overlap val="-27"/>
        <c:axId val="190913920"/>
        <c:axId val="190928000"/>
      </c:barChart>
      <c:catAx>
        <c:axId val="190913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928000"/>
        <c:crosses val="autoZero"/>
        <c:auto val="1"/>
        <c:lblAlgn val="ctr"/>
        <c:lblOffset val="100"/>
      </c:catAx>
      <c:valAx>
        <c:axId val="190928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091392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градостроительство!$D$2</c:f>
              <c:strCache>
                <c:ptCount val="1"/>
                <c:pt idx="0">
                  <c:v>Жилищный фонд, тыс. кв. метров</c:v>
                </c:pt>
              </c:strCache>
            </c:strRef>
          </c:tx>
          <c:dLbls>
            <c:dLbl>
              <c:idx val="0"/>
              <c:layout>
                <c:manualLayout>
                  <c:x val="1.5191797788479181E-3"/>
                  <c:y val="-0.18853087184326744"/>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7A0-44F2-BE9D-B1A711346CF0}"/>
                </c:ext>
              </c:extLst>
            </c:dLbl>
            <c:dLbl>
              <c:idx val="1"/>
              <c:layout>
                <c:manualLayout>
                  <c:x val="-1.2578751335810636E-3"/>
                  <c:y val="-0.210911557403639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7A0-44F2-BE9D-B1A711346CF0}"/>
                </c:ext>
              </c:extLst>
            </c:dLbl>
            <c:dLbl>
              <c:idx val="2"/>
              <c:layout>
                <c:manualLayout>
                  <c:x val="6.7570770008093951E-4"/>
                  <c:y val="-0.2540733531904018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7A0-44F2-BE9D-B1A711346CF0}"/>
                </c:ext>
              </c:extLst>
            </c:dLbl>
            <c:dLbl>
              <c:idx val="3"/>
              <c:layout>
                <c:manualLayout>
                  <c:x val="5.5555406511153737E-3"/>
                  <c:y val="-0.28680645256421688"/>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7A0-44F2-BE9D-B1A711346CF0}"/>
                </c:ext>
              </c:extLst>
            </c:dLbl>
            <c:dLbl>
              <c:idx val="4"/>
              <c:layout>
                <c:manualLayout>
                  <c:x val="3.7911530223969643E-3"/>
                  <c:y val="-0.31272523518829831"/>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7A0-44F2-BE9D-B1A711346CF0}"/>
                </c:ext>
              </c:extLst>
            </c:dLbl>
            <c:dLbl>
              <c:idx val="5"/>
              <c:layout>
                <c:manualLayout>
                  <c:x val="-5.0492070092602332E-3"/>
                  <c:y val="-0.3281091548949676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7A0-44F2-BE9D-B1A711346CF0}"/>
                </c:ext>
              </c:extLst>
            </c:dLbl>
            <c:dLbl>
              <c:idx val="6"/>
              <c:layout>
                <c:manualLayout>
                  <c:x val="2.2714366837024492E-3"/>
                  <c:y val="-0.38823635809568746"/>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7A0-44F2-BE9D-B1A711346CF0}"/>
                </c:ext>
              </c:extLst>
            </c:dLbl>
            <c:spPr>
              <a:noFill/>
              <a:ln>
                <a:noFill/>
              </a:ln>
              <a:effectLst/>
            </c:spPr>
            <c:txPr>
              <a:bodyPr/>
              <a:lstStyle/>
              <a:p>
                <a:pPr>
                  <a:defRPr sz="1100"/>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градостроительство!$C$3:$C$9</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градостроительство!$D$3:$D$9</c:f>
              <c:numCache>
                <c:formatCode>General</c:formatCode>
                <c:ptCount val="7"/>
                <c:pt idx="0">
                  <c:v>624.79999999999995</c:v>
                </c:pt>
                <c:pt idx="1">
                  <c:v>632.9</c:v>
                </c:pt>
                <c:pt idx="2">
                  <c:v>643.79999999999995</c:v>
                </c:pt>
                <c:pt idx="3">
                  <c:v>648.79999999999995</c:v>
                </c:pt>
                <c:pt idx="4">
                  <c:v>661.6</c:v>
                </c:pt>
                <c:pt idx="5">
                  <c:v>667</c:v>
                </c:pt>
                <c:pt idx="6">
                  <c:v>681.3</c:v>
                </c:pt>
              </c:numCache>
            </c:numRef>
          </c:val>
          <c:extLst xmlns:c16r2="http://schemas.microsoft.com/office/drawing/2015/06/chart">
            <c:ext xmlns:c16="http://schemas.microsoft.com/office/drawing/2014/chart" uri="{C3380CC4-5D6E-409C-BE32-E72D297353CC}">
              <c16:uniqueId val="{00000007-57A0-44F2-BE9D-B1A711346CF0}"/>
            </c:ext>
          </c:extLst>
        </c:ser>
        <c:overlap val="100"/>
        <c:axId val="74064256"/>
        <c:axId val="74065792"/>
      </c:barChart>
      <c:catAx>
        <c:axId val="74064256"/>
        <c:scaling>
          <c:orientation val="minMax"/>
        </c:scaling>
        <c:axPos val="b"/>
        <c:numFmt formatCode="General" sourceLinked="0"/>
        <c:tickLblPos val="nextTo"/>
        <c:crossAx val="74065792"/>
        <c:crosses val="autoZero"/>
        <c:auto val="1"/>
        <c:lblAlgn val="ctr"/>
        <c:lblOffset val="100"/>
      </c:catAx>
      <c:valAx>
        <c:axId val="74065792"/>
        <c:scaling>
          <c:orientation val="minMax"/>
        </c:scaling>
        <c:axPos val="l"/>
        <c:majorGridlines/>
        <c:numFmt formatCode="General" sourceLinked="1"/>
        <c:tickLblPos val="nextTo"/>
        <c:crossAx val="74064256"/>
        <c:crosses val="autoZero"/>
        <c:crossBetween val="between"/>
      </c:valAx>
    </c:plotArea>
    <c:plotVisOnly val="1"/>
    <c:dispBlanksAs val="gap"/>
  </c:chart>
  <c:spPr>
    <a:ln>
      <a:noFill/>
    </a:ln>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градостроительство!$D$14</c:f>
              <c:strCache>
                <c:ptCount val="1"/>
                <c:pt idx="0">
                  <c:v>Доля  площади  жилых помещений в аварийных домах в общей площади жилищного фонда, %</c:v>
                </c:pt>
              </c:strCache>
            </c:strRef>
          </c:tx>
          <c:dLbls>
            <c:spPr>
              <a:noFill/>
              <a:ln>
                <a:noFill/>
              </a:ln>
              <a:effectLst/>
            </c:spPr>
            <c:txPr>
              <a:bodyPr/>
              <a:lstStyle/>
              <a:p>
                <a:pPr>
                  <a:defRPr sz="105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градостроительство!$C$15:$C$21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градостроительство!$D$15:$D$21</c:f>
              <c:numCache>
                <c:formatCode>General</c:formatCode>
                <c:ptCount val="7"/>
                <c:pt idx="0">
                  <c:v>1.23</c:v>
                </c:pt>
                <c:pt idx="1">
                  <c:v>0.760000000000009</c:v>
                </c:pt>
                <c:pt idx="2">
                  <c:v>0.92</c:v>
                </c:pt>
                <c:pt idx="3">
                  <c:v>0.94000000000000061</c:v>
                </c:pt>
                <c:pt idx="4">
                  <c:v>0.46900000000000008</c:v>
                </c:pt>
                <c:pt idx="5">
                  <c:v>0.45200000000000001</c:v>
                </c:pt>
                <c:pt idx="6">
                  <c:v>0.33400000000000513</c:v>
                </c:pt>
              </c:numCache>
            </c:numRef>
          </c:val>
          <c:extLst xmlns:c16r2="http://schemas.microsoft.com/office/drawing/2015/06/chart">
            <c:ext xmlns:c16="http://schemas.microsoft.com/office/drawing/2014/chart" uri="{C3380CC4-5D6E-409C-BE32-E72D297353CC}">
              <c16:uniqueId val="{00000000-1251-4537-B197-C35B5B9D0074}"/>
            </c:ext>
          </c:extLst>
        </c:ser>
        <c:overlap val="100"/>
        <c:axId val="74085504"/>
        <c:axId val="74087040"/>
      </c:barChart>
      <c:catAx>
        <c:axId val="74085504"/>
        <c:scaling>
          <c:orientation val="minMax"/>
        </c:scaling>
        <c:axPos val="b"/>
        <c:numFmt formatCode="General" sourceLinked="0"/>
        <c:tickLblPos val="nextTo"/>
        <c:crossAx val="74087040"/>
        <c:crosses val="autoZero"/>
        <c:auto val="1"/>
        <c:lblAlgn val="ctr"/>
        <c:lblOffset val="100"/>
      </c:catAx>
      <c:valAx>
        <c:axId val="74087040"/>
        <c:scaling>
          <c:orientation val="minMax"/>
        </c:scaling>
        <c:axPos val="l"/>
        <c:majorGridlines/>
        <c:numFmt formatCode="General" sourceLinked="1"/>
        <c:tickLblPos val="nextTo"/>
        <c:crossAx val="74085504"/>
        <c:crosses val="autoZero"/>
        <c:crossBetween val="between"/>
      </c:valAx>
    </c:plotArea>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Рисунки!$B$3:$H$3</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Рисунки!$B$6:$H$6</c:f>
              <c:numCache>
                <c:formatCode>General</c:formatCode>
                <c:ptCount val="7"/>
                <c:pt idx="0">
                  <c:v>27993</c:v>
                </c:pt>
                <c:pt idx="1">
                  <c:v>27293</c:v>
                </c:pt>
                <c:pt idx="2">
                  <c:v>28643</c:v>
                </c:pt>
                <c:pt idx="3">
                  <c:v>28650</c:v>
                </c:pt>
                <c:pt idx="4">
                  <c:v>26731</c:v>
                </c:pt>
                <c:pt idx="5">
                  <c:v>26712</c:v>
                </c:pt>
                <c:pt idx="6">
                  <c:v>26466</c:v>
                </c:pt>
              </c:numCache>
            </c:numRef>
          </c:val>
          <c:extLst xmlns:c16r2="http://schemas.microsoft.com/office/drawing/2015/06/chart">
            <c:ext xmlns:c16="http://schemas.microsoft.com/office/drawing/2014/chart" uri="{C3380CC4-5D6E-409C-BE32-E72D297353CC}">
              <c16:uniqueId val="{00000000-E931-4F7A-9962-1C85FA6A3E2F}"/>
            </c:ext>
          </c:extLst>
        </c:ser>
        <c:axId val="195419520"/>
        <c:axId val="195540480"/>
      </c:barChart>
      <c:catAx>
        <c:axId val="195419520"/>
        <c:scaling>
          <c:orientation val="minMax"/>
        </c:scaling>
        <c:axPos val="b"/>
        <c:numFmt formatCode="General" sourceLinked="0"/>
        <c:tickLblPos val="nextTo"/>
        <c:crossAx val="195540480"/>
        <c:crosses val="autoZero"/>
        <c:auto val="1"/>
        <c:lblAlgn val="ctr"/>
        <c:lblOffset val="100"/>
      </c:catAx>
      <c:valAx>
        <c:axId val="195540480"/>
        <c:scaling>
          <c:orientation val="minMax"/>
        </c:scaling>
        <c:axPos val="l"/>
        <c:majorGridlines/>
        <c:numFmt formatCode="General" sourceLinked="1"/>
        <c:tickLblPos val="nextTo"/>
        <c:crossAx val="195419520"/>
        <c:crosses val="autoZero"/>
        <c:crossBetween val="between"/>
      </c:valAx>
    </c:plotArea>
    <c:plotVisOnly val="1"/>
    <c:dispBlanksAs val="gap"/>
  </c:chart>
  <c:spPr>
    <a:ln>
      <a:noFill/>
    </a:ln>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градостроительство!$D$26</c:f>
              <c:strCache>
                <c:ptCount val="1"/>
                <c:pt idx="0">
                  <c:v>Общая площадь жилых помещений в расчете на одного жителя, кв. м.</c:v>
                </c:pt>
              </c:strCache>
            </c:strRef>
          </c:tx>
          <c:dLbls>
            <c:spPr>
              <a:noFill/>
              <a:ln>
                <a:noFill/>
              </a:ln>
              <a:effectLst/>
            </c:spPr>
            <c:txPr>
              <a:bodyPr/>
              <a:lstStyle/>
              <a:p>
                <a:pPr>
                  <a:defRPr sz="1050"/>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градостроительство!$C$27:$C$33</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градостроительство!$D$27:$D$33</c:f>
              <c:numCache>
                <c:formatCode>General</c:formatCode>
                <c:ptCount val="7"/>
                <c:pt idx="0">
                  <c:v>24.4</c:v>
                </c:pt>
                <c:pt idx="1">
                  <c:v>24.9</c:v>
                </c:pt>
                <c:pt idx="2">
                  <c:v>25.5</c:v>
                </c:pt>
                <c:pt idx="3">
                  <c:v>25.4</c:v>
                </c:pt>
                <c:pt idx="4">
                  <c:v>26.3</c:v>
                </c:pt>
                <c:pt idx="5">
                  <c:v>26.4</c:v>
                </c:pt>
                <c:pt idx="6">
                  <c:v>26.9</c:v>
                </c:pt>
              </c:numCache>
            </c:numRef>
          </c:val>
          <c:extLst xmlns:c16r2="http://schemas.microsoft.com/office/drawing/2015/06/chart">
            <c:ext xmlns:c16="http://schemas.microsoft.com/office/drawing/2014/chart" uri="{C3380CC4-5D6E-409C-BE32-E72D297353CC}">
              <c16:uniqueId val="{00000000-8404-4C5F-BD30-98A8044ACA78}"/>
            </c:ext>
          </c:extLst>
        </c:ser>
        <c:overlap val="100"/>
        <c:axId val="74106752"/>
        <c:axId val="74108288"/>
      </c:barChart>
      <c:catAx>
        <c:axId val="74106752"/>
        <c:scaling>
          <c:orientation val="minMax"/>
        </c:scaling>
        <c:axPos val="b"/>
        <c:numFmt formatCode="General" sourceLinked="0"/>
        <c:tickLblPos val="nextTo"/>
        <c:crossAx val="74108288"/>
        <c:crosses val="autoZero"/>
        <c:auto val="1"/>
        <c:lblAlgn val="ctr"/>
        <c:lblOffset val="100"/>
      </c:catAx>
      <c:valAx>
        <c:axId val="74108288"/>
        <c:scaling>
          <c:orientation val="minMax"/>
        </c:scaling>
        <c:axPos val="l"/>
        <c:majorGridlines/>
        <c:numFmt formatCode="General" sourceLinked="1"/>
        <c:tickLblPos val="nextTo"/>
        <c:crossAx val="74106752"/>
        <c:crosses val="autoZero"/>
        <c:crossBetween val="between"/>
      </c:valAx>
    </c:plotArea>
    <c:plotVisOnly val="1"/>
    <c:dispBlanksAs val="gap"/>
  </c:chart>
  <c:spPr>
    <a:ln>
      <a:noFill/>
    </a:ln>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градостроительство!$D$44</c:f>
              <c:strCache>
                <c:ptCount val="1"/>
                <c:pt idx="0">
                  <c:v>Количество негазифицированных  населенных пунктов, единиц</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градостроительство!$C$45:$C$51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градостроительство!$D$45:$D$51</c:f>
              <c:numCache>
                <c:formatCode>General</c:formatCode>
                <c:ptCount val="7"/>
                <c:pt idx="0">
                  <c:v>50</c:v>
                </c:pt>
                <c:pt idx="1">
                  <c:v>50</c:v>
                </c:pt>
                <c:pt idx="2">
                  <c:v>49</c:v>
                </c:pt>
                <c:pt idx="3">
                  <c:v>46</c:v>
                </c:pt>
                <c:pt idx="4">
                  <c:v>46</c:v>
                </c:pt>
                <c:pt idx="5">
                  <c:v>46</c:v>
                </c:pt>
                <c:pt idx="6">
                  <c:v>45</c:v>
                </c:pt>
              </c:numCache>
            </c:numRef>
          </c:val>
          <c:extLst xmlns:c16r2="http://schemas.microsoft.com/office/drawing/2015/06/chart">
            <c:ext xmlns:c16="http://schemas.microsoft.com/office/drawing/2014/chart" uri="{C3380CC4-5D6E-409C-BE32-E72D297353CC}">
              <c16:uniqueId val="{00000000-1A29-43B2-98A1-A1D04E09A8DA}"/>
            </c:ext>
          </c:extLst>
        </c:ser>
        <c:overlap val="100"/>
        <c:axId val="74132096"/>
        <c:axId val="74137984"/>
      </c:barChart>
      <c:catAx>
        <c:axId val="74132096"/>
        <c:scaling>
          <c:orientation val="minMax"/>
        </c:scaling>
        <c:axPos val="b"/>
        <c:numFmt formatCode="General" sourceLinked="0"/>
        <c:tickLblPos val="nextTo"/>
        <c:crossAx val="74137984"/>
        <c:crosses val="autoZero"/>
        <c:auto val="1"/>
        <c:lblAlgn val="ctr"/>
        <c:lblOffset val="100"/>
      </c:catAx>
      <c:valAx>
        <c:axId val="74137984"/>
        <c:scaling>
          <c:orientation val="minMax"/>
        </c:scaling>
        <c:axPos val="l"/>
        <c:majorGridlines/>
        <c:numFmt formatCode="General" sourceLinked="1"/>
        <c:tickLblPos val="nextTo"/>
        <c:crossAx val="74132096"/>
        <c:crosses val="autoZero"/>
        <c:crossBetween val="between"/>
      </c:valAx>
    </c:plotArea>
    <c:plotVisOnly val="1"/>
    <c:dispBlanksAs val="gap"/>
  </c:chart>
  <c:spPr>
    <a:ln>
      <a:noFill/>
    </a:ln>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градостроительство!$D$55</c:f>
              <c:strCache>
                <c:ptCount val="1"/>
                <c:pt idx="0">
                  <c:v>Обеспечение жилого фонда сетевым газом, %</c:v>
                </c:pt>
              </c:strCache>
            </c:strRef>
          </c:tx>
          <c:dLbls>
            <c:spPr>
              <a:noFill/>
              <a:ln>
                <a:noFill/>
              </a:ln>
              <a:effectLst/>
            </c:spPr>
            <c:txPr>
              <a:bodyPr/>
              <a:lstStyle/>
              <a:p>
                <a:pPr>
                  <a:defRPr sz="105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градостроительство!$C$56:$C$62</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градостроительство!$D$56:$D$62</c:f>
              <c:numCache>
                <c:formatCode>General</c:formatCode>
                <c:ptCount val="7"/>
                <c:pt idx="0">
                  <c:v>35</c:v>
                </c:pt>
                <c:pt idx="1">
                  <c:v>38</c:v>
                </c:pt>
                <c:pt idx="2">
                  <c:v>39.700000000000003</c:v>
                </c:pt>
                <c:pt idx="3">
                  <c:v>40</c:v>
                </c:pt>
                <c:pt idx="4">
                  <c:v>41</c:v>
                </c:pt>
                <c:pt idx="5">
                  <c:v>42</c:v>
                </c:pt>
                <c:pt idx="6">
                  <c:v>42</c:v>
                </c:pt>
              </c:numCache>
            </c:numRef>
          </c:val>
          <c:extLst xmlns:c16r2="http://schemas.microsoft.com/office/drawing/2015/06/chart">
            <c:ext xmlns:c16="http://schemas.microsoft.com/office/drawing/2014/chart" uri="{C3380CC4-5D6E-409C-BE32-E72D297353CC}">
              <c16:uniqueId val="{00000000-19E7-4768-94C8-3F95253CE3C7}"/>
            </c:ext>
          </c:extLst>
        </c:ser>
        <c:overlap val="100"/>
        <c:axId val="74153344"/>
        <c:axId val="74175616"/>
      </c:barChart>
      <c:catAx>
        <c:axId val="74153344"/>
        <c:scaling>
          <c:orientation val="minMax"/>
        </c:scaling>
        <c:axPos val="b"/>
        <c:numFmt formatCode="General" sourceLinked="0"/>
        <c:tickLblPos val="nextTo"/>
        <c:crossAx val="74175616"/>
        <c:crosses val="autoZero"/>
        <c:auto val="1"/>
        <c:lblAlgn val="ctr"/>
        <c:lblOffset val="100"/>
      </c:catAx>
      <c:valAx>
        <c:axId val="74175616"/>
        <c:scaling>
          <c:orientation val="minMax"/>
        </c:scaling>
        <c:axPos val="l"/>
        <c:majorGridlines/>
        <c:numFmt formatCode="General" sourceLinked="1"/>
        <c:tickLblPos val="nextTo"/>
        <c:crossAx val="74153344"/>
        <c:crosses val="autoZero"/>
        <c:crossBetween val="between"/>
      </c:valAx>
    </c:plotArea>
    <c:plotVisOnly val="1"/>
    <c:dispBlanksAs val="gap"/>
  </c:chart>
  <c:spPr>
    <a:ln>
      <a:noFill/>
    </a:ln>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градостроительство!$D$84</c:f>
              <c:strCache>
                <c:ptCount val="1"/>
                <c:pt idx="0">
                  <c:v>Обеспеченность жилого фонда центральной канализацией, %</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градостроительство!$C$85:$C$91</c:f>
              <c:strCache>
                <c:ptCount val="7"/>
                <c:pt idx="0">
                  <c:v>01.01.2011 г.</c:v>
                </c:pt>
                <c:pt idx="1">
                  <c:v>01.01.2012 г.</c:v>
                </c:pt>
                <c:pt idx="2">
                  <c:v>01.01.2013 г.</c:v>
                </c:pt>
                <c:pt idx="3">
                  <c:v>01.01.2014 г.</c:v>
                </c:pt>
                <c:pt idx="4">
                  <c:v>01.01.2015 г.</c:v>
                </c:pt>
                <c:pt idx="5">
                  <c:v>01.01.2016 г.</c:v>
                </c:pt>
                <c:pt idx="6">
                  <c:v>01.01.2017 г.</c:v>
                </c:pt>
              </c:strCache>
            </c:strRef>
          </c:cat>
          <c:val>
            <c:numRef>
              <c:f>градостроительство!$D$85:$D$91</c:f>
              <c:numCache>
                <c:formatCode>General</c:formatCode>
                <c:ptCount val="7"/>
                <c:pt idx="0">
                  <c:v>20</c:v>
                </c:pt>
                <c:pt idx="1">
                  <c:v>21</c:v>
                </c:pt>
                <c:pt idx="2">
                  <c:v>21</c:v>
                </c:pt>
                <c:pt idx="3">
                  <c:v>22</c:v>
                </c:pt>
                <c:pt idx="4">
                  <c:v>22</c:v>
                </c:pt>
                <c:pt idx="5">
                  <c:v>23</c:v>
                </c:pt>
                <c:pt idx="6">
                  <c:v>23</c:v>
                </c:pt>
              </c:numCache>
            </c:numRef>
          </c:val>
          <c:extLst xmlns:c16r2="http://schemas.microsoft.com/office/drawing/2015/06/chart">
            <c:ext xmlns:c16="http://schemas.microsoft.com/office/drawing/2014/chart" uri="{C3380CC4-5D6E-409C-BE32-E72D297353CC}">
              <c16:uniqueId val="{00000000-C9E7-4944-83FF-24D0F8FB5330}"/>
            </c:ext>
          </c:extLst>
        </c:ser>
        <c:overlap val="100"/>
        <c:axId val="74391936"/>
        <c:axId val="74393472"/>
      </c:barChart>
      <c:catAx>
        <c:axId val="74391936"/>
        <c:scaling>
          <c:orientation val="minMax"/>
        </c:scaling>
        <c:axPos val="b"/>
        <c:numFmt formatCode="General" sourceLinked="0"/>
        <c:tickLblPos val="nextTo"/>
        <c:crossAx val="74393472"/>
        <c:crosses val="autoZero"/>
        <c:auto val="1"/>
        <c:lblAlgn val="ctr"/>
        <c:lblOffset val="100"/>
      </c:catAx>
      <c:valAx>
        <c:axId val="74393472"/>
        <c:scaling>
          <c:orientation val="minMax"/>
        </c:scaling>
        <c:axPos val="l"/>
        <c:majorGridlines/>
        <c:numFmt formatCode="General" sourceLinked="1"/>
        <c:tickLblPos val="nextTo"/>
        <c:crossAx val="74391936"/>
        <c:crosses val="autoZero"/>
        <c:crossBetween val="between"/>
      </c:valAx>
    </c:plotArea>
    <c:plotVisOnly val="1"/>
    <c:dispBlanksAs val="gap"/>
  </c:chart>
  <c:spPr>
    <a:ln>
      <a:noFill/>
    </a:ln>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8509426517764181E-2"/>
          <c:y val="7.4548702245552628E-2"/>
          <c:w val="0.87663218568267198"/>
          <c:h val="0.79822506561679785"/>
        </c:manualLayout>
      </c:layout>
      <c:barChart>
        <c:barDir val="col"/>
        <c:grouping val="stacked"/>
        <c:ser>
          <c:idx val="0"/>
          <c:order val="0"/>
          <c:tx>
            <c:strRef>
              <c:f>экология!$D$14</c:f>
              <c:strCache>
                <c:ptCount val="1"/>
                <c:pt idx="0">
                  <c:v>Выбросы в атмосферу загрязняющих веществ от ст. источников, тонн</c:v>
                </c:pt>
              </c:strCache>
            </c:strRef>
          </c:tx>
          <c:dLbls>
            <c:spPr>
              <a:noFill/>
              <a:ln>
                <a:noFill/>
              </a:ln>
              <a:effectLst/>
            </c:spPr>
            <c:txPr>
              <a:bodyPr/>
              <a:lstStyle/>
              <a:p>
                <a:pPr>
                  <a:defRPr sz="105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экология!$C$15:$C$21</c:f>
              <c:strCache>
                <c:ptCount val="7"/>
                <c:pt idx="0">
                  <c:v>01.01.2011 г.</c:v>
                </c:pt>
                <c:pt idx="1">
                  <c:v>01.01.2012 г.</c:v>
                </c:pt>
                <c:pt idx="2">
                  <c:v>01.01.2013 г.</c:v>
                </c:pt>
                <c:pt idx="3">
                  <c:v>01.01.2014 г.</c:v>
                </c:pt>
                <c:pt idx="4">
                  <c:v>01.01.2015 г.</c:v>
                </c:pt>
                <c:pt idx="5">
                  <c:v>01.01.2016 г.</c:v>
                </c:pt>
                <c:pt idx="6">
                  <c:v>01.01.2017 г.</c:v>
                </c:pt>
              </c:strCache>
            </c:strRef>
          </c:cat>
          <c:val>
            <c:numRef>
              <c:f>экология!$D$15:$D$21</c:f>
              <c:numCache>
                <c:formatCode>General</c:formatCode>
                <c:ptCount val="7"/>
                <c:pt idx="0">
                  <c:v>12138</c:v>
                </c:pt>
                <c:pt idx="1">
                  <c:v>13990</c:v>
                </c:pt>
                <c:pt idx="2">
                  <c:v>8117</c:v>
                </c:pt>
                <c:pt idx="3">
                  <c:v>18480</c:v>
                </c:pt>
                <c:pt idx="4">
                  <c:v>6366</c:v>
                </c:pt>
                <c:pt idx="5">
                  <c:v>13446</c:v>
                </c:pt>
                <c:pt idx="6">
                  <c:v>13400</c:v>
                </c:pt>
              </c:numCache>
            </c:numRef>
          </c:val>
          <c:extLst xmlns:c16r2="http://schemas.microsoft.com/office/drawing/2015/06/chart">
            <c:ext xmlns:c16="http://schemas.microsoft.com/office/drawing/2014/chart" uri="{C3380CC4-5D6E-409C-BE32-E72D297353CC}">
              <c16:uniqueId val="{00000000-6845-4419-9651-2422A971F3A2}"/>
            </c:ext>
          </c:extLst>
        </c:ser>
        <c:overlap val="100"/>
        <c:axId val="74417280"/>
        <c:axId val="74418816"/>
      </c:barChart>
      <c:catAx>
        <c:axId val="74417280"/>
        <c:scaling>
          <c:orientation val="minMax"/>
        </c:scaling>
        <c:axPos val="b"/>
        <c:numFmt formatCode="General" sourceLinked="0"/>
        <c:tickLblPos val="nextTo"/>
        <c:crossAx val="74418816"/>
        <c:crosses val="autoZero"/>
        <c:auto val="1"/>
        <c:lblAlgn val="ctr"/>
        <c:lblOffset val="100"/>
      </c:catAx>
      <c:valAx>
        <c:axId val="74418816"/>
        <c:scaling>
          <c:orientation val="minMax"/>
        </c:scaling>
        <c:axPos val="l"/>
        <c:majorGridlines/>
        <c:numFmt formatCode="General" sourceLinked="1"/>
        <c:tickLblPos val="nextTo"/>
        <c:crossAx val="74417280"/>
        <c:crosses val="autoZero"/>
        <c:crossBetween val="between"/>
      </c:valAx>
    </c:plotArea>
    <c:plotVisOnly val="1"/>
    <c:dispBlanksAs val="gap"/>
  </c:chart>
  <c:spPr>
    <a:ln>
      <a:noFill/>
    </a:ln>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экология!$D$30</c:f>
              <c:strCache>
                <c:ptCount val="1"/>
                <c:pt idx="0">
                  <c:v>Выбросы в атмосферу загрязняющих веществ от стационарных  источников в расчете на одного жителя, кг.</c:v>
                </c:pt>
              </c:strCache>
            </c:strRef>
          </c:tx>
          <c:dLbls>
            <c:dLbl>
              <c:idx val="0"/>
              <c:layout>
                <c:manualLayout>
                  <c:x val="5.2596975673898814E-3"/>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4B8-487C-9BD5-A5002EDE408F}"/>
                </c:ext>
              </c:extLst>
            </c:dLbl>
            <c:dLbl>
              <c:idx val="1"/>
              <c:layout>
                <c:manualLayout>
                  <c:x val="1.0519395134779739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4B8-487C-9BD5-A5002EDE408F}"/>
                </c:ext>
              </c:extLst>
            </c:dLbl>
            <c:dLbl>
              <c:idx val="2"/>
              <c:layout>
                <c:manualLayout>
                  <c:x val="7.8895463510847922E-3"/>
                  <c:y val="-1.698513800424634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4B8-487C-9BD5-A5002EDE408F}"/>
                </c:ext>
              </c:extLst>
            </c:dLbl>
            <c:dLbl>
              <c:idx val="4"/>
              <c:layout>
                <c:manualLayout>
                  <c:x val="7.8895463510849032E-3"/>
                  <c:y val="-8.492569002123176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4B8-487C-9BD5-A5002EDE408F}"/>
                </c:ext>
              </c:extLst>
            </c:dLbl>
            <c:dLbl>
              <c:idx val="5"/>
              <c:layout>
                <c:manualLayout>
                  <c:x val="7.8895463510849032E-3"/>
                  <c:y val="7.784764988343954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4B8-487C-9BD5-A5002EDE408F}"/>
                </c:ext>
              </c:extLst>
            </c:dLbl>
            <c:dLbl>
              <c:idx val="6"/>
              <c:layout>
                <c:manualLayout>
                  <c:x val="7.8895463510849032E-3"/>
                  <c:y val="7.7847649883439542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B8-487C-9BD5-A5002EDE408F}"/>
                </c:ext>
              </c:extLst>
            </c:dLbl>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экология!$C$31:$C$37</c:f>
              <c:strCache>
                <c:ptCount val="7"/>
                <c:pt idx="0">
                  <c:v>01.01.2011 г.</c:v>
                </c:pt>
                <c:pt idx="1">
                  <c:v>01.01.2012 г.</c:v>
                </c:pt>
                <c:pt idx="2">
                  <c:v>01.01.2013 г.</c:v>
                </c:pt>
                <c:pt idx="3">
                  <c:v>01.01.2014 г.</c:v>
                </c:pt>
                <c:pt idx="4">
                  <c:v>01.01.2015 г.</c:v>
                </c:pt>
                <c:pt idx="5">
                  <c:v>01.01.2016 г.</c:v>
                </c:pt>
                <c:pt idx="6">
                  <c:v>01.01.2017 г.</c:v>
                </c:pt>
              </c:strCache>
            </c:strRef>
          </c:cat>
          <c:val>
            <c:numRef>
              <c:f>экология!$D$31:$D$37</c:f>
              <c:numCache>
                <c:formatCode>General</c:formatCode>
                <c:ptCount val="7"/>
                <c:pt idx="0">
                  <c:v>475.9</c:v>
                </c:pt>
                <c:pt idx="1">
                  <c:v>550.79999999999995</c:v>
                </c:pt>
                <c:pt idx="2">
                  <c:v>320.8</c:v>
                </c:pt>
                <c:pt idx="3">
                  <c:v>733</c:v>
                </c:pt>
                <c:pt idx="4">
                  <c:v>255.3</c:v>
                </c:pt>
                <c:pt idx="5">
                  <c:v>537.9</c:v>
                </c:pt>
                <c:pt idx="6">
                  <c:v>537.9</c:v>
                </c:pt>
              </c:numCache>
            </c:numRef>
          </c:val>
          <c:extLst xmlns:c16r2="http://schemas.microsoft.com/office/drawing/2015/06/chart">
            <c:ext xmlns:c16="http://schemas.microsoft.com/office/drawing/2014/chart" uri="{C3380CC4-5D6E-409C-BE32-E72D297353CC}">
              <c16:uniqueId val="{00000006-C4B8-487C-9BD5-A5002EDE408F}"/>
            </c:ext>
          </c:extLst>
        </c:ser>
        <c:overlap val="100"/>
        <c:axId val="74438528"/>
        <c:axId val="74440064"/>
      </c:barChart>
      <c:catAx>
        <c:axId val="74438528"/>
        <c:scaling>
          <c:orientation val="minMax"/>
        </c:scaling>
        <c:axPos val="b"/>
        <c:numFmt formatCode="General" sourceLinked="0"/>
        <c:tickLblPos val="nextTo"/>
        <c:crossAx val="74440064"/>
        <c:crosses val="autoZero"/>
        <c:auto val="1"/>
        <c:lblAlgn val="ctr"/>
        <c:lblOffset val="100"/>
      </c:catAx>
      <c:valAx>
        <c:axId val="74440064"/>
        <c:scaling>
          <c:orientation val="minMax"/>
        </c:scaling>
        <c:axPos val="l"/>
        <c:majorGridlines/>
        <c:numFmt formatCode="General" sourceLinked="1"/>
        <c:tickLblPos val="nextTo"/>
        <c:crossAx val="74438528"/>
        <c:crosses val="autoZero"/>
        <c:crossBetween val="between"/>
      </c:valAx>
    </c:plotArea>
    <c:plotVisOnly val="1"/>
    <c:dispBlanksAs val="gap"/>
  </c:chart>
  <c:spPr>
    <a:ln>
      <a:noFill/>
    </a:ln>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468588525881778E-2"/>
          <c:y val="0.10340680533212919"/>
          <c:w val="0.89830367889095808"/>
          <c:h val="0.68493889876668645"/>
        </c:manualLayout>
      </c:layout>
      <c:barChart>
        <c:barDir val="col"/>
        <c:grouping val="stacked"/>
        <c:ser>
          <c:idx val="0"/>
          <c:order val="0"/>
          <c:tx>
            <c:strRef>
              <c:f>'имущественные и земельные отн'!$C$2</c:f>
              <c:strCache>
                <c:ptCount val="1"/>
                <c:pt idx="0">
                  <c:v>Площадь земельных участков предоставленных для строительства, га</c:v>
                </c:pt>
              </c:strCache>
            </c:strRef>
          </c:tx>
          <c:dLbls>
            <c:dLbl>
              <c:idx val="0"/>
              <c:layout>
                <c:manualLayout>
                  <c:x val="1.1254218261233834E-17"/>
                  <c:y val="-8.6548430647446967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3BC-4C61-8DEE-D8DC84F06CAB}"/>
                </c:ext>
              </c:extLst>
            </c:dLbl>
            <c:dLbl>
              <c:idx val="1"/>
              <c:layout>
                <c:manualLayout>
                  <c:x val="2.4554941682014006E-3"/>
                  <c:y val="-9.398975287833419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3BC-4C61-8DEE-D8DC84F06CAB}"/>
                </c:ext>
              </c:extLst>
            </c:dLbl>
            <c:dLbl>
              <c:idx val="2"/>
              <c:layout>
                <c:manualLayout>
                  <c:x val="2.4554941682014006E-3"/>
                  <c:y val="-7.159836649811736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3BC-4C61-8DEE-D8DC84F06CAB}"/>
                </c:ext>
              </c:extLst>
            </c:dLbl>
            <c:dLbl>
              <c:idx val="3"/>
              <c:layout>
                <c:manualLayout>
                  <c:x val="0"/>
                  <c:y val="-6.3376854251047013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3BC-4C61-8DEE-D8DC84F06CAB}"/>
                </c:ext>
              </c:extLst>
            </c:dLbl>
            <c:dLbl>
              <c:idx val="4"/>
              <c:layout>
                <c:manualLayout>
                  <c:x val="4.9109883364027006E-3"/>
                  <c:y val="-0.10780676377114363"/>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3BC-4C61-8DEE-D8DC84F06CAB}"/>
                </c:ext>
              </c:extLst>
            </c:dLbl>
            <c:dLbl>
              <c:idx val="5"/>
              <c:layout>
                <c:manualLayout>
                  <c:x val="4.9109883364027909E-3"/>
                  <c:y val="-8.9257628738900266E-2"/>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3BC-4C61-8DEE-D8DC84F06CAB}"/>
                </c:ext>
              </c:extLst>
            </c:dLbl>
            <c:dLbl>
              <c:idx val="6"/>
              <c:layout>
                <c:manualLayout>
                  <c:x val="2.4554941682014006E-3"/>
                  <c:y val="-0.25655304269074974"/>
                </c:manualLayout>
              </c:layout>
              <c:dLblPos val="ct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3BC-4C61-8DEE-D8DC84F06CAB}"/>
                </c:ext>
              </c:extLst>
            </c:dLbl>
            <c:spPr>
              <a:noFill/>
              <a:ln>
                <a:noFill/>
              </a:ln>
              <a:effectLst/>
            </c:spPr>
            <c:txPr>
              <a:bodyPr/>
              <a:lstStyle/>
              <a:p>
                <a:pPr>
                  <a:defRPr sz="1100">
                    <a:solidFill>
                      <a:sysClr val="windowText" lastClr="000000"/>
                    </a:solidFill>
                  </a:defRPr>
                </a:pPr>
                <a:endParaRPr lang="ru-RU"/>
              </a:p>
            </c:txPr>
            <c:dLblPos val="inEnd"/>
            <c:showVal val="1"/>
            <c:extLst xmlns:c16r2="http://schemas.microsoft.com/office/drawing/2015/06/chart">
              <c:ext xmlns:c15="http://schemas.microsoft.com/office/drawing/2012/chart" uri="{CE6537A1-D6FC-4f65-9D91-7224C49458BB}">
                <c15:showLeaderLines val="0"/>
              </c:ext>
            </c:extLst>
          </c:dLbls>
          <c:cat>
            <c:strRef>
              <c:f>'имущественные и земельные отн'!$B$3:$B$9</c:f>
              <c:strCache>
                <c:ptCount val="7"/>
                <c:pt idx="0">
                  <c:v>01.01.2011 г.</c:v>
                </c:pt>
                <c:pt idx="1">
                  <c:v>01.01.2012 г.</c:v>
                </c:pt>
                <c:pt idx="2">
                  <c:v>01.01.2013 г.</c:v>
                </c:pt>
                <c:pt idx="3">
                  <c:v>01.01.2014 г.</c:v>
                </c:pt>
                <c:pt idx="4">
                  <c:v>01.01.2015 г.</c:v>
                </c:pt>
                <c:pt idx="5">
                  <c:v>01.01.2016 г.</c:v>
                </c:pt>
                <c:pt idx="6">
                  <c:v>01.01.2017 г.</c:v>
                </c:pt>
              </c:strCache>
            </c:strRef>
          </c:cat>
          <c:val>
            <c:numRef>
              <c:f>'имущественные и земельные отн'!$C$3:$C$9</c:f>
              <c:numCache>
                <c:formatCode>General</c:formatCode>
                <c:ptCount val="7"/>
                <c:pt idx="0">
                  <c:v>19.329999999999988</c:v>
                </c:pt>
                <c:pt idx="1">
                  <c:v>17.54</c:v>
                </c:pt>
                <c:pt idx="2">
                  <c:v>11.46</c:v>
                </c:pt>
                <c:pt idx="3">
                  <c:v>11.56</c:v>
                </c:pt>
                <c:pt idx="4">
                  <c:v>25.03</c:v>
                </c:pt>
                <c:pt idx="5">
                  <c:v>18.809999999999999</c:v>
                </c:pt>
                <c:pt idx="6">
                  <c:v>76.337000000000003</c:v>
                </c:pt>
              </c:numCache>
            </c:numRef>
          </c:val>
          <c:extLst xmlns:c16r2="http://schemas.microsoft.com/office/drawing/2015/06/chart">
            <c:ext xmlns:c16="http://schemas.microsoft.com/office/drawing/2014/chart" uri="{C3380CC4-5D6E-409C-BE32-E72D297353CC}">
              <c16:uniqueId val="{00000007-43BC-4C61-8DEE-D8DC84F06CAB}"/>
            </c:ext>
          </c:extLst>
        </c:ser>
        <c:overlap val="100"/>
        <c:axId val="74599040"/>
        <c:axId val="74629504"/>
      </c:barChart>
      <c:catAx>
        <c:axId val="74599040"/>
        <c:scaling>
          <c:orientation val="minMax"/>
        </c:scaling>
        <c:axPos val="b"/>
        <c:numFmt formatCode="General" sourceLinked="0"/>
        <c:tickLblPos val="nextTo"/>
        <c:crossAx val="74629504"/>
        <c:crosses val="autoZero"/>
        <c:auto val="1"/>
        <c:lblAlgn val="ctr"/>
        <c:lblOffset val="100"/>
      </c:catAx>
      <c:valAx>
        <c:axId val="74629504"/>
        <c:scaling>
          <c:orientation val="minMax"/>
        </c:scaling>
        <c:axPos val="l"/>
        <c:majorGridlines/>
        <c:numFmt formatCode="General" sourceLinked="1"/>
        <c:tickLblPos val="nextTo"/>
        <c:crossAx val="74599040"/>
        <c:crosses val="autoZero"/>
        <c:crossBetween val="between"/>
      </c:valAx>
    </c:plotArea>
    <c:plotVisOnly val="1"/>
    <c:dispBlanksAs val="gap"/>
  </c:chart>
  <c:spPr>
    <a:ln>
      <a:noFill/>
    </a:ln>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Рисунки!$A$61</c:f>
              <c:strCache>
                <c:ptCount val="1"/>
                <c:pt idx="0">
                  <c:v>Количество выданных разрешений на строительство, ед.</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Рисунки!$B$59:$H$59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Рисунки!$B$61:$H$61</c:f>
              <c:numCache>
                <c:formatCode>General</c:formatCode>
                <c:ptCount val="7"/>
                <c:pt idx="0">
                  <c:v>98</c:v>
                </c:pt>
                <c:pt idx="1">
                  <c:v>354</c:v>
                </c:pt>
                <c:pt idx="2">
                  <c:v>459</c:v>
                </c:pt>
                <c:pt idx="3">
                  <c:v>507</c:v>
                </c:pt>
                <c:pt idx="4">
                  <c:v>406</c:v>
                </c:pt>
                <c:pt idx="5">
                  <c:v>321</c:v>
                </c:pt>
                <c:pt idx="6">
                  <c:v>399</c:v>
                </c:pt>
              </c:numCache>
            </c:numRef>
          </c:val>
          <c:extLst xmlns:c16r2="http://schemas.microsoft.com/office/drawing/2015/06/chart">
            <c:ext xmlns:c16="http://schemas.microsoft.com/office/drawing/2014/chart" uri="{C3380CC4-5D6E-409C-BE32-E72D297353CC}">
              <c16:uniqueId val="{00000000-D297-4467-8221-997B4A6B0EE3}"/>
            </c:ext>
          </c:extLst>
        </c:ser>
        <c:shape val="box"/>
        <c:axId val="74635904"/>
        <c:axId val="74645888"/>
        <c:axId val="0"/>
      </c:bar3DChart>
      <c:catAx>
        <c:axId val="74635904"/>
        <c:scaling>
          <c:orientation val="minMax"/>
        </c:scaling>
        <c:axPos val="b"/>
        <c:numFmt formatCode="General" sourceLinked="0"/>
        <c:tickLblPos val="nextTo"/>
        <c:crossAx val="74645888"/>
        <c:crosses val="autoZero"/>
        <c:auto val="1"/>
        <c:lblAlgn val="ctr"/>
        <c:lblOffset val="100"/>
      </c:catAx>
      <c:valAx>
        <c:axId val="74645888"/>
        <c:scaling>
          <c:orientation val="minMax"/>
        </c:scaling>
        <c:axPos val="l"/>
        <c:majorGridlines/>
        <c:numFmt formatCode="General" sourceLinked="1"/>
        <c:tickLblPos val="nextTo"/>
        <c:crossAx val="74635904"/>
        <c:crosses val="autoZero"/>
        <c:crossBetween val="between"/>
      </c:valAx>
    </c:plotArea>
    <c:plotVisOnly val="1"/>
    <c:dispBlanksAs val="gap"/>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view3D>
      <c:rotX val="65"/>
      <c:rotY val="30"/>
      <c:rAngAx val="1"/>
    </c:view3D>
    <c:plotArea>
      <c:layout/>
      <c:bar3DChart>
        <c:barDir val="col"/>
        <c:grouping val="stacked"/>
        <c:ser>
          <c:idx val="0"/>
          <c:order val="0"/>
          <c:tx>
            <c:strRef>
              <c:f>Рисунки!$A$74</c:f>
              <c:strCache>
                <c:ptCount val="1"/>
                <c:pt idx="0">
                  <c:v>сельскохозяйственное производство, млн.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Рисунки!$B$74:$H$74</c:f>
              <c:numCache>
                <c:formatCode>General</c:formatCode>
                <c:ptCount val="7"/>
                <c:pt idx="0">
                  <c:v>40.578000000000003</c:v>
                </c:pt>
                <c:pt idx="1">
                  <c:v>63.945</c:v>
                </c:pt>
                <c:pt idx="2">
                  <c:v>37.627000000000002</c:v>
                </c:pt>
                <c:pt idx="3">
                  <c:v>47.425000000000011</c:v>
                </c:pt>
                <c:pt idx="4">
                  <c:v>45.311999999999998</c:v>
                </c:pt>
                <c:pt idx="5">
                  <c:v>64.593000000000004</c:v>
                </c:pt>
                <c:pt idx="6">
                  <c:v>65.006</c:v>
                </c:pt>
              </c:numCache>
            </c:numRef>
          </c:val>
          <c:extLst xmlns:c16r2="http://schemas.microsoft.com/office/drawing/2015/06/chart">
            <c:ext xmlns:c16="http://schemas.microsoft.com/office/drawing/2014/chart" uri="{C3380CC4-5D6E-409C-BE32-E72D297353CC}">
              <c16:uniqueId val="{00000000-9C05-4CE8-ADE6-914AC97E7736}"/>
            </c:ext>
          </c:extLst>
        </c:ser>
        <c:ser>
          <c:idx val="1"/>
          <c:order val="1"/>
          <c:tx>
            <c:strRef>
              <c:f>Рисунки!$A$75</c:f>
              <c:strCache>
                <c:ptCount val="1"/>
                <c:pt idx="0">
                  <c:v>строительство, млн. рублей</c:v>
                </c:pt>
              </c:strCache>
            </c:strRef>
          </c:tx>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Рисунки!$B$75:$H$75</c:f>
              <c:numCache>
                <c:formatCode>General</c:formatCode>
                <c:ptCount val="7"/>
              </c:numCache>
            </c:numRef>
          </c:val>
          <c:extLst xmlns:c16r2="http://schemas.microsoft.com/office/drawing/2015/06/chart">
            <c:ext xmlns:c16="http://schemas.microsoft.com/office/drawing/2014/chart" uri="{C3380CC4-5D6E-409C-BE32-E72D297353CC}">
              <c16:uniqueId val="{00000001-9C05-4CE8-ADE6-914AC97E7736}"/>
            </c:ext>
          </c:extLst>
        </c:ser>
        <c:ser>
          <c:idx val="2"/>
          <c:order val="2"/>
          <c:tx>
            <c:strRef>
              <c:f>Рисунки!$A$76</c:f>
              <c:strCache>
                <c:ptCount val="1"/>
                <c:pt idx="0">
                  <c:v>добыча полезных ископаемых, обрабатывающие производства,  производство электроэнергии, газа, воды млн. рублей</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Рисунки!$B$61:$H$61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Рисунки!$B$76:$H$76</c:f>
              <c:numCache>
                <c:formatCode>General</c:formatCode>
                <c:ptCount val="7"/>
                <c:pt idx="0">
                  <c:v>4.4649999999999945</c:v>
                </c:pt>
                <c:pt idx="1">
                  <c:v>7.5709999999999997</c:v>
                </c:pt>
                <c:pt idx="2">
                  <c:v>8.3070000000000004</c:v>
                </c:pt>
                <c:pt idx="3">
                  <c:v>0.18100000000000024</c:v>
                </c:pt>
                <c:pt idx="4">
                  <c:v>8.4360000000000035</c:v>
                </c:pt>
                <c:pt idx="5">
                  <c:v>10.293000000000001</c:v>
                </c:pt>
                <c:pt idx="6">
                  <c:v>10.423</c:v>
                </c:pt>
              </c:numCache>
            </c:numRef>
          </c:val>
          <c:extLst xmlns:c16r2="http://schemas.microsoft.com/office/drawing/2015/06/chart">
            <c:ext xmlns:c16="http://schemas.microsoft.com/office/drawing/2014/chart" uri="{C3380CC4-5D6E-409C-BE32-E72D297353CC}">
              <c16:uniqueId val="{00000002-9C05-4CE8-ADE6-914AC97E7736}"/>
            </c:ext>
          </c:extLst>
        </c:ser>
        <c:shape val="box"/>
        <c:axId val="74677248"/>
        <c:axId val="74683136"/>
        <c:axId val="0"/>
      </c:bar3DChart>
      <c:catAx>
        <c:axId val="74677248"/>
        <c:scaling>
          <c:orientation val="minMax"/>
        </c:scaling>
        <c:axPos val="b"/>
        <c:numFmt formatCode="General" sourceLinked="0"/>
        <c:tickLblPos val="nextTo"/>
        <c:crossAx val="74683136"/>
        <c:crosses val="autoZero"/>
        <c:auto val="1"/>
        <c:lblAlgn val="ctr"/>
        <c:lblOffset val="100"/>
      </c:catAx>
      <c:valAx>
        <c:axId val="74683136"/>
        <c:scaling>
          <c:orientation val="minMax"/>
        </c:scaling>
        <c:axPos val="l"/>
        <c:majorGridlines>
          <c:spPr>
            <a:ln w="0">
              <a:solidFill>
                <a:schemeClr val="bg1"/>
              </a:solidFill>
            </a:ln>
          </c:spPr>
        </c:majorGridlines>
        <c:numFmt formatCode="General" sourceLinked="1"/>
        <c:tickLblPos val="nextTo"/>
        <c:crossAx val="74677248"/>
        <c:crosses val="autoZero"/>
        <c:crossBetween val="between"/>
      </c:valAx>
    </c:plotArea>
    <c:legend>
      <c:legendPos val="r"/>
      <c:layout>
        <c:manualLayout>
          <c:xMode val="edge"/>
          <c:yMode val="edge"/>
          <c:x val="0.6117664981882609"/>
          <c:y val="2.4895193601782089E-2"/>
          <c:w val="0.37665604733668406"/>
          <c:h val="0.94513094998684433"/>
        </c:manualLayout>
      </c:layout>
      <c:txPr>
        <a:bodyPr/>
        <a:lstStyle/>
        <a:p>
          <a:pPr rtl="0">
            <a:defRPr sz="900" baseline="0"/>
          </a:pPr>
          <a:endParaRPr lang="ru-RU"/>
        </a:p>
      </c:txPr>
    </c:legend>
    <c:plotVisOnly val="1"/>
    <c:dispBlanksAs val="gap"/>
  </c:chart>
  <c:spPr>
    <a:ln>
      <a:noFill/>
    </a:ln>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stacked"/>
        <c:ser>
          <c:idx val="0"/>
          <c:order val="0"/>
          <c:tx>
            <c:strRef>
              <c:f>Лист2!$A$56</c:f>
              <c:strCache>
                <c:ptCount val="1"/>
                <c:pt idx="0">
                  <c:v>Доля дебиторской задолженности в финансовом потоке муниципального образования,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Лист2!$B$56:$G$56</c:f>
              <c:numCache>
                <c:formatCode>0.0%</c:formatCode>
                <c:ptCount val="6"/>
                <c:pt idx="0">
                  <c:v>0.35395175368989484</c:v>
                </c:pt>
                <c:pt idx="1">
                  <c:v>0.39231965071280323</c:v>
                </c:pt>
                <c:pt idx="2">
                  <c:v>0.33176630511739125</c:v>
                </c:pt>
                <c:pt idx="3">
                  <c:v>0.42594842085591861</c:v>
                </c:pt>
                <c:pt idx="4">
                  <c:v>0.31447201593915119</c:v>
                </c:pt>
                <c:pt idx="5">
                  <c:v>0.36841952521911298</c:v>
                </c:pt>
              </c:numCache>
            </c:numRef>
          </c:val>
          <c:extLst xmlns:c16r2="http://schemas.microsoft.com/office/drawing/2015/06/chart">
            <c:ext xmlns:c16="http://schemas.microsoft.com/office/drawing/2014/chart" uri="{C3380CC4-5D6E-409C-BE32-E72D297353CC}">
              <c16:uniqueId val="{00000000-7840-4225-AC6C-F6390E33A72B}"/>
            </c:ext>
          </c:extLst>
        </c:ser>
        <c:ser>
          <c:idx val="1"/>
          <c:order val="1"/>
          <c:tx>
            <c:strRef>
              <c:f>Лист2!$A$57</c:f>
              <c:strCache>
                <c:ptCount val="1"/>
                <c:pt idx="0">
                  <c:v>Доля кредиторскй задолженности в финансовом потоке муниципального образования,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Лист2!$B$57:$G$57</c:f>
              <c:numCache>
                <c:formatCode>0.0%</c:formatCode>
                <c:ptCount val="6"/>
                <c:pt idx="0">
                  <c:v>0.64604824631012692</c:v>
                </c:pt>
                <c:pt idx="1">
                  <c:v>0.60768034928720249</c:v>
                </c:pt>
                <c:pt idx="2">
                  <c:v>0.66823369488261453</c:v>
                </c:pt>
                <c:pt idx="3">
                  <c:v>0.57405157914409299</c:v>
                </c:pt>
                <c:pt idx="4">
                  <c:v>0.68552798406085858</c:v>
                </c:pt>
                <c:pt idx="5">
                  <c:v>0.63158047478089263</c:v>
                </c:pt>
              </c:numCache>
            </c:numRef>
          </c:val>
          <c:extLst xmlns:c16r2="http://schemas.microsoft.com/office/drawing/2015/06/chart">
            <c:ext xmlns:c16="http://schemas.microsoft.com/office/drawing/2014/chart" uri="{C3380CC4-5D6E-409C-BE32-E72D297353CC}">
              <c16:uniqueId val="{00000001-7840-4225-AC6C-F6390E33A72B}"/>
            </c:ext>
          </c:extLst>
        </c:ser>
        <c:shape val="box"/>
        <c:axId val="74721152"/>
        <c:axId val="74722688"/>
        <c:axId val="0"/>
      </c:bar3DChart>
      <c:catAx>
        <c:axId val="74721152"/>
        <c:scaling>
          <c:orientation val="minMax"/>
        </c:scaling>
        <c:axPos val="b"/>
        <c:numFmt formatCode="General" sourceLinked="1"/>
        <c:tickLblPos val="nextTo"/>
        <c:crossAx val="74722688"/>
        <c:crosses val="autoZero"/>
        <c:auto val="1"/>
        <c:lblAlgn val="ctr"/>
        <c:lblOffset val="100"/>
      </c:catAx>
      <c:valAx>
        <c:axId val="74722688"/>
        <c:scaling>
          <c:orientation val="minMax"/>
        </c:scaling>
        <c:axPos val="l"/>
        <c:majorGridlines>
          <c:spPr>
            <a:ln w="0">
              <a:solidFill>
                <a:schemeClr val="bg1"/>
              </a:solidFill>
            </a:ln>
          </c:spPr>
        </c:majorGridlines>
        <c:numFmt formatCode="0.0%" sourceLinked="1"/>
        <c:tickLblPos val="nextTo"/>
        <c:crossAx val="74721152"/>
        <c:crosses val="autoZero"/>
        <c:crossBetween val="between"/>
      </c:valAx>
      <c:spPr>
        <a:noFill/>
        <a:ln w="25400">
          <a:noFill/>
        </a:ln>
      </c:spPr>
    </c:plotArea>
    <c:legend>
      <c:legendPos val="b"/>
      <c:txPr>
        <a:bodyPr/>
        <a:lstStyle/>
        <a:p>
          <a:pPr>
            <a:defRPr baseline="0">
              <a:latin typeface="Times New Roman" pitchFamily="18" charset="0"/>
            </a:defRPr>
          </a:pPr>
          <a:endParaRPr lang="ru-RU"/>
        </a:p>
      </c:txPr>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Лист1!$U$23</c:f>
              <c:strCache>
                <c:ptCount val="1"/>
                <c:pt idx="0">
                  <c:v>до</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Лист1!$U$24:$U$30</c:f>
              <c:numCache>
                <c:formatCode>0.0%</c:formatCode>
                <c:ptCount val="7"/>
                <c:pt idx="0">
                  <c:v>0.20284258300820129</c:v>
                </c:pt>
                <c:pt idx="1">
                  <c:v>0.20283919198345793</c:v>
                </c:pt>
                <c:pt idx="2">
                  <c:v>0.20494671857182536</c:v>
                </c:pt>
                <c:pt idx="3">
                  <c:v>0.21113707473563309</c:v>
                </c:pt>
                <c:pt idx="4">
                  <c:v>0.21853646909264499</c:v>
                </c:pt>
                <c:pt idx="5">
                  <c:v>0.22295546558704693</c:v>
                </c:pt>
                <c:pt idx="6">
                  <c:v>0.22553477521648016</c:v>
                </c:pt>
              </c:numCache>
            </c:numRef>
          </c:val>
          <c:extLst xmlns:c16r2="http://schemas.microsoft.com/office/drawing/2015/06/chart">
            <c:ext xmlns:c16="http://schemas.microsoft.com/office/drawing/2014/chart" uri="{C3380CC4-5D6E-409C-BE32-E72D297353CC}">
              <c16:uniqueId val="{00000000-B686-4B59-ADD4-AAEDC3800907}"/>
            </c:ext>
          </c:extLst>
        </c:ser>
        <c:ser>
          <c:idx val="1"/>
          <c:order val="1"/>
          <c:tx>
            <c:strRef>
              <c:f>Лист1!$V$23</c:f>
              <c:strCache>
                <c:ptCount val="1"/>
                <c:pt idx="0">
                  <c:v>трудоспособный возраст</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Лист1!$V$24:$V$30</c:f>
              <c:numCache>
                <c:formatCode>0.0%</c:formatCode>
                <c:ptCount val="7"/>
                <c:pt idx="0">
                  <c:v>0.56146986225018736</c:v>
                </c:pt>
                <c:pt idx="1">
                  <c:v>0.5616351200890799</c:v>
                </c:pt>
                <c:pt idx="2">
                  <c:v>0.55982855569974299</c:v>
                </c:pt>
                <c:pt idx="3">
                  <c:v>0.54814052041665018</c:v>
                </c:pt>
                <c:pt idx="4">
                  <c:v>0.53750198633402191</c:v>
                </c:pt>
                <c:pt idx="5">
                  <c:v>0.52676113360323884</c:v>
                </c:pt>
                <c:pt idx="6">
                  <c:v>0.51852437626032977</c:v>
                </c:pt>
              </c:numCache>
            </c:numRef>
          </c:val>
          <c:extLst xmlns:c16r2="http://schemas.microsoft.com/office/drawing/2015/06/chart">
            <c:ext xmlns:c16="http://schemas.microsoft.com/office/drawing/2014/chart" uri="{C3380CC4-5D6E-409C-BE32-E72D297353CC}">
              <c16:uniqueId val="{00000001-B686-4B59-ADD4-AAEDC3800907}"/>
            </c:ext>
          </c:extLst>
        </c:ser>
        <c:ser>
          <c:idx val="2"/>
          <c:order val="2"/>
          <c:tx>
            <c:strRef>
              <c:f>Лист1!$W$23</c:f>
              <c:strCache>
                <c:ptCount val="1"/>
                <c:pt idx="0">
                  <c:v>старше</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Лист1!$T$24:$T$30</c:f>
              <c:strCache>
                <c:ptCount val="7"/>
                <c:pt idx="0">
                  <c:v>01.01.2011 г.</c:v>
                </c:pt>
                <c:pt idx="1">
                  <c:v>01.01.2012 г.</c:v>
                </c:pt>
                <c:pt idx="2">
                  <c:v>01.01.2013 г.</c:v>
                </c:pt>
                <c:pt idx="3">
                  <c:v>01.01.2014 г.</c:v>
                </c:pt>
                <c:pt idx="4">
                  <c:v>01.01.2015 г.</c:v>
                </c:pt>
                <c:pt idx="5">
                  <c:v>01.01.2016 г.</c:v>
                </c:pt>
                <c:pt idx="6">
                  <c:v>01.01.2017 г.</c:v>
                </c:pt>
              </c:strCache>
            </c:strRef>
          </c:cat>
          <c:val>
            <c:numRef>
              <c:f>Лист1!$W$24:$W$30</c:f>
              <c:numCache>
                <c:formatCode>0.0%</c:formatCode>
                <c:ptCount val="7"/>
                <c:pt idx="0">
                  <c:v>0.23568755474161937</c:v>
                </c:pt>
                <c:pt idx="1">
                  <c:v>0.23552568792747094</c:v>
                </c:pt>
                <c:pt idx="2">
                  <c:v>0.23522472572844166</c:v>
                </c:pt>
                <c:pt idx="3">
                  <c:v>0.24072240484771862</c:v>
                </c:pt>
                <c:pt idx="4">
                  <c:v>0.24396154457333807</c:v>
                </c:pt>
                <c:pt idx="5">
                  <c:v>0.25028340080971662</c:v>
                </c:pt>
                <c:pt idx="6">
                  <c:v>0.25594084852318644</c:v>
                </c:pt>
              </c:numCache>
            </c:numRef>
          </c:val>
          <c:extLst xmlns:c16r2="http://schemas.microsoft.com/office/drawing/2015/06/chart">
            <c:ext xmlns:c16="http://schemas.microsoft.com/office/drawing/2014/chart" uri="{C3380CC4-5D6E-409C-BE32-E72D297353CC}">
              <c16:uniqueId val="{00000002-B686-4B59-ADD4-AAEDC3800907}"/>
            </c:ext>
          </c:extLst>
        </c:ser>
        <c:gapWidth val="219"/>
        <c:overlap val="-27"/>
        <c:axId val="196406656"/>
        <c:axId val="201955584"/>
      </c:barChart>
      <c:catAx>
        <c:axId val="196406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955584"/>
        <c:crosses val="autoZero"/>
        <c:auto val="1"/>
        <c:lblAlgn val="ctr"/>
        <c:lblOffset val="100"/>
      </c:catAx>
      <c:valAx>
        <c:axId val="201955584"/>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4066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Лист2!$A$93</c:f>
              <c:strCache>
                <c:ptCount val="1"/>
                <c:pt idx="0">
                  <c:v>К дз/кз</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Лист2!$B$93:$G$93</c:f>
              <c:numCache>
                <c:formatCode>0.00</c:formatCode>
                <c:ptCount val="6"/>
                <c:pt idx="0">
                  <c:v>0.54787201375667871</c:v>
                </c:pt>
                <c:pt idx="1">
                  <c:v>0.64560200304813076</c:v>
                </c:pt>
                <c:pt idx="2">
                  <c:v>0.49648245465333107</c:v>
                </c:pt>
                <c:pt idx="3">
                  <c:v>0.74200374379425349</c:v>
                </c:pt>
                <c:pt idx="4">
                  <c:v>0.45872965546396111</c:v>
                </c:pt>
                <c:pt idx="5">
                  <c:v>0.58332950420438368</c:v>
                </c:pt>
              </c:numCache>
            </c:numRef>
          </c:val>
          <c:extLst xmlns:c16r2="http://schemas.microsoft.com/office/drawing/2015/06/chart">
            <c:ext xmlns:c16="http://schemas.microsoft.com/office/drawing/2014/chart" uri="{C3380CC4-5D6E-409C-BE32-E72D297353CC}">
              <c16:uniqueId val="{00000000-0359-453B-886F-85EA386FC373}"/>
            </c:ext>
          </c:extLst>
        </c:ser>
        <c:marker val="1"/>
        <c:axId val="74733440"/>
        <c:axId val="74734976"/>
      </c:lineChart>
      <c:catAx>
        <c:axId val="74733440"/>
        <c:scaling>
          <c:orientation val="minMax"/>
        </c:scaling>
        <c:axPos val="b"/>
        <c:numFmt formatCode="General" sourceLinked="1"/>
        <c:tickLblPos val="nextTo"/>
        <c:crossAx val="74734976"/>
        <c:crosses val="autoZero"/>
        <c:auto val="1"/>
        <c:lblAlgn val="ctr"/>
        <c:lblOffset val="100"/>
      </c:catAx>
      <c:valAx>
        <c:axId val="74734976"/>
        <c:scaling>
          <c:orientation val="minMax"/>
        </c:scaling>
        <c:axPos val="l"/>
        <c:majorGridlines/>
        <c:numFmt formatCode="0.00" sourceLinked="1"/>
        <c:tickLblPos val="nextTo"/>
        <c:crossAx val="74733440"/>
        <c:crosses val="autoZero"/>
        <c:crossBetween val="between"/>
      </c:valAx>
    </c:plotArea>
    <c:plotVisOnly val="1"/>
    <c:dispBlanksAs val="gap"/>
  </c:chart>
  <c:spPr>
    <a:ln>
      <a:noFill/>
    </a:ln>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Лист2!$A$72</c:f>
              <c:strCache>
                <c:ptCount val="1"/>
                <c:pt idx="0">
                  <c:v>Доля задолженности по платежам в бюджет, %</c:v>
                </c:pt>
              </c:strCache>
            </c:strRef>
          </c:tx>
          <c:dLbls>
            <c:dLbl>
              <c:idx val="0"/>
              <c:layout>
                <c:manualLayout>
                  <c:x val="-6.867926351314081E-3"/>
                  <c:y val="-1.511567058629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6BA-4A62-AF03-22AA84BE6EC2}"/>
                </c:ext>
              </c:extLst>
            </c:dLbl>
            <c:dLbl>
              <c:idx val="1"/>
              <c:layout>
                <c:manualLayout>
                  <c:x val="-6.867926351314081E-3"/>
                  <c:y val="-2.01542274483914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6BA-4A62-AF03-22AA84BE6EC2}"/>
                </c:ext>
              </c:extLst>
            </c:dLbl>
            <c:dLbl>
              <c:idx val="2"/>
              <c:layout>
                <c:manualLayout>
                  <c:x val="-1.3735852702628167E-2"/>
                  <c:y val="-5.038556862097872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6BA-4A62-AF03-22AA84BE6EC2}"/>
                </c:ext>
              </c:extLst>
            </c:dLbl>
            <c:dLbl>
              <c:idx val="3"/>
              <c:layout>
                <c:manualLayout>
                  <c:x val="-6.867926351314081E-3"/>
                  <c:y val="-1.5115670586293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6BA-4A62-AF03-22AA84BE6EC2}"/>
                </c:ext>
              </c:extLst>
            </c:dLbl>
            <c:dLbl>
              <c:idx val="4"/>
              <c:layout>
                <c:manualLayout>
                  <c:x val="-1.1446543918856801E-2"/>
                  <c:y val="-1.00771137241957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6BA-4A62-AF03-22AA84BE6EC2}"/>
                </c:ext>
              </c:extLst>
            </c:dLbl>
            <c:dLbl>
              <c:idx val="5"/>
              <c:layout>
                <c:manualLayout>
                  <c:x val="-9.1572351350854547E-3"/>
                  <c:y val="-3.023134117258775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6BA-4A62-AF03-22AA84BE6EC2}"/>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Лист2!$B$72:$G$72</c:f>
              <c:numCache>
                <c:formatCode>0.0%</c:formatCode>
                <c:ptCount val="6"/>
                <c:pt idx="0">
                  <c:v>6.8107842535159349E-2</c:v>
                </c:pt>
                <c:pt idx="1">
                  <c:v>6.6895275419116093E-2</c:v>
                </c:pt>
                <c:pt idx="2">
                  <c:v>5.7467367350399132E-2</c:v>
                </c:pt>
                <c:pt idx="3">
                  <c:v>6.6167494099454702E-2</c:v>
                </c:pt>
                <c:pt idx="4">
                  <c:v>5.8867047135912114E-2</c:v>
                </c:pt>
                <c:pt idx="5">
                  <c:v>2.5272251068327006E-2</c:v>
                </c:pt>
              </c:numCache>
            </c:numRef>
          </c:val>
          <c:extLst xmlns:c16r2="http://schemas.microsoft.com/office/drawing/2015/06/chart">
            <c:ext xmlns:c16="http://schemas.microsoft.com/office/drawing/2014/chart" uri="{C3380CC4-5D6E-409C-BE32-E72D297353CC}">
              <c16:uniqueId val="{00000006-D6BA-4A62-AF03-22AA84BE6EC2}"/>
            </c:ext>
          </c:extLst>
        </c:ser>
        <c:ser>
          <c:idx val="1"/>
          <c:order val="1"/>
          <c:tx>
            <c:strRef>
              <c:f>Лист2!$A$73</c:f>
              <c:strCache>
                <c:ptCount val="1"/>
                <c:pt idx="0">
                  <c:v>Доля задолженности по платежам в государственные внебюджетные фонды,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Лист2!$B$73:$G$73</c:f>
              <c:numCache>
                <c:formatCode>0.0%</c:formatCode>
                <c:ptCount val="6"/>
                <c:pt idx="0">
                  <c:v>3.1382423386353865E-2</c:v>
                </c:pt>
                <c:pt idx="1">
                  <c:v>4.6211626387981722E-2</c:v>
                </c:pt>
                <c:pt idx="2">
                  <c:v>3.9116799457535184E-2</c:v>
                </c:pt>
                <c:pt idx="3">
                  <c:v>2.6287946610238692E-2</c:v>
                </c:pt>
                <c:pt idx="4">
                  <c:v>4.0107799619530794E-2</c:v>
                </c:pt>
                <c:pt idx="5">
                  <c:v>8.5466158158343068E-3</c:v>
                </c:pt>
              </c:numCache>
            </c:numRef>
          </c:val>
          <c:extLst xmlns:c16r2="http://schemas.microsoft.com/office/drawing/2015/06/chart">
            <c:ext xmlns:c16="http://schemas.microsoft.com/office/drawing/2014/chart" uri="{C3380CC4-5D6E-409C-BE32-E72D297353CC}">
              <c16:uniqueId val="{00000007-D6BA-4A62-AF03-22AA84BE6EC2}"/>
            </c:ext>
          </c:extLst>
        </c:ser>
        <c:ser>
          <c:idx val="2"/>
          <c:order val="2"/>
          <c:tx>
            <c:strRef>
              <c:f>Лист2!$A$74</c:f>
              <c:strCache>
                <c:ptCount val="1"/>
                <c:pt idx="0">
                  <c:v>Доля задолженности перед поставщиками и подрядчиками,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Лист2!$B$2:$G$2</c:f>
              <c:numCache>
                <c:formatCode>General</c:formatCode>
                <c:ptCount val="6"/>
                <c:pt idx="0">
                  <c:v>2011</c:v>
                </c:pt>
                <c:pt idx="1">
                  <c:v>2012</c:v>
                </c:pt>
                <c:pt idx="2">
                  <c:v>2013</c:v>
                </c:pt>
                <c:pt idx="3">
                  <c:v>2014</c:v>
                </c:pt>
                <c:pt idx="4">
                  <c:v>2015</c:v>
                </c:pt>
                <c:pt idx="5">
                  <c:v>2016</c:v>
                </c:pt>
              </c:numCache>
            </c:numRef>
          </c:cat>
          <c:val>
            <c:numRef>
              <c:f>Лист2!$B$74:$G$74</c:f>
              <c:numCache>
                <c:formatCode>0.0%</c:formatCode>
                <c:ptCount val="6"/>
                <c:pt idx="0">
                  <c:v>0.90050973407849466</c:v>
                </c:pt>
                <c:pt idx="1">
                  <c:v>0.8868930981929023</c:v>
                </c:pt>
                <c:pt idx="2">
                  <c:v>0.90341583319206642</c:v>
                </c:pt>
                <c:pt idx="3">
                  <c:v>0.90754455929030686</c:v>
                </c:pt>
                <c:pt idx="4">
                  <c:v>0.90102515324456589</c:v>
                </c:pt>
                <c:pt idx="5">
                  <c:v>0.96618113311583964</c:v>
                </c:pt>
              </c:numCache>
            </c:numRef>
          </c:val>
          <c:extLst xmlns:c16r2="http://schemas.microsoft.com/office/drawing/2015/06/chart">
            <c:ext xmlns:c16="http://schemas.microsoft.com/office/drawing/2014/chart" uri="{C3380CC4-5D6E-409C-BE32-E72D297353CC}">
              <c16:uniqueId val="{00000008-D6BA-4A62-AF03-22AA84BE6EC2}"/>
            </c:ext>
          </c:extLst>
        </c:ser>
        <c:shape val="box"/>
        <c:axId val="74774016"/>
        <c:axId val="74775552"/>
        <c:axId val="0"/>
      </c:bar3DChart>
      <c:catAx>
        <c:axId val="74774016"/>
        <c:scaling>
          <c:orientation val="minMax"/>
        </c:scaling>
        <c:axPos val="b"/>
        <c:numFmt formatCode="General" sourceLinked="1"/>
        <c:tickLblPos val="nextTo"/>
        <c:crossAx val="74775552"/>
        <c:crosses val="autoZero"/>
        <c:auto val="1"/>
        <c:lblAlgn val="ctr"/>
        <c:lblOffset val="100"/>
      </c:catAx>
      <c:valAx>
        <c:axId val="74775552"/>
        <c:scaling>
          <c:orientation val="minMax"/>
        </c:scaling>
        <c:axPos val="l"/>
        <c:majorGridlines/>
        <c:numFmt formatCode="0.0%" sourceLinked="1"/>
        <c:tickLblPos val="nextTo"/>
        <c:crossAx val="74774016"/>
        <c:crosses val="autoZero"/>
        <c:crossBetween val="between"/>
      </c:valAx>
    </c:plotArea>
    <c:legend>
      <c:legendPos val="b"/>
    </c:legend>
    <c:plotVisOnly val="1"/>
    <c:dispBlanksAs val="gap"/>
  </c:chart>
  <c:spPr>
    <a:ln>
      <a:noFill/>
    </a:ln>
  </c:spPr>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2103687189837399E-2"/>
          <c:y val="6.0938816135505322E-2"/>
          <c:w val="0.88436274310790641"/>
          <c:h val="0.39359217988884065"/>
        </c:manualLayout>
      </c:layout>
      <c:lineChart>
        <c:grouping val="standard"/>
        <c:ser>
          <c:idx val="0"/>
          <c:order val="0"/>
          <c:tx>
            <c:strRef>
              <c:f>Лист2!$A$87</c:f>
              <c:strCache>
                <c:ptCount val="1"/>
                <c:pt idx="0">
                  <c:v>Задолженность перед поставщиками и подрядчиками,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Лист2!$B$87:$G$87</c:f>
              <c:numCache>
                <c:formatCode>0.0</c:formatCode>
                <c:ptCount val="6"/>
                <c:pt idx="0">
                  <c:v>111.12323535429285</c:v>
                </c:pt>
                <c:pt idx="1">
                  <c:v>130.82729839204819</c:v>
                </c:pt>
                <c:pt idx="2">
                  <c:v>52.310362621381998</c:v>
                </c:pt>
                <c:pt idx="3">
                  <c:v>152.91005291005212</c:v>
                </c:pt>
                <c:pt idx="4">
                  <c:v>123.31828045275837</c:v>
                </c:pt>
                <c:pt idx="5">
                  <c:v>143.40175953079179</c:v>
                </c:pt>
              </c:numCache>
            </c:numRef>
          </c:val>
          <c:extLst xmlns:c16r2="http://schemas.microsoft.com/office/drawing/2015/06/chart">
            <c:ext xmlns:c16="http://schemas.microsoft.com/office/drawing/2014/chart" uri="{C3380CC4-5D6E-409C-BE32-E72D297353CC}">
              <c16:uniqueId val="{00000000-69CE-4CAC-9B3F-889793BA956F}"/>
            </c:ext>
          </c:extLst>
        </c:ser>
        <c:ser>
          <c:idx val="1"/>
          <c:order val="1"/>
          <c:tx>
            <c:strRef>
              <c:f>Лист2!$A$88</c:f>
              <c:strCache>
                <c:ptCount val="1"/>
                <c:pt idx="0">
                  <c:v>Задолженность по платежам в бюджет из общей суммы кредиторской задолженности,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Лист2!$B$88:$G$88</c:f>
              <c:numCache>
                <c:formatCode>0.0</c:formatCode>
                <c:ptCount val="6"/>
                <c:pt idx="0">
                  <c:v>110.82055906221822</c:v>
                </c:pt>
                <c:pt idx="1">
                  <c:v>110.33360455654955</c:v>
                </c:pt>
                <c:pt idx="2">
                  <c:v>59.955752212389413</c:v>
                </c:pt>
                <c:pt idx="3">
                  <c:v>137.02337023370112</c:v>
                </c:pt>
                <c:pt idx="4">
                  <c:v>49.371633752243142</c:v>
                </c:pt>
                <c:pt idx="5">
                  <c:v>49.594229035166805</c:v>
                </c:pt>
              </c:numCache>
            </c:numRef>
          </c:val>
          <c:extLst xmlns:c16r2="http://schemas.microsoft.com/office/drawing/2015/06/chart">
            <c:ext xmlns:c16="http://schemas.microsoft.com/office/drawing/2014/chart" uri="{C3380CC4-5D6E-409C-BE32-E72D297353CC}">
              <c16:uniqueId val="{00000001-69CE-4CAC-9B3F-889793BA956F}"/>
            </c:ext>
          </c:extLst>
        </c:ser>
        <c:ser>
          <c:idx val="2"/>
          <c:order val="2"/>
          <c:tx>
            <c:strRef>
              <c:f>Лист2!$A$89</c:f>
              <c:strCache>
                <c:ptCount val="1"/>
                <c:pt idx="0">
                  <c:v>Задолженность по платежам в государственные внебюджетные фонды из общей суммы кредиторской задолженности,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Лист2!$B$89:$G$89</c:f>
              <c:numCache>
                <c:formatCode>0.0</c:formatCode>
                <c:ptCount val="6"/>
                <c:pt idx="0">
                  <c:v>166.14481409001672</c:v>
                </c:pt>
                <c:pt idx="1">
                  <c:v>108.71613663133112</c:v>
                </c:pt>
                <c:pt idx="2">
                  <c:v>34.99458288190683</c:v>
                </c:pt>
                <c:pt idx="3">
                  <c:v>234.98452012383902</c:v>
                </c:pt>
                <c:pt idx="4">
                  <c:v>24.505928853754927</c:v>
                </c:pt>
                <c:pt idx="5">
                  <c:v>36.399217221135032</c:v>
                </c:pt>
              </c:numCache>
            </c:numRef>
          </c:val>
          <c:extLst xmlns:c16r2="http://schemas.microsoft.com/office/drawing/2015/06/chart">
            <c:ext xmlns:c16="http://schemas.microsoft.com/office/drawing/2014/chart" uri="{C3380CC4-5D6E-409C-BE32-E72D297353CC}">
              <c16:uniqueId val="{00000002-69CE-4CAC-9B3F-889793BA956F}"/>
            </c:ext>
          </c:extLst>
        </c:ser>
        <c:ser>
          <c:idx val="3"/>
          <c:order val="3"/>
          <c:tx>
            <c:strRef>
              <c:f>Лист2!$A$90</c:f>
              <c:strCache>
                <c:ptCount val="1"/>
                <c:pt idx="0">
                  <c:v>Задолженность по полученным займам и кредитам, %</c:v>
                </c:pt>
              </c:strCache>
            </c:strRef>
          </c:tx>
          <c:cat>
            <c:numRef>
              <c:f>Лист2!$B$2:$G$2</c:f>
              <c:numCache>
                <c:formatCode>General</c:formatCode>
                <c:ptCount val="6"/>
                <c:pt idx="0">
                  <c:v>2011</c:v>
                </c:pt>
                <c:pt idx="1">
                  <c:v>2012</c:v>
                </c:pt>
                <c:pt idx="2">
                  <c:v>2013</c:v>
                </c:pt>
                <c:pt idx="3">
                  <c:v>2014</c:v>
                </c:pt>
                <c:pt idx="4">
                  <c:v>2015</c:v>
                </c:pt>
                <c:pt idx="5">
                  <c:v>2016</c:v>
                </c:pt>
              </c:numCache>
            </c:numRef>
          </c:cat>
          <c:val>
            <c:numRef>
              <c:f>Лист2!$B$90:$G$90</c:f>
              <c:numCache>
                <c:formatCode>0.0</c:formatCode>
                <c:ptCount val="6"/>
                <c:pt idx="0" formatCode="0">
                  <c:v>264</c:v>
                </c:pt>
                <c:pt idx="1">
                  <c:v>15.151515151515149</c:v>
                </c:pt>
                <c:pt idx="2" formatCode="General">
                  <c:v>100</c:v>
                </c:pt>
                <c:pt idx="3" formatCode="General">
                  <c:v>100</c:v>
                </c:pt>
                <c:pt idx="4" formatCode="General">
                  <c:v>100</c:v>
                </c:pt>
                <c:pt idx="5" formatCode="0">
                  <c:v>40</c:v>
                </c:pt>
              </c:numCache>
            </c:numRef>
          </c:val>
          <c:extLst xmlns:c16r2="http://schemas.microsoft.com/office/drawing/2015/06/chart">
            <c:ext xmlns:c16="http://schemas.microsoft.com/office/drawing/2014/chart" uri="{C3380CC4-5D6E-409C-BE32-E72D297353CC}">
              <c16:uniqueId val="{00000003-69CE-4CAC-9B3F-889793BA956F}"/>
            </c:ext>
          </c:extLst>
        </c:ser>
        <c:marker val="1"/>
        <c:axId val="74368896"/>
        <c:axId val="74370432"/>
      </c:lineChart>
      <c:catAx>
        <c:axId val="74368896"/>
        <c:scaling>
          <c:orientation val="minMax"/>
        </c:scaling>
        <c:axPos val="b"/>
        <c:numFmt formatCode="General" sourceLinked="1"/>
        <c:tickLblPos val="nextTo"/>
        <c:crossAx val="74370432"/>
        <c:crosses val="autoZero"/>
        <c:auto val="1"/>
        <c:lblAlgn val="ctr"/>
        <c:lblOffset val="100"/>
      </c:catAx>
      <c:valAx>
        <c:axId val="74370432"/>
        <c:scaling>
          <c:orientation val="minMax"/>
        </c:scaling>
        <c:axPos val="l"/>
        <c:majorGridlines/>
        <c:numFmt formatCode="0.0" sourceLinked="1"/>
        <c:tickLblPos val="nextTo"/>
        <c:crossAx val="74368896"/>
        <c:crosses val="autoZero"/>
        <c:crossBetween val="between"/>
      </c:valAx>
    </c:plotArea>
    <c:legend>
      <c:legendPos val="b"/>
      <c:layout>
        <c:manualLayout>
          <c:xMode val="edge"/>
          <c:yMode val="edge"/>
          <c:x val="6.9106166646325934E-3"/>
          <c:y val="0.69987400332992045"/>
          <c:w val="0.96907544493871245"/>
          <c:h val="0.27291243017148831"/>
        </c:manualLayout>
      </c:layout>
      <c:txPr>
        <a:bodyPr/>
        <a:lstStyle/>
        <a:p>
          <a:pPr>
            <a:defRPr sz="800" baseline="0">
              <a:latin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Структура!$A$32</c:f>
              <c:strCache>
                <c:ptCount val="1"/>
                <c:pt idx="0">
                  <c:v>- бюджетные средства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Структура!$B$4:$G$4</c:f>
              <c:numCache>
                <c:formatCode>General</c:formatCode>
                <c:ptCount val="6"/>
                <c:pt idx="0">
                  <c:v>2011</c:v>
                </c:pt>
                <c:pt idx="1">
                  <c:v>2012</c:v>
                </c:pt>
                <c:pt idx="2">
                  <c:v>2013</c:v>
                </c:pt>
                <c:pt idx="3">
                  <c:v>2014</c:v>
                </c:pt>
                <c:pt idx="4">
                  <c:v>2015</c:v>
                </c:pt>
                <c:pt idx="5">
                  <c:v>2016</c:v>
                </c:pt>
              </c:numCache>
            </c:numRef>
          </c:cat>
          <c:val>
            <c:numRef>
              <c:f>Структура!$B$32:$G$32</c:f>
              <c:numCache>
                <c:formatCode>0.0%</c:formatCode>
                <c:ptCount val="6"/>
                <c:pt idx="0">
                  <c:v>3.9074407648607451E-2</c:v>
                </c:pt>
                <c:pt idx="1">
                  <c:v>0.59000991554208471</c:v>
                </c:pt>
                <c:pt idx="2">
                  <c:v>9.0847699624723832E-2</c:v>
                </c:pt>
                <c:pt idx="3">
                  <c:v>0.21617262762076417</c:v>
                </c:pt>
                <c:pt idx="4">
                  <c:v>0.30084173334719283</c:v>
                </c:pt>
                <c:pt idx="5">
                  <c:v>0.36242041624311438</c:v>
                </c:pt>
              </c:numCache>
            </c:numRef>
          </c:val>
          <c:extLst xmlns:c16r2="http://schemas.microsoft.com/office/drawing/2015/06/chart">
            <c:ext xmlns:c16="http://schemas.microsoft.com/office/drawing/2014/chart" uri="{C3380CC4-5D6E-409C-BE32-E72D297353CC}">
              <c16:uniqueId val="{00000000-CF65-4AEA-BF9F-B28AB0577ABB}"/>
            </c:ext>
          </c:extLst>
        </c:ser>
        <c:ser>
          <c:idx val="1"/>
          <c:order val="1"/>
          <c:tx>
            <c:strRef>
              <c:f>Структура!$A$33</c:f>
              <c:strCache>
                <c:ptCount val="1"/>
                <c:pt idx="0">
                  <c:v>- собственные и привлеченные средства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Структура!$B$4:$G$4</c:f>
              <c:numCache>
                <c:formatCode>General</c:formatCode>
                <c:ptCount val="6"/>
                <c:pt idx="0">
                  <c:v>2011</c:v>
                </c:pt>
                <c:pt idx="1">
                  <c:v>2012</c:v>
                </c:pt>
                <c:pt idx="2">
                  <c:v>2013</c:v>
                </c:pt>
                <c:pt idx="3">
                  <c:v>2014</c:v>
                </c:pt>
                <c:pt idx="4">
                  <c:v>2015</c:v>
                </c:pt>
                <c:pt idx="5">
                  <c:v>2016</c:v>
                </c:pt>
              </c:numCache>
            </c:numRef>
          </c:cat>
          <c:val>
            <c:numRef>
              <c:f>Структура!$B$33:$G$33</c:f>
              <c:numCache>
                <c:formatCode>0.0%</c:formatCode>
                <c:ptCount val="6"/>
                <c:pt idx="0">
                  <c:v>0.96092559235140396</c:v>
                </c:pt>
                <c:pt idx="1">
                  <c:v>0.40999008445791518</c:v>
                </c:pt>
                <c:pt idx="2">
                  <c:v>0.90915230037527617</c:v>
                </c:pt>
                <c:pt idx="3">
                  <c:v>0.78382737237923572</c:v>
                </c:pt>
                <c:pt idx="4">
                  <c:v>0.69915826665281877</c:v>
                </c:pt>
                <c:pt idx="5">
                  <c:v>0.63757958375688861</c:v>
                </c:pt>
              </c:numCache>
            </c:numRef>
          </c:val>
          <c:extLst xmlns:c16r2="http://schemas.microsoft.com/office/drawing/2015/06/chart">
            <c:ext xmlns:c16="http://schemas.microsoft.com/office/drawing/2014/chart" uri="{C3380CC4-5D6E-409C-BE32-E72D297353CC}">
              <c16:uniqueId val="{00000001-CF65-4AEA-BF9F-B28AB0577ABB}"/>
            </c:ext>
          </c:extLst>
        </c:ser>
        <c:shape val="box"/>
        <c:axId val="74203904"/>
        <c:axId val="74205440"/>
        <c:axId val="0"/>
      </c:bar3DChart>
      <c:catAx>
        <c:axId val="74203904"/>
        <c:scaling>
          <c:orientation val="minMax"/>
        </c:scaling>
        <c:axPos val="b"/>
        <c:numFmt formatCode="General" sourceLinked="1"/>
        <c:tickLblPos val="nextTo"/>
        <c:crossAx val="74205440"/>
        <c:crosses val="autoZero"/>
        <c:auto val="1"/>
        <c:lblAlgn val="ctr"/>
        <c:lblOffset val="100"/>
      </c:catAx>
      <c:valAx>
        <c:axId val="74205440"/>
        <c:scaling>
          <c:orientation val="minMax"/>
        </c:scaling>
        <c:axPos val="l"/>
        <c:majorGridlines/>
        <c:numFmt formatCode="0.0%" sourceLinked="1"/>
        <c:tickLblPos val="nextTo"/>
        <c:crossAx val="74203904"/>
        <c:crosses val="autoZero"/>
        <c:crossBetween val="between"/>
      </c:valAx>
    </c:plotArea>
    <c:legend>
      <c:legendPos val="b"/>
      <c:txPr>
        <a:bodyPr/>
        <a:lstStyle/>
        <a:p>
          <a:pPr>
            <a:defRPr baseline="0">
              <a:latin typeface="Times New Roman" pitchFamily="18" charset="0"/>
            </a:defRPr>
          </a:pPr>
          <a:endParaRPr lang="ru-RU"/>
        </a:p>
      </c:txPr>
    </c:legend>
    <c:plotVisOnly val="1"/>
    <c:dispBlanksAs val="gap"/>
  </c:chart>
  <c:spPr>
    <a:ln>
      <a:noFill/>
    </a:ln>
  </c:spPr>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Рисунки!$A$124</c:f>
              <c:strCache>
                <c:ptCount val="1"/>
                <c:pt idx="0">
                  <c:v>Число субъектов малого предпринимательства,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Рисунки!$B$124:$H$124</c:f>
              <c:numCache>
                <c:formatCode>General</c:formatCode>
                <c:ptCount val="7"/>
                <c:pt idx="0">
                  <c:v>986</c:v>
                </c:pt>
                <c:pt idx="1">
                  <c:v>821</c:v>
                </c:pt>
                <c:pt idx="2">
                  <c:v>708</c:v>
                </c:pt>
                <c:pt idx="3">
                  <c:v>853</c:v>
                </c:pt>
                <c:pt idx="4">
                  <c:v>837</c:v>
                </c:pt>
                <c:pt idx="5">
                  <c:v>835</c:v>
                </c:pt>
                <c:pt idx="6">
                  <c:v>865</c:v>
                </c:pt>
              </c:numCache>
            </c:numRef>
          </c:val>
          <c:extLst xmlns:c16r2="http://schemas.microsoft.com/office/drawing/2015/06/chart">
            <c:ext xmlns:c16="http://schemas.microsoft.com/office/drawing/2014/chart" uri="{C3380CC4-5D6E-409C-BE32-E72D297353CC}">
              <c16:uniqueId val="{00000000-21D7-4995-AA26-14B9D01790AB}"/>
            </c:ext>
          </c:extLst>
        </c:ser>
        <c:ser>
          <c:idx val="1"/>
          <c:order val="1"/>
          <c:tx>
            <c:strRef>
              <c:f>Рисунки!$A$125</c:f>
              <c:strCache>
                <c:ptCount val="1"/>
                <c:pt idx="0">
                  <c:v>Число малых  предприятий (включая микропредприятия),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Рисунки!$B$125:$H$125</c:f>
              <c:numCache>
                <c:formatCode>General</c:formatCode>
                <c:ptCount val="7"/>
                <c:pt idx="0">
                  <c:v>251</c:v>
                </c:pt>
                <c:pt idx="1">
                  <c:v>252</c:v>
                </c:pt>
                <c:pt idx="2">
                  <c:v>250</c:v>
                </c:pt>
                <c:pt idx="3">
                  <c:v>253</c:v>
                </c:pt>
                <c:pt idx="4">
                  <c:v>247</c:v>
                </c:pt>
                <c:pt idx="5">
                  <c:v>247</c:v>
                </c:pt>
                <c:pt idx="6">
                  <c:v>284</c:v>
                </c:pt>
              </c:numCache>
            </c:numRef>
          </c:val>
          <c:extLst xmlns:c16r2="http://schemas.microsoft.com/office/drawing/2015/06/chart">
            <c:ext xmlns:c16="http://schemas.microsoft.com/office/drawing/2014/chart" uri="{C3380CC4-5D6E-409C-BE32-E72D297353CC}">
              <c16:uniqueId val="{00000001-21D7-4995-AA26-14B9D01790AB}"/>
            </c:ext>
          </c:extLst>
        </c:ser>
        <c:ser>
          <c:idx val="2"/>
          <c:order val="2"/>
          <c:tx>
            <c:strRef>
              <c:f>Рисунки!$A$126</c:f>
              <c:strCache>
                <c:ptCount val="1"/>
                <c:pt idx="0">
                  <c:v>Число ИП и КФХ зарегистрированных в статрегистре, единиц</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Рисунки!$B$129:$H$129</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Рисунки!$B$126:$H$126</c:f>
              <c:numCache>
                <c:formatCode>General</c:formatCode>
                <c:ptCount val="7"/>
                <c:pt idx="0">
                  <c:v>581</c:v>
                </c:pt>
                <c:pt idx="1">
                  <c:v>584</c:v>
                </c:pt>
                <c:pt idx="2">
                  <c:v>585</c:v>
                </c:pt>
                <c:pt idx="3">
                  <c:v>600</c:v>
                </c:pt>
                <c:pt idx="4">
                  <c:v>590</c:v>
                </c:pt>
                <c:pt idx="5">
                  <c:v>593</c:v>
                </c:pt>
                <c:pt idx="6">
                  <c:v>631</c:v>
                </c:pt>
              </c:numCache>
            </c:numRef>
          </c:val>
          <c:extLst xmlns:c16r2="http://schemas.microsoft.com/office/drawing/2015/06/chart">
            <c:ext xmlns:c16="http://schemas.microsoft.com/office/drawing/2014/chart" uri="{C3380CC4-5D6E-409C-BE32-E72D297353CC}">
              <c16:uniqueId val="{00000002-21D7-4995-AA26-14B9D01790AB}"/>
            </c:ext>
          </c:extLst>
        </c:ser>
        <c:shape val="box"/>
        <c:axId val="74245248"/>
        <c:axId val="74246784"/>
        <c:axId val="0"/>
      </c:bar3DChart>
      <c:catAx>
        <c:axId val="74245248"/>
        <c:scaling>
          <c:orientation val="minMax"/>
        </c:scaling>
        <c:axPos val="b"/>
        <c:numFmt formatCode="General" sourceLinked="0"/>
        <c:tickLblPos val="nextTo"/>
        <c:txPr>
          <a:bodyPr rot="-5400000" vert="horz"/>
          <a:lstStyle/>
          <a:p>
            <a:pPr>
              <a:defRPr/>
            </a:pPr>
            <a:endParaRPr lang="ru-RU"/>
          </a:p>
        </c:txPr>
        <c:crossAx val="74246784"/>
        <c:crosses val="autoZero"/>
        <c:auto val="1"/>
        <c:lblAlgn val="ctr"/>
        <c:lblOffset val="100"/>
      </c:catAx>
      <c:valAx>
        <c:axId val="74246784"/>
        <c:scaling>
          <c:orientation val="minMax"/>
        </c:scaling>
        <c:axPos val="l"/>
        <c:majorGridlines/>
        <c:numFmt formatCode="General" sourceLinked="1"/>
        <c:tickLblPos val="nextTo"/>
        <c:crossAx val="74245248"/>
        <c:crosses val="autoZero"/>
        <c:crossBetween val="between"/>
      </c:valAx>
    </c:plotArea>
    <c:legend>
      <c:legendPos val="b"/>
    </c:legend>
    <c:plotVisOnly val="1"/>
    <c:dispBlanksAs val="gap"/>
  </c:chart>
  <c:spPr>
    <a:ln>
      <a:noFill/>
    </a:ln>
  </c:spPr>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Рисунки!$B$101:$H$101</c:f>
              <c:strCache>
                <c:ptCount val="7"/>
                <c:pt idx="0">
                  <c:v>01.01.2011 г.</c:v>
                </c:pt>
                <c:pt idx="1">
                  <c:v>01.01.2012 г.</c:v>
                </c:pt>
                <c:pt idx="2">
                  <c:v>01.01.2013 г.</c:v>
                </c:pt>
                <c:pt idx="3">
                  <c:v>01.01.2014 г.</c:v>
                </c:pt>
                <c:pt idx="4">
                  <c:v>01.01.2015 г.</c:v>
                </c:pt>
                <c:pt idx="5">
                  <c:v>01.01.2016 г.</c:v>
                </c:pt>
                <c:pt idx="6">
                  <c:v>01.01.2017 г.</c:v>
                </c:pt>
              </c:strCache>
            </c:strRef>
          </c:cat>
          <c:val>
            <c:numRef>
              <c:f>Рисунки!$B$102:$H$102</c:f>
              <c:numCache>
                <c:formatCode>General</c:formatCode>
                <c:ptCount val="7"/>
                <c:pt idx="0">
                  <c:v>18687</c:v>
                </c:pt>
                <c:pt idx="1">
                  <c:v>14672</c:v>
                </c:pt>
                <c:pt idx="2">
                  <c:v>13446</c:v>
                </c:pt>
                <c:pt idx="3">
                  <c:v>14177</c:v>
                </c:pt>
                <c:pt idx="4">
                  <c:v>13534</c:v>
                </c:pt>
                <c:pt idx="5">
                  <c:v>13920</c:v>
                </c:pt>
                <c:pt idx="6">
                  <c:v>13937</c:v>
                </c:pt>
              </c:numCache>
            </c:numRef>
          </c:val>
          <c:extLst xmlns:c16r2="http://schemas.microsoft.com/office/drawing/2015/06/chart">
            <c:ext xmlns:c16="http://schemas.microsoft.com/office/drawing/2014/chart" uri="{C3380CC4-5D6E-409C-BE32-E72D297353CC}">
              <c16:uniqueId val="{00000000-CC1B-4190-9560-E31FF2B1E18C}"/>
            </c:ext>
          </c:extLst>
        </c:ser>
        <c:shape val="box"/>
        <c:axId val="74476160"/>
        <c:axId val="74477952"/>
        <c:axId val="0"/>
      </c:bar3DChart>
      <c:catAx>
        <c:axId val="74476160"/>
        <c:scaling>
          <c:orientation val="minMax"/>
        </c:scaling>
        <c:axPos val="b"/>
        <c:numFmt formatCode="General" sourceLinked="0"/>
        <c:tickLblPos val="nextTo"/>
        <c:txPr>
          <a:bodyPr/>
          <a:lstStyle/>
          <a:p>
            <a:pPr>
              <a:defRPr sz="900"/>
            </a:pPr>
            <a:endParaRPr lang="ru-RU"/>
          </a:p>
        </c:txPr>
        <c:crossAx val="74477952"/>
        <c:crosses val="autoZero"/>
        <c:auto val="1"/>
        <c:lblAlgn val="ctr"/>
        <c:lblOffset val="100"/>
      </c:catAx>
      <c:valAx>
        <c:axId val="74477952"/>
        <c:scaling>
          <c:orientation val="minMax"/>
        </c:scaling>
        <c:axPos val="l"/>
        <c:majorGridlines/>
        <c:numFmt formatCode="General" sourceLinked="1"/>
        <c:tickLblPos val="nextTo"/>
        <c:crossAx val="74476160"/>
        <c:crosses val="autoZero"/>
        <c:crossBetween val="between"/>
      </c:valAx>
    </c:plotArea>
    <c:plotVisOnly val="1"/>
    <c:dispBlanksAs val="gap"/>
  </c:chart>
  <c:spPr>
    <a:noFill/>
    <a:ln>
      <a:noFill/>
    </a:ln>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'с-х'!$B$13</c:f>
              <c:strCache>
                <c:ptCount val="1"/>
                <c:pt idx="0">
                  <c:v>Урожайность посевных площадей под картофель, ц/га</c:v>
                </c:pt>
              </c:strCache>
            </c:strRef>
          </c:tx>
          <c:dLbls>
            <c:dLbl>
              <c:idx val="0"/>
              <c:layout>
                <c:manualLayout>
                  <c:x val="-3.5805626598465499E-2"/>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F15-497B-947E-6AA449E743BF}"/>
                </c:ext>
              </c:extLst>
            </c:dLbl>
            <c:dLbl>
              <c:idx val="1"/>
              <c:layout>
                <c:manualLayout>
                  <c:x val="-1.7050298380221938E-3"/>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F15-497B-947E-6AA449E743BF}"/>
                </c:ext>
              </c:extLst>
            </c:dLbl>
            <c:dLbl>
              <c:idx val="2"/>
              <c:layout>
                <c:manualLayout>
                  <c:x val="0"/>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F15-497B-947E-6AA449E743BF}"/>
                </c:ext>
              </c:extLst>
            </c:dLbl>
            <c:dLbl>
              <c:idx val="3"/>
              <c:layout>
                <c:manualLayout>
                  <c:x val="-5.1150895140664966E-3"/>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F15-497B-947E-6AA449E743BF}"/>
                </c:ext>
              </c:extLst>
            </c:dLbl>
            <c:dLbl>
              <c:idx val="4"/>
              <c:layout>
                <c:manualLayout>
                  <c:x val="-3.0690537084399505E-2"/>
                  <c:y val="-4.8014773776546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F15-497B-947E-6AA449E743BF}"/>
                </c:ext>
              </c:extLst>
            </c:dLbl>
            <c:dLbl>
              <c:idx val="6"/>
              <c:layout>
                <c:manualLayout>
                  <c:x val="-1.250340770506342E-16"/>
                  <c:y val="-3.0769218344753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'с-х'!$C$13:$I$13</c:f>
              <c:numCache>
                <c:formatCode>0.0</c:formatCode>
                <c:ptCount val="7"/>
                <c:pt idx="0">
                  <c:v>112.4</c:v>
                </c:pt>
                <c:pt idx="1">
                  <c:v>230</c:v>
                </c:pt>
                <c:pt idx="2">
                  <c:v>125</c:v>
                </c:pt>
                <c:pt idx="3">
                  <c:v>223</c:v>
                </c:pt>
                <c:pt idx="4">
                  <c:v>247</c:v>
                </c:pt>
                <c:pt idx="5">
                  <c:v>243</c:v>
                </c:pt>
                <c:pt idx="6">
                  <c:v>98</c:v>
                </c:pt>
              </c:numCache>
            </c:numRef>
          </c:val>
          <c:extLst xmlns:c16r2="http://schemas.microsoft.com/office/drawing/2015/06/chart">
            <c:ext xmlns:c16="http://schemas.microsoft.com/office/drawing/2014/chart" uri="{C3380CC4-5D6E-409C-BE32-E72D297353CC}">
              <c16:uniqueId val="{00000006-2F15-497B-947E-6AA449E743BF}"/>
            </c:ext>
          </c:extLst>
        </c:ser>
        <c:ser>
          <c:idx val="1"/>
          <c:order val="1"/>
          <c:tx>
            <c:strRef>
              <c:f>'с-х'!$B$14</c:f>
              <c:strCache>
                <c:ptCount val="1"/>
                <c:pt idx="0">
                  <c:v>Урожайность посевных площадей под зерновые и бобовые, ц/га</c:v>
                </c:pt>
              </c:strCache>
            </c:strRef>
          </c:tx>
          <c:dLbls>
            <c:dLbl>
              <c:idx val="0"/>
              <c:layout>
                <c:manualLayout>
                  <c:x val="-5.1150895140664966E-3"/>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F15-497B-947E-6AA449E743BF}"/>
                </c:ext>
              </c:extLst>
            </c:dLbl>
            <c:dLbl>
              <c:idx val="1"/>
              <c:layout>
                <c:manualLayout>
                  <c:x val="-3.1258519262659838E-17"/>
                  <c:y val="4.432132963988919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2F15-497B-947E-6AA449E743BF}"/>
                </c:ext>
              </c:extLst>
            </c:dLbl>
            <c:dLbl>
              <c:idx val="2"/>
              <c:layout>
                <c:manualLayout>
                  <c:x val="0"/>
                  <c:y val="3.32409972299170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F15-497B-947E-6AA449E743BF}"/>
                </c:ext>
              </c:extLst>
            </c:dLbl>
            <c:dLbl>
              <c:idx val="3"/>
              <c:layout>
                <c:manualLayout>
                  <c:x val="0"/>
                  <c:y val="1.84672206832874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2F15-497B-947E-6AA449E743BF}"/>
                </c:ext>
              </c:extLst>
            </c:dLbl>
            <c:dLbl>
              <c:idx val="4"/>
              <c:layout>
                <c:manualLayout>
                  <c:x val="0"/>
                  <c:y val="1.47737765466297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F15-497B-947E-6AA449E743BF}"/>
                </c:ext>
              </c:extLst>
            </c:dLbl>
            <c:dLbl>
              <c:idx val="5"/>
              <c:layout>
                <c:manualLayout>
                  <c:x val="-1.7050298380221654E-3"/>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2F15-497B-947E-6AA449E743BF}"/>
                </c:ext>
              </c:extLst>
            </c:dLbl>
            <c:dLbl>
              <c:idx val="6"/>
              <c:layout>
                <c:manualLayout>
                  <c:x val="-1.0230313282450948E-2"/>
                  <c:y val="2.9547553093259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'с-х'!$C$14:$I$14</c:f>
              <c:numCache>
                <c:formatCode>0.0</c:formatCode>
                <c:ptCount val="7"/>
                <c:pt idx="0">
                  <c:v>5.1678420310296165</c:v>
                </c:pt>
                <c:pt idx="1">
                  <c:v>12.526142251530853</c:v>
                </c:pt>
                <c:pt idx="2">
                  <c:v>8.5</c:v>
                </c:pt>
                <c:pt idx="3">
                  <c:v>6.4</c:v>
                </c:pt>
                <c:pt idx="4">
                  <c:v>16.100000000000001</c:v>
                </c:pt>
                <c:pt idx="5">
                  <c:v>14.6</c:v>
                </c:pt>
                <c:pt idx="6">
                  <c:v>8.5</c:v>
                </c:pt>
              </c:numCache>
            </c:numRef>
          </c:val>
          <c:extLst xmlns:c16r2="http://schemas.microsoft.com/office/drawing/2015/06/chart">
            <c:ext xmlns:c16="http://schemas.microsoft.com/office/drawing/2014/chart" uri="{C3380CC4-5D6E-409C-BE32-E72D297353CC}">
              <c16:uniqueId val="{0000000E-2F15-497B-947E-6AA449E743BF}"/>
            </c:ext>
          </c:extLst>
        </c:ser>
        <c:ser>
          <c:idx val="2"/>
          <c:order val="2"/>
          <c:tx>
            <c:strRef>
              <c:f>'с-х'!$B$15</c:f>
              <c:strCache>
                <c:ptCount val="1"/>
                <c:pt idx="0">
                  <c:v>Урожайность посевных площадей под овощи, ц/га</c:v>
                </c:pt>
              </c:strCache>
            </c:strRef>
          </c:tx>
          <c:dLbls>
            <c:dLbl>
              <c:idx val="5"/>
              <c:layout>
                <c:manualLayout>
                  <c:x val="-3.4100596760443312E-3"/>
                  <c:y val="-2.21606648199445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F15-497B-947E-6AA449E743BF}"/>
                </c:ext>
              </c:extLst>
            </c:dLbl>
            <c:dLbl>
              <c:idx val="6"/>
              <c:layout>
                <c:manualLayout>
                  <c:x val="-1.3425431795450326E-7"/>
                  <c:y val="3.07692183447534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2F15-497B-947E-6AA449E743B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'с-х'!$C$12:$I$12</c:f>
              <c:strCache>
                <c:ptCount val="7"/>
                <c:pt idx="0">
                  <c:v>01.01.2011 г.</c:v>
                </c:pt>
                <c:pt idx="1">
                  <c:v>01.01.2012 г.</c:v>
                </c:pt>
                <c:pt idx="2">
                  <c:v>01.01.2013 г.</c:v>
                </c:pt>
                <c:pt idx="3">
                  <c:v>01.01.2014 г.</c:v>
                </c:pt>
                <c:pt idx="4">
                  <c:v>01.01.2015 г.</c:v>
                </c:pt>
                <c:pt idx="5">
                  <c:v>01.01.2016 г.</c:v>
                </c:pt>
                <c:pt idx="6">
                  <c:v>01.01.2017 г.</c:v>
                </c:pt>
              </c:strCache>
            </c:strRef>
          </c:cat>
          <c:val>
            <c:numRef>
              <c:f>'с-х'!$C$15:$I$15</c:f>
              <c:numCache>
                <c:formatCode>0.0</c:formatCode>
                <c:ptCount val="7"/>
                <c:pt idx="0">
                  <c:v>150.19999999999999</c:v>
                </c:pt>
                <c:pt idx="1">
                  <c:v>124</c:v>
                </c:pt>
                <c:pt idx="2">
                  <c:v>43</c:v>
                </c:pt>
                <c:pt idx="3">
                  <c:v>125.6</c:v>
                </c:pt>
                <c:pt idx="4">
                  <c:v>139</c:v>
                </c:pt>
                <c:pt idx="5">
                  <c:v>138.5</c:v>
                </c:pt>
                <c:pt idx="6">
                  <c:v>84</c:v>
                </c:pt>
              </c:numCache>
            </c:numRef>
          </c:val>
          <c:extLst xmlns:c16r2="http://schemas.microsoft.com/office/drawing/2015/06/chart">
            <c:ext xmlns:c16="http://schemas.microsoft.com/office/drawing/2014/chart" uri="{C3380CC4-5D6E-409C-BE32-E72D297353CC}">
              <c16:uniqueId val="{00000011-2F15-497B-947E-6AA449E743BF}"/>
            </c:ext>
          </c:extLst>
        </c:ser>
        <c:marker val="1"/>
        <c:axId val="74508160"/>
        <c:axId val="74509696"/>
      </c:lineChart>
      <c:catAx>
        <c:axId val="74508160"/>
        <c:scaling>
          <c:orientation val="minMax"/>
        </c:scaling>
        <c:axPos val="b"/>
        <c:numFmt formatCode="General" sourceLinked="1"/>
        <c:tickLblPos val="nextTo"/>
        <c:txPr>
          <a:bodyPr/>
          <a:lstStyle/>
          <a:p>
            <a:pPr>
              <a:defRPr baseline="0">
                <a:latin typeface="Times New Roman" pitchFamily="18" charset="0"/>
              </a:defRPr>
            </a:pPr>
            <a:endParaRPr lang="ru-RU"/>
          </a:p>
        </c:txPr>
        <c:crossAx val="74509696"/>
        <c:crosses val="autoZero"/>
        <c:auto val="1"/>
        <c:lblAlgn val="ctr"/>
        <c:lblOffset val="100"/>
      </c:catAx>
      <c:valAx>
        <c:axId val="74509696"/>
        <c:scaling>
          <c:orientation val="minMax"/>
        </c:scaling>
        <c:axPos val="l"/>
        <c:majorGridlines/>
        <c:numFmt formatCode="0.0" sourceLinked="1"/>
        <c:tickLblPos val="nextTo"/>
        <c:crossAx val="74508160"/>
        <c:crosses val="autoZero"/>
        <c:crossBetween val="between"/>
      </c:valAx>
    </c:plotArea>
    <c:legend>
      <c:legendPos val="b"/>
    </c:legend>
    <c:plotVisOnly val="1"/>
    <c:dispBlanksAs val="gap"/>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'с-х'!$B$37</c:f>
              <c:strCache>
                <c:ptCount val="1"/>
                <c:pt idx="0">
                  <c:v>Производство скота и птицы на убой (в живом весе) в хозяйствах всех категорий, тн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'с-х'!$C$37:$I$37</c:f>
              <c:numCache>
                <c:formatCode>General</c:formatCode>
                <c:ptCount val="7"/>
                <c:pt idx="0">
                  <c:v>1757</c:v>
                </c:pt>
                <c:pt idx="1">
                  <c:v>1677</c:v>
                </c:pt>
                <c:pt idx="2">
                  <c:v>1580</c:v>
                </c:pt>
                <c:pt idx="3">
                  <c:v>1617</c:v>
                </c:pt>
                <c:pt idx="4">
                  <c:v>1821</c:v>
                </c:pt>
                <c:pt idx="5">
                  <c:v>1591</c:v>
                </c:pt>
                <c:pt idx="6">
                  <c:v>1480</c:v>
                </c:pt>
              </c:numCache>
            </c:numRef>
          </c:val>
          <c:extLst xmlns:c16r2="http://schemas.microsoft.com/office/drawing/2015/06/chart">
            <c:ext xmlns:c16="http://schemas.microsoft.com/office/drawing/2014/chart" uri="{C3380CC4-5D6E-409C-BE32-E72D297353CC}">
              <c16:uniqueId val="{00000000-BBA5-4E03-A036-3342474DB2C1}"/>
            </c:ext>
          </c:extLst>
        </c:ser>
        <c:ser>
          <c:idx val="1"/>
          <c:order val="1"/>
          <c:tx>
            <c:strRef>
              <c:f>'с-х'!$B$38</c:f>
              <c:strCache>
                <c:ptCount val="1"/>
                <c:pt idx="0">
                  <c:v>Производство молока в хозяйствах всех категорий,  тн</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'с-х'!$C$38:$I$38</c:f>
              <c:numCache>
                <c:formatCode>General</c:formatCode>
                <c:ptCount val="7"/>
                <c:pt idx="0">
                  <c:v>6125</c:v>
                </c:pt>
                <c:pt idx="1">
                  <c:v>5583</c:v>
                </c:pt>
                <c:pt idx="2">
                  <c:v>5058</c:v>
                </c:pt>
                <c:pt idx="3">
                  <c:v>5169</c:v>
                </c:pt>
                <c:pt idx="4">
                  <c:v>4489</c:v>
                </c:pt>
                <c:pt idx="5">
                  <c:v>4755</c:v>
                </c:pt>
                <c:pt idx="6">
                  <c:v>4764</c:v>
                </c:pt>
              </c:numCache>
            </c:numRef>
          </c:val>
          <c:extLst xmlns:c16r2="http://schemas.microsoft.com/office/drawing/2015/06/chart">
            <c:ext xmlns:c16="http://schemas.microsoft.com/office/drawing/2014/chart" uri="{C3380CC4-5D6E-409C-BE32-E72D297353CC}">
              <c16:uniqueId val="{00000001-BBA5-4E03-A036-3342474DB2C1}"/>
            </c:ext>
          </c:extLst>
        </c:ser>
        <c:ser>
          <c:idx val="2"/>
          <c:order val="2"/>
          <c:tx>
            <c:strRef>
              <c:f>'с-х'!$B$39</c:f>
              <c:strCache>
                <c:ptCount val="1"/>
                <c:pt idx="0">
                  <c:v>Производство яиц в хозяйствах всех категорий, тыс. шт.</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'с-х'!$C$39:$I$39</c:f>
              <c:numCache>
                <c:formatCode>General</c:formatCode>
                <c:ptCount val="7"/>
                <c:pt idx="0">
                  <c:v>743</c:v>
                </c:pt>
                <c:pt idx="1">
                  <c:v>791</c:v>
                </c:pt>
                <c:pt idx="2">
                  <c:v>758</c:v>
                </c:pt>
                <c:pt idx="3">
                  <c:v>719</c:v>
                </c:pt>
                <c:pt idx="4">
                  <c:v>1627</c:v>
                </c:pt>
                <c:pt idx="5">
                  <c:v>2251</c:v>
                </c:pt>
                <c:pt idx="6">
                  <c:v>2348</c:v>
                </c:pt>
              </c:numCache>
            </c:numRef>
          </c:val>
          <c:extLst xmlns:c16r2="http://schemas.microsoft.com/office/drawing/2015/06/chart">
            <c:ext xmlns:c16="http://schemas.microsoft.com/office/drawing/2014/chart" uri="{C3380CC4-5D6E-409C-BE32-E72D297353CC}">
              <c16:uniqueId val="{00000002-BBA5-4E03-A036-3342474DB2C1}"/>
            </c:ext>
          </c:extLst>
        </c:ser>
        <c:ser>
          <c:idx val="3"/>
          <c:order val="3"/>
          <c:tx>
            <c:strRef>
              <c:f>'с-х'!$B$40</c:f>
              <c:strCache>
                <c:ptCount val="1"/>
                <c:pt idx="0">
                  <c:v>Поголовье КРС в  хозяйствах всех категорий, голов</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'с-х'!$C$40:$I$40</c:f>
              <c:numCache>
                <c:formatCode>General</c:formatCode>
                <c:ptCount val="7"/>
                <c:pt idx="0">
                  <c:v>6229</c:v>
                </c:pt>
                <c:pt idx="1">
                  <c:v>6085</c:v>
                </c:pt>
                <c:pt idx="2">
                  <c:v>6361</c:v>
                </c:pt>
                <c:pt idx="3">
                  <c:v>6121</c:v>
                </c:pt>
                <c:pt idx="4">
                  <c:v>6173</c:v>
                </c:pt>
                <c:pt idx="5">
                  <c:v>6468</c:v>
                </c:pt>
                <c:pt idx="6">
                  <c:v>6483</c:v>
                </c:pt>
              </c:numCache>
            </c:numRef>
          </c:val>
          <c:extLst xmlns:c16r2="http://schemas.microsoft.com/office/drawing/2015/06/chart">
            <c:ext xmlns:c16="http://schemas.microsoft.com/office/drawing/2014/chart" uri="{C3380CC4-5D6E-409C-BE32-E72D297353CC}">
              <c16:uniqueId val="{00000003-BBA5-4E03-A036-3342474DB2C1}"/>
            </c:ext>
          </c:extLst>
        </c:ser>
        <c:ser>
          <c:idx val="4"/>
          <c:order val="4"/>
          <c:tx>
            <c:strRef>
              <c:f>'с-х'!$B$44</c:f>
              <c:strCache>
                <c:ptCount val="1"/>
                <c:pt idx="0">
                  <c:v>Надои молока от одной коровы в с/х предприятиях, кг</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'с-х'!$C$36:$I$36</c:f>
              <c:strCache>
                <c:ptCount val="7"/>
                <c:pt idx="0">
                  <c:v>01.01.2011 г.</c:v>
                </c:pt>
                <c:pt idx="1">
                  <c:v>01.01.2012 г.</c:v>
                </c:pt>
                <c:pt idx="2">
                  <c:v>01.01.2013 г.</c:v>
                </c:pt>
                <c:pt idx="3">
                  <c:v>01.01.2014 г.</c:v>
                </c:pt>
                <c:pt idx="4">
                  <c:v>01.01.2015 г.</c:v>
                </c:pt>
                <c:pt idx="5">
                  <c:v>01.01.2016 г.</c:v>
                </c:pt>
                <c:pt idx="6">
                  <c:v>01.01.2017 г.</c:v>
                </c:pt>
              </c:strCache>
            </c:strRef>
          </c:cat>
          <c:val>
            <c:numRef>
              <c:f>'с-х'!$C$44:$I$44</c:f>
              <c:numCache>
                <c:formatCode>General</c:formatCode>
                <c:ptCount val="7"/>
                <c:pt idx="0">
                  <c:v>3718</c:v>
                </c:pt>
                <c:pt idx="1">
                  <c:v>3824</c:v>
                </c:pt>
                <c:pt idx="2">
                  <c:v>3648</c:v>
                </c:pt>
                <c:pt idx="3">
                  <c:v>4211</c:v>
                </c:pt>
                <c:pt idx="4">
                  <c:v>3653</c:v>
                </c:pt>
                <c:pt idx="5">
                  <c:v>3131</c:v>
                </c:pt>
                <c:pt idx="6">
                  <c:v>3210</c:v>
                </c:pt>
              </c:numCache>
            </c:numRef>
          </c:val>
          <c:extLst xmlns:c16r2="http://schemas.microsoft.com/office/drawing/2015/06/chart">
            <c:ext xmlns:c16="http://schemas.microsoft.com/office/drawing/2014/chart" uri="{C3380CC4-5D6E-409C-BE32-E72D297353CC}">
              <c16:uniqueId val="{00000004-BBA5-4E03-A036-3342474DB2C1}"/>
            </c:ext>
          </c:extLst>
        </c:ser>
        <c:axId val="96725632"/>
        <c:axId val="177082752"/>
      </c:barChart>
      <c:catAx>
        <c:axId val="96725632"/>
        <c:scaling>
          <c:orientation val="minMax"/>
        </c:scaling>
        <c:axPos val="b"/>
        <c:numFmt formatCode="General" sourceLinked="0"/>
        <c:tickLblPos val="nextTo"/>
        <c:crossAx val="177082752"/>
        <c:crosses val="autoZero"/>
        <c:auto val="1"/>
        <c:lblAlgn val="ctr"/>
        <c:lblOffset val="100"/>
      </c:catAx>
      <c:valAx>
        <c:axId val="177082752"/>
        <c:scaling>
          <c:orientation val="minMax"/>
        </c:scaling>
        <c:axPos val="l"/>
        <c:majorGridlines/>
        <c:numFmt formatCode="General" sourceLinked="1"/>
        <c:tickLblPos val="nextTo"/>
        <c:crossAx val="96725632"/>
        <c:crosses val="autoZero"/>
        <c:crossBetween val="between"/>
      </c:valAx>
    </c:plotArea>
    <c:legend>
      <c:legendPos val="b"/>
    </c:legend>
    <c:plotVisOnly val="1"/>
    <c:dispBlanksAs val="gap"/>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Труд!$A$3</c:f>
              <c:strCache>
                <c:ptCount val="1"/>
                <c:pt idx="0">
                  <c:v>Среднесписочная численность работников организаций  в среднегодовом исчислении,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Труд!$B$3:$H$3</c:f>
              <c:numCache>
                <c:formatCode>General</c:formatCode>
                <c:ptCount val="7"/>
                <c:pt idx="0">
                  <c:v>4271</c:v>
                </c:pt>
                <c:pt idx="1">
                  <c:v>4028</c:v>
                </c:pt>
                <c:pt idx="2">
                  <c:v>3874</c:v>
                </c:pt>
                <c:pt idx="3">
                  <c:v>3767</c:v>
                </c:pt>
                <c:pt idx="4">
                  <c:v>3546</c:v>
                </c:pt>
                <c:pt idx="5">
                  <c:v>3338</c:v>
                </c:pt>
                <c:pt idx="6">
                  <c:v>3167</c:v>
                </c:pt>
              </c:numCache>
            </c:numRef>
          </c:val>
          <c:extLst xmlns:c16r2="http://schemas.microsoft.com/office/drawing/2015/06/chart">
            <c:ext xmlns:c16="http://schemas.microsoft.com/office/drawing/2014/chart" uri="{C3380CC4-5D6E-409C-BE32-E72D297353CC}">
              <c16:uniqueId val="{00000000-E59D-440F-AA0B-2DC6A4135994}"/>
            </c:ext>
          </c:extLst>
        </c:ser>
        <c:ser>
          <c:idx val="1"/>
          <c:order val="1"/>
          <c:tx>
            <c:strRef>
              <c:f>Труд!$A$5</c:f>
              <c:strCache>
                <c:ptCount val="1"/>
                <c:pt idx="0">
                  <c:v>Численность безработных зарегистрированных в государственных службах занятости,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Труд!$B$5:$H$5</c:f>
              <c:numCache>
                <c:formatCode>General</c:formatCode>
                <c:ptCount val="7"/>
                <c:pt idx="0">
                  <c:v>5054</c:v>
                </c:pt>
                <c:pt idx="1">
                  <c:v>1650</c:v>
                </c:pt>
                <c:pt idx="2">
                  <c:v>1250</c:v>
                </c:pt>
                <c:pt idx="3">
                  <c:v>1080</c:v>
                </c:pt>
                <c:pt idx="4">
                  <c:v>1105</c:v>
                </c:pt>
                <c:pt idx="5">
                  <c:v>1185</c:v>
                </c:pt>
                <c:pt idx="6">
                  <c:v>984</c:v>
                </c:pt>
              </c:numCache>
            </c:numRef>
          </c:val>
          <c:extLst xmlns:c16r2="http://schemas.microsoft.com/office/drawing/2015/06/chart">
            <c:ext xmlns:c16="http://schemas.microsoft.com/office/drawing/2014/chart" uri="{C3380CC4-5D6E-409C-BE32-E72D297353CC}">
              <c16:uniqueId val="{00000001-E59D-440F-AA0B-2DC6A4135994}"/>
            </c:ext>
          </c:extLst>
        </c:ser>
        <c:shape val="box"/>
        <c:axId val="177117824"/>
        <c:axId val="177136000"/>
        <c:axId val="0"/>
      </c:bar3DChart>
      <c:catAx>
        <c:axId val="177117824"/>
        <c:scaling>
          <c:orientation val="minMax"/>
        </c:scaling>
        <c:axPos val="b"/>
        <c:numFmt formatCode="General" sourceLinked="0"/>
        <c:tickLblPos val="nextTo"/>
        <c:txPr>
          <a:bodyPr/>
          <a:lstStyle/>
          <a:p>
            <a:pPr>
              <a:defRPr sz="800"/>
            </a:pPr>
            <a:endParaRPr lang="ru-RU"/>
          </a:p>
        </c:txPr>
        <c:crossAx val="177136000"/>
        <c:crosses val="autoZero"/>
        <c:auto val="1"/>
        <c:lblAlgn val="ctr"/>
        <c:lblOffset val="100"/>
      </c:catAx>
      <c:valAx>
        <c:axId val="177136000"/>
        <c:scaling>
          <c:orientation val="minMax"/>
        </c:scaling>
        <c:axPos val="l"/>
        <c:majorGridlines/>
        <c:numFmt formatCode="General" sourceLinked="1"/>
        <c:tickLblPos val="nextTo"/>
        <c:crossAx val="177117824"/>
        <c:crosses val="autoZero"/>
        <c:crossBetween val="between"/>
      </c:valAx>
    </c:plotArea>
    <c:legend>
      <c:legendPos val="b"/>
      <c:layout>
        <c:manualLayout>
          <c:xMode val="edge"/>
          <c:yMode val="edge"/>
          <c:x val="1.1605828907371565E-2"/>
          <c:y val="0.8422859336751638"/>
          <c:w val="0.96319424238138396"/>
          <c:h val="0.13196091333793691"/>
        </c:manualLayout>
      </c:layout>
      <c:txPr>
        <a:bodyPr/>
        <a:lstStyle/>
        <a:p>
          <a:pPr>
            <a:defRPr sz="950" baseline="0">
              <a:latin typeface="Times New Roman" pitchFamily="18" charset="0"/>
            </a:defRPr>
          </a:pPr>
          <a:endParaRPr lang="ru-RU"/>
        </a:p>
      </c:txPr>
    </c:legend>
    <c:plotVisOnly val="1"/>
    <c:dispBlanksAs val="gap"/>
  </c:chart>
  <c:spPr>
    <a:ln>
      <a:noFill/>
    </a:ln>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Труд!$A$6</c:f>
              <c:strCache>
                <c:ptCount val="1"/>
                <c:pt idx="0">
                  <c:v>Уровень зарегистрированной  безработицы, %</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Труд!$B$6:$H$6</c:f>
              <c:numCache>
                <c:formatCode>0.0%</c:formatCode>
                <c:ptCount val="7"/>
                <c:pt idx="0">
                  <c:v>4.7000000000000014E-2</c:v>
                </c:pt>
                <c:pt idx="1">
                  <c:v>4.3000000000000003E-2</c:v>
                </c:pt>
                <c:pt idx="2">
                  <c:v>5.9000000000000434E-2</c:v>
                </c:pt>
                <c:pt idx="3">
                  <c:v>3.3000000000000002E-2</c:v>
                </c:pt>
                <c:pt idx="4">
                  <c:v>4.3000000000000003E-2</c:v>
                </c:pt>
                <c:pt idx="5">
                  <c:v>3.7999999999999999E-2</c:v>
                </c:pt>
                <c:pt idx="6">
                  <c:v>3.4000000000000002E-2</c:v>
                </c:pt>
              </c:numCache>
            </c:numRef>
          </c:val>
          <c:extLst xmlns:c16r2="http://schemas.microsoft.com/office/drawing/2015/06/chart">
            <c:ext xmlns:c16="http://schemas.microsoft.com/office/drawing/2014/chart" uri="{C3380CC4-5D6E-409C-BE32-E72D297353CC}">
              <c16:uniqueId val="{00000000-994E-44CB-BA02-FDD6785D605F}"/>
            </c:ext>
          </c:extLst>
        </c:ser>
        <c:marker val="1"/>
        <c:axId val="177150592"/>
        <c:axId val="177160576"/>
      </c:lineChart>
      <c:catAx>
        <c:axId val="177150592"/>
        <c:scaling>
          <c:orientation val="minMax"/>
        </c:scaling>
        <c:axPos val="b"/>
        <c:numFmt formatCode="General" sourceLinked="0"/>
        <c:tickLblPos val="nextTo"/>
        <c:crossAx val="177160576"/>
        <c:crosses val="autoZero"/>
        <c:auto val="1"/>
        <c:lblAlgn val="ctr"/>
        <c:lblOffset val="100"/>
      </c:catAx>
      <c:valAx>
        <c:axId val="177160576"/>
        <c:scaling>
          <c:orientation val="minMax"/>
        </c:scaling>
        <c:axPos val="l"/>
        <c:majorGridlines/>
        <c:numFmt formatCode="0.0%" sourceLinked="1"/>
        <c:tickLblPos val="nextTo"/>
        <c:crossAx val="177150592"/>
        <c:crosses val="autoZero"/>
        <c:crossBetween val="between"/>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effectLst/>
          </c:spPr>
          <c:dLbls>
            <c:dLbl>
              <c:idx val="0"/>
              <c:layout>
                <c:manualLayout>
                  <c:x val="-6.3888888888888884E-2"/>
                  <c:y val="6.94444444444445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A30-4DBD-B5A2-E5C0643F86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демография!$F$99:$F$102</c:f>
              <c:strCache>
                <c:ptCount val="4"/>
                <c:pt idx="0">
                  <c:v>01.01.2013 г.</c:v>
                </c:pt>
                <c:pt idx="1">
                  <c:v>01.01.2014 г.</c:v>
                </c:pt>
                <c:pt idx="2">
                  <c:v>01.01.2015 г.</c:v>
                </c:pt>
                <c:pt idx="3">
                  <c:v>01.01.2016 г.</c:v>
                </c:pt>
              </c:strCache>
            </c:strRef>
          </c:cat>
          <c:val>
            <c:numRef>
              <c:f>демография!$G$99:$G$102</c:f>
              <c:numCache>
                <c:formatCode>General</c:formatCode>
                <c:ptCount val="4"/>
                <c:pt idx="0">
                  <c:v>-0.4</c:v>
                </c:pt>
                <c:pt idx="1">
                  <c:v>0.70000000000000062</c:v>
                </c:pt>
                <c:pt idx="2">
                  <c:v>-1.4</c:v>
                </c:pt>
                <c:pt idx="3">
                  <c:v>-0.9</c:v>
                </c:pt>
              </c:numCache>
            </c:numRef>
          </c:val>
          <c:extLst xmlns:c16r2="http://schemas.microsoft.com/office/drawing/2015/06/chart">
            <c:ext xmlns:c16="http://schemas.microsoft.com/office/drawing/2014/chart" uri="{C3380CC4-5D6E-409C-BE32-E72D297353CC}">
              <c16:uniqueId val="{00000001-3A30-4DBD-B5A2-E5C0643F868E}"/>
            </c:ext>
          </c:extLst>
        </c:ser>
        <c:marker val="1"/>
        <c:axId val="196077440"/>
        <c:axId val="196078976"/>
      </c:lineChart>
      <c:catAx>
        <c:axId val="1960774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96078976"/>
        <c:crosses val="autoZero"/>
        <c:auto val="1"/>
        <c:lblAlgn val="ctr"/>
        <c:lblOffset val="100"/>
      </c:catAx>
      <c:valAx>
        <c:axId val="19607897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077440"/>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Труд!$A$4</c:f>
              <c:strCache>
                <c:ptCount val="1"/>
                <c:pt idx="0">
                  <c:v>Заявленная предприятиями и организациями потребность в работниках,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Труд!$B$4:$H$4</c:f>
              <c:numCache>
                <c:formatCode>General</c:formatCode>
                <c:ptCount val="7"/>
                <c:pt idx="0">
                  <c:v>130</c:v>
                </c:pt>
                <c:pt idx="1">
                  <c:v>855</c:v>
                </c:pt>
                <c:pt idx="2">
                  <c:v>644</c:v>
                </c:pt>
                <c:pt idx="3">
                  <c:v>726</c:v>
                </c:pt>
                <c:pt idx="4">
                  <c:v>76</c:v>
                </c:pt>
                <c:pt idx="5">
                  <c:v>450</c:v>
                </c:pt>
                <c:pt idx="6">
                  <c:v>643</c:v>
                </c:pt>
              </c:numCache>
            </c:numRef>
          </c:val>
          <c:extLst xmlns:c16r2="http://schemas.microsoft.com/office/drawing/2015/06/chart">
            <c:ext xmlns:c16="http://schemas.microsoft.com/office/drawing/2014/chart" uri="{C3380CC4-5D6E-409C-BE32-E72D297353CC}">
              <c16:uniqueId val="{00000000-2945-4755-8CE7-40B464588E00}"/>
            </c:ext>
          </c:extLst>
        </c:ser>
        <c:ser>
          <c:idx val="1"/>
          <c:order val="1"/>
          <c:tx>
            <c:strRef>
              <c:f>Труд!$A$5</c:f>
              <c:strCache>
                <c:ptCount val="1"/>
                <c:pt idx="0">
                  <c:v>Численность безработных зарегистрированных в государственных службах занятости, человек</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Труд!$B$2:$H$2</c:f>
              <c:strCache>
                <c:ptCount val="7"/>
                <c:pt idx="0">
                  <c:v>01.01. 2011 г.</c:v>
                </c:pt>
                <c:pt idx="1">
                  <c:v>01.01. 2012 г.</c:v>
                </c:pt>
                <c:pt idx="2">
                  <c:v>01.01. 2013 г.</c:v>
                </c:pt>
                <c:pt idx="3">
                  <c:v>01.01. 2014 г.</c:v>
                </c:pt>
                <c:pt idx="4">
                  <c:v>01.01. 2015 г.</c:v>
                </c:pt>
                <c:pt idx="5">
                  <c:v>01.01. 2016 г.</c:v>
                </c:pt>
                <c:pt idx="6">
                  <c:v>01.01. 2017 г.</c:v>
                </c:pt>
              </c:strCache>
            </c:strRef>
          </c:cat>
          <c:val>
            <c:numRef>
              <c:f>Труд!$B$5:$H$5</c:f>
              <c:numCache>
                <c:formatCode>General</c:formatCode>
                <c:ptCount val="7"/>
                <c:pt idx="0">
                  <c:v>5054</c:v>
                </c:pt>
                <c:pt idx="1">
                  <c:v>1650</c:v>
                </c:pt>
                <c:pt idx="2">
                  <c:v>1250</c:v>
                </c:pt>
                <c:pt idx="3">
                  <c:v>1080</c:v>
                </c:pt>
                <c:pt idx="4">
                  <c:v>1105</c:v>
                </c:pt>
                <c:pt idx="5">
                  <c:v>1185</c:v>
                </c:pt>
                <c:pt idx="6">
                  <c:v>984</c:v>
                </c:pt>
              </c:numCache>
            </c:numRef>
          </c:val>
          <c:extLst xmlns:c16r2="http://schemas.microsoft.com/office/drawing/2015/06/chart">
            <c:ext xmlns:c16="http://schemas.microsoft.com/office/drawing/2014/chart" uri="{C3380CC4-5D6E-409C-BE32-E72D297353CC}">
              <c16:uniqueId val="{00000001-2945-4755-8CE7-40B464588E00}"/>
            </c:ext>
          </c:extLst>
        </c:ser>
        <c:marker val="1"/>
        <c:axId val="177182592"/>
        <c:axId val="177184128"/>
      </c:lineChart>
      <c:catAx>
        <c:axId val="177182592"/>
        <c:scaling>
          <c:orientation val="minMax"/>
        </c:scaling>
        <c:axPos val="b"/>
        <c:numFmt formatCode="General" sourceLinked="0"/>
        <c:tickLblPos val="nextTo"/>
        <c:crossAx val="177184128"/>
        <c:crosses val="autoZero"/>
        <c:auto val="1"/>
        <c:lblAlgn val="ctr"/>
        <c:lblOffset val="100"/>
      </c:catAx>
      <c:valAx>
        <c:axId val="177184128"/>
        <c:scaling>
          <c:orientation val="minMax"/>
        </c:scaling>
        <c:axPos val="l"/>
        <c:majorGridlines/>
        <c:numFmt formatCode="General" sourceLinked="1"/>
        <c:tickLblPos val="nextTo"/>
        <c:crossAx val="177182592"/>
        <c:crosses val="autoZero"/>
        <c:crossBetween val="between"/>
      </c:valAx>
    </c:plotArea>
    <c:legend>
      <c:legendPos val="b"/>
      <c:layout>
        <c:manualLayout>
          <c:xMode val="edge"/>
          <c:yMode val="edge"/>
          <c:x val="2.0116012863641869E-2"/>
          <c:y val="0.80558219048951596"/>
          <c:w val="0.95011891328020404"/>
          <c:h val="0.17067229412529294"/>
        </c:manualLayout>
      </c:layout>
      <c:txPr>
        <a:bodyPr/>
        <a:lstStyle/>
        <a:p>
          <a:pPr>
            <a:defRPr sz="900" baseline="0"/>
          </a:pPr>
          <a:endParaRPr lang="ru-RU"/>
        </a:p>
      </c:txPr>
    </c:legend>
    <c:plotVisOnly val="1"/>
    <c:dispBlanksAs val="gap"/>
  </c:chart>
  <c:spPr>
    <a:ln>
      <a:noFill/>
    </a:ln>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зп!$A$15:$A$22</c:f>
              <c:strCache>
                <c:ptCount val="8"/>
                <c:pt idx="0">
                  <c:v>Добывающие организации</c:v>
                </c:pt>
                <c:pt idx="1">
                  <c:v>Обрабатывающие организации</c:v>
                </c:pt>
                <c:pt idx="2">
                  <c:v>Организации производства и распределения электричества, газа, воды</c:v>
                </c:pt>
                <c:pt idx="3">
                  <c:v>Организации здравоохранения</c:v>
                </c:pt>
                <c:pt idx="4">
                  <c:v>Организации бюджетной сферы</c:v>
                </c:pt>
                <c:pt idx="5">
                  <c:v>Организации образования</c:v>
                </c:pt>
                <c:pt idx="6">
                  <c:v>Организации прочих отраслей</c:v>
                </c:pt>
                <c:pt idx="7">
                  <c:v>Сельскохозяйственные организации</c:v>
                </c:pt>
              </c:strCache>
            </c:strRef>
          </c:cat>
          <c:val>
            <c:numRef>
              <c:f>зп!$H$15:$H$22</c:f>
              <c:numCache>
                <c:formatCode>0.0</c:formatCode>
                <c:ptCount val="8"/>
                <c:pt idx="0">
                  <c:v>192.01762156726602</c:v>
                </c:pt>
                <c:pt idx="1">
                  <c:v>124.21568862179872</c:v>
                </c:pt>
                <c:pt idx="2">
                  <c:v>111.3989513252089</c:v>
                </c:pt>
                <c:pt idx="3">
                  <c:v>85.569548527146608</c:v>
                </c:pt>
                <c:pt idx="4">
                  <c:v>82.27627872084021</c:v>
                </c:pt>
                <c:pt idx="5">
                  <c:v>78.982609875419982</c:v>
                </c:pt>
                <c:pt idx="6">
                  <c:v>59.928093151690724</c:v>
                </c:pt>
                <c:pt idx="7">
                  <c:v>48.882291442206544</c:v>
                </c:pt>
              </c:numCache>
            </c:numRef>
          </c:val>
          <c:extLst xmlns:c16r2="http://schemas.microsoft.com/office/drawing/2015/06/chart">
            <c:ext xmlns:c16="http://schemas.microsoft.com/office/drawing/2014/chart" uri="{C3380CC4-5D6E-409C-BE32-E72D297353CC}">
              <c16:uniqueId val="{00000000-E1EC-451A-8462-165A62E35C5E}"/>
            </c:ext>
          </c:extLst>
        </c:ser>
        <c:axId val="74279936"/>
        <c:axId val="74281728"/>
      </c:barChart>
      <c:catAx>
        <c:axId val="74279936"/>
        <c:scaling>
          <c:orientation val="minMax"/>
        </c:scaling>
        <c:axPos val="b"/>
        <c:numFmt formatCode="General" sourceLinked="0"/>
        <c:tickLblPos val="nextTo"/>
        <c:crossAx val="74281728"/>
        <c:crossesAt val="100"/>
        <c:auto val="1"/>
        <c:lblAlgn val="ctr"/>
        <c:lblOffset val="100"/>
      </c:catAx>
      <c:valAx>
        <c:axId val="74281728"/>
        <c:scaling>
          <c:orientation val="minMax"/>
        </c:scaling>
        <c:axPos val="l"/>
        <c:majorGridlines>
          <c:spPr>
            <a:ln>
              <a:gradFill>
                <a:gsLst>
                  <a:gs pos="0">
                    <a:sysClr val="window" lastClr="FFFFFF">
                      <a:alpha val="0"/>
                    </a:sysClr>
                  </a:gs>
                  <a:gs pos="50000">
                    <a:srgbClr val="4F81BD">
                      <a:tint val="44500"/>
                      <a:satMod val="160000"/>
                    </a:srgbClr>
                  </a:gs>
                  <a:gs pos="100000">
                    <a:srgbClr val="4F81BD">
                      <a:tint val="23500"/>
                      <a:satMod val="160000"/>
                    </a:srgbClr>
                  </a:gs>
                </a:gsLst>
                <a:lin ang="5400000" scaled="0"/>
              </a:gradFill>
            </a:ln>
          </c:spPr>
        </c:majorGridlines>
        <c:numFmt formatCode="0.0" sourceLinked="1"/>
        <c:tickLblPos val="nextTo"/>
        <c:crossAx val="74279936"/>
        <c:crosses val="autoZero"/>
        <c:crossBetween val="between"/>
      </c:valAx>
    </c:plotArea>
    <c:plotVisOnly val="1"/>
    <c:dispBlanksAs val="gap"/>
  </c:chart>
  <c:spPr>
    <a:ln>
      <a:noFill/>
    </a:ln>
  </c:spPr>
  <c:txPr>
    <a:bodyPr/>
    <a:lstStyle/>
    <a:p>
      <a:pPr>
        <a:defRPr baseline="0">
          <a:latin typeface="Times New Roman" pitchFamily="18" charset="0"/>
        </a:defRPr>
      </a:pPr>
      <a:endParaRPr lang="ru-RU"/>
    </a:p>
  </c:tx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Лист1!$A$2</c:f>
              <c:strCache>
                <c:ptCount val="1"/>
                <c:pt idx="0">
                  <c:v>Налоговые доходы</c:v>
                </c:pt>
              </c:strCache>
            </c:strRef>
          </c:tx>
          <c:spPr>
            <a:solidFill>
              <a:schemeClr val="accent1"/>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Лист1!$B$9:$G$9</c:f>
              <c:numCache>
                <c:formatCode>0%</c:formatCode>
                <c:ptCount val="6"/>
                <c:pt idx="0">
                  <c:v>0.14283777322648095</c:v>
                </c:pt>
                <c:pt idx="1">
                  <c:v>9.4498041188023768E-2</c:v>
                </c:pt>
                <c:pt idx="2">
                  <c:v>0.12975999603210281</c:v>
                </c:pt>
                <c:pt idx="3">
                  <c:v>0.1382728442311692</c:v>
                </c:pt>
                <c:pt idx="4">
                  <c:v>0.15581027433625941</c:v>
                </c:pt>
                <c:pt idx="5">
                  <c:v>0.16943079989533052</c:v>
                </c:pt>
              </c:numCache>
            </c:numRef>
          </c:val>
          <c:extLst xmlns:c16r2="http://schemas.microsoft.com/office/drawing/2015/06/chart">
            <c:ext xmlns:c16="http://schemas.microsoft.com/office/drawing/2014/chart" uri="{C3380CC4-5D6E-409C-BE32-E72D297353CC}">
              <c16:uniqueId val="{00000000-D95F-4A1C-B416-483BF5AE11A1}"/>
            </c:ext>
          </c:extLst>
        </c:ser>
        <c:ser>
          <c:idx val="1"/>
          <c:order val="1"/>
          <c:tx>
            <c:strRef>
              <c:f>Лист1!$A$3</c:f>
              <c:strCache>
                <c:ptCount val="1"/>
                <c:pt idx="0">
                  <c:v>Неналоговые доходы</c:v>
                </c:pt>
              </c:strCache>
            </c:strRef>
          </c:tx>
          <c:spPr>
            <a:solidFill>
              <a:schemeClr val="accent2"/>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Лист1!$B$10:$G$10</c:f>
              <c:numCache>
                <c:formatCode>0%</c:formatCode>
                <c:ptCount val="6"/>
                <c:pt idx="0">
                  <c:v>4.7845230534285792E-2</c:v>
                </c:pt>
                <c:pt idx="1">
                  <c:v>4.0358329327981973E-2</c:v>
                </c:pt>
                <c:pt idx="2">
                  <c:v>4.5760224617577824E-2</c:v>
                </c:pt>
                <c:pt idx="3">
                  <c:v>7.8916265115010514E-2</c:v>
                </c:pt>
                <c:pt idx="4">
                  <c:v>6.2998428745071514E-2</c:v>
                </c:pt>
                <c:pt idx="5">
                  <c:v>7.0158947967291302E-2</c:v>
                </c:pt>
              </c:numCache>
            </c:numRef>
          </c:val>
          <c:extLst xmlns:c16r2="http://schemas.microsoft.com/office/drawing/2015/06/chart">
            <c:ext xmlns:c16="http://schemas.microsoft.com/office/drawing/2014/chart" uri="{C3380CC4-5D6E-409C-BE32-E72D297353CC}">
              <c16:uniqueId val="{00000001-D95F-4A1C-B416-483BF5AE11A1}"/>
            </c:ext>
          </c:extLst>
        </c:ser>
        <c:ser>
          <c:idx val="2"/>
          <c:order val="2"/>
          <c:tx>
            <c:strRef>
              <c:f>Лист1!$A$4</c:f>
              <c:strCache>
                <c:ptCount val="1"/>
                <c:pt idx="0">
                  <c:v>Межбюджетные трансферты</c:v>
                </c:pt>
              </c:strCache>
            </c:strRef>
          </c:tx>
          <c:spPr>
            <a:solidFill>
              <a:schemeClr val="accent3"/>
            </a:solidFill>
            <a:ln>
              <a:noFill/>
            </a:ln>
            <a:effectLst/>
            <a:sp3d/>
          </c:spPr>
          <c:dLbls>
            <c:spPr>
              <a:noFill/>
              <a:ln>
                <a:solidFill>
                  <a:schemeClr val="accent1"/>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Лист1!$B$11:$G$11</c:f>
              <c:numCache>
                <c:formatCode>0%</c:formatCode>
                <c:ptCount val="6"/>
                <c:pt idx="0">
                  <c:v>0.78191692059572826</c:v>
                </c:pt>
                <c:pt idx="1">
                  <c:v>0.8411193275024339</c:v>
                </c:pt>
                <c:pt idx="2">
                  <c:v>0.80218406953311461</c:v>
                </c:pt>
                <c:pt idx="3">
                  <c:v>0.77352860222661013</c:v>
                </c:pt>
                <c:pt idx="4">
                  <c:v>0.77720790963802444</c:v>
                </c:pt>
                <c:pt idx="5">
                  <c:v>0.72994989018543965</c:v>
                </c:pt>
              </c:numCache>
            </c:numRef>
          </c:val>
          <c:extLst xmlns:c16r2="http://schemas.microsoft.com/office/drawing/2015/06/chart">
            <c:ext xmlns:c16="http://schemas.microsoft.com/office/drawing/2014/chart" uri="{C3380CC4-5D6E-409C-BE32-E72D297353CC}">
              <c16:uniqueId val="{00000002-D95F-4A1C-B416-483BF5AE11A1}"/>
            </c:ext>
          </c:extLst>
        </c:ser>
        <c:ser>
          <c:idx val="3"/>
          <c:order val="3"/>
          <c:tx>
            <c:strRef>
              <c:f>Лист1!$A$5</c:f>
              <c:strCache>
                <c:ptCount val="1"/>
                <c:pt idx="0">
                  <c:v>Прочие безвозмездные поступления</c:v>
                </c:pt>
              </c:strCache>
            </c:strRef>
          </c:tx>
          <c:spPr>
            <a:solidFill>
              <a:schemeClr val="accent4"/>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Лист1!$B$12:$G$12</c:f>
              <c:numCache>
                <c:formatCode>0%</c:formatCode>
                <c:ptCount val="6"/>
                <c:pt idx="0">
                  <c:v>2.7400075643505419E-2</c:v>
                </c:pt>
                <c:pt idx="1">
                  <c:v>2.4024301981561632E-2</c:v>
                </c:pt>
                <c:pt idx="2">
                  <c:v>2.2295709817207212E-2</c:v>
                </c:pt>
                <c:pt idx="3">
                  <c:v>9.2822884272169247E-3</c:v>
                </c:pt>
                <c:pt idx="4">
                  <c:v>3.9833872806510099E-3</c:v>
                </c:pt>
                <c:pt idx="5">
                  <c:v>3.0460361951952383E-2</c:v>
                </c:pt>
              </c:numCache>
            </c:numRef>
          </c:val>
          <c:extLst xmlns:c16r2="http://schemas.microsoft.com/office/drawing/2015/06/chart">
            <c:ext xmlns:c16="http://schemas.microsoft.com/office/drawing/2014/chart" uri="{C3380CC4-5D6E-409C-BE32-E72D297353CC}">
              <c16:uniqueId val="{00000003-D95F-4A1C-B416-483BF5AE11A1}"/>
            </c:ext>
          </c:extLst>
        </c:ser>
        <c:dLbls>
          <c:showVal val="1"/>
        </c:dLbls>
        <c:gapWidth val="79"/>
        <c:shape val="box"/>
        <c:axId val="177234304"/>
        <c:axId val="177235840"/>
        <c:axId val="0"/>
      </c:bar3DChart>
      <c:catAx>
        <c:axId val="177234304"/>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77235840"/>
        <c:crosses val="autoZero"/>
        <c:auto val="1"/>
        <c:lblAlgn val="ctr"/>
        <c:lblOffset val="100"/>
      </c:catAx>
      <c:valAx>
        <c:axId val="177235840"/>
        <c:scaling>
          <c:orientation val="minMax"/>
        </c:scaling>
        <c:delete val="1"/>
        <c:axPos val="l"/>
        <c:numFmt formatCode="0%" sourceLinked="1"/>
        <c:majorTickMark val="none"/>
        <c:tickLblPos val="none"/>
        <c:crossAx val="1772343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lt1"/>
    </a:solidFill>
    <a:ln w="9525" cap="flat" cmpd="sng" algn="ctr">
      <a:noFill/>
      <a:round/>
    </a:ln>
    <a:effectLst/>
  </c:spPr>
  <c:txPr>
    <a:bodyPr/>
    <a:lstStyle/>
    <a:p>
      <a:pPr>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c:f>
              <c:strCache>
                <c:ptCount val="1"/>
                <c:pt idx="0">
                  <c:v>Налоговые доходы</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Лист1!$B$2:$G$2</c:f>
              <c:numCache>
                <c:formatCode>#,##0</c:formatCode>
                <c:ptCount val="6"/>
                <c:pt idx="0">
                  <c:v>100080</c:v>
                </c:pt>
                <c:pt idx="1">
                  <c:v>84738</c:v>
                </c:pt>
                <c:pt idx="2">
                  <c:v>120345</c:v>
                </c:pt>
                <c:pt idx="3">
                  <c:v>111023</c:v>
                </c:pt>
                <c:pt idx="4">
                  <c:v>115624</c:v>
                </c:pt>
                <c:pt idx="5">
                  <c:v>130142</c:v>
                </c:pt>
              </c:numCache>
            </c:numRef>
          </c:val>
          <c:extLst xmlns:c16r2="http://schemas.microsoft.com/office/drawing/2015/06/chart">
            <c:ext xmlns:c16="http://schemas.microsoft.com/office/drawing/2014/chart" uri="{C3380CC4-5D6E-409C-BE32-E72D297353CC}">
              <c16:uniqueId val="{00000000-9042-44C5-BCD8-D138AC6B141B}"/>
            </c:ext>
          </c:extLst>
        </c:ser>
        <c:ser>
          <c:idx val="1"/>
          <c:order val="1"/>
          <c:tx>
            <c:strRef>
              <c:f>Лист1!$A$3</c:f>
              <c:strCache>
                <c:ptCount val="1"/>
                <c:pt idx="0">
                  <c:v>Неналоговые доходы</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Лист1!$B$3:$G$3</c:f>
              <c:numCache>
                <c:formatCode>#,##0</c:formatCode>
                <c:ptCount val="6"/>
                <c:pt idx="0">
                  <c:v>33523</c:v>
                </c:pt>
                <c:pt idx="1">
                  <c:v>36190</c:v>
                </c:pt>
                <c:pt idx="2">
                  <c:v>42440</c:v>
                </c:pt>
                <c:pt idx="3">
                  <c:v>63364</c:v>
                </c:pt>
                <c:pt idx="4">
                  <c:v>46750</c:v>
                </c:pt>
                <c:pt idx="5">
                  <c:v>53890</c:v>
                </c:pt>
              </c:numCache>
            </c:numRef>
          </c:val>
          <c:extLst xmlns:c16r2="http://schemas.microsoft.com/office/drawing/2015/06/chart">
            <c:ext xmlns:c16="http://schemas.microsoft.com/office/drawing/2014/chart" uri="{C3380CC4-5D6E-409C-BE32-E72D297353CC}">
              <c16:uniqueId val="{00000001-9042-44C5-BCD8-D138AC6B141B}"/>
            </c:ext>
          </c:extLst>
        </c:ser>
        <c:ser>
          <c:idx val="2"/>
          <c:order val="2"/>
          <c:tx>
            <c:strRef>
              <c:f>Лист1!$A$4</c:f>
              <c:strCache>
                <c:ptCount val="1"/>
                <c:pt idx="0">
                  <c:v>Межбюджетные трансферты</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Лист1!$B$4:$G$4</c:f>
              <c:numCache>
                <c:formatCode>#,##0</c:formatCode>
                <c:ptCount val="6"/>
                <c:pt idx="0">
                  <c:v>547854</c:v>
                </c:pt>
                <c:pt idx="1">
                  <c:v>754246</c:v>
                </c:pt>
                <c:pt idx="2">
                  <c:v>743980</c:v>
                </c:pt>
                <c:pt idx="3">
                  <c:v>621087</c:v>
                </c:pt>
                <c:pt idx="4">
                  <c:v>576752</c:v>
                </c:pt>
                <c:pt idx="5">
                  <c:v>560684</c:v>
                </c:pt>
              </c:numCache>
            </c:numRef>
          </c:val>
          <c:extLst xmlns:c16r2="http://schemas.microsoft.com/office/drawing/2015/06/chart">
            <c:ext xmlns:c16="http://schemas.microsoft.com/office/drawing/2014/chart" uri="{C3380CC4-5D6E-409C-BE32-E72D297353CC}">
              <c16:uniqueId val="{00000002-9042-44C5-BCD8-D138AC6B141B}"/>
            </c:ext>
          </c:extLst>
        </c:ser>
        <c:ser>
          <c:idx val="3"/>
          <c:order val="3"/>
          <c:tx>
            <c:strRef>
              <c:f>Лист1!$A$5</c:f>
              <c:strCache>
                <c:ptCount val="1"/>
                <c:pt idx="0">
                  <c:v>Прочие безвозмездные поступления</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Лист1!$B$1:$G$1</c:f>
              <c:strCache>
                <c:ptCount val="6"/>
                <c:pt idx="0">
                  <c:v>2011 год</c:v>
                </c:pt>
                <c:pt idx="1">
                  <c:v>2012 год</c:v>
                </c:pt>
                <c:pt idx="2">
                  <c:v>2013 год</c:v>
                </c:pt>
                <c:pt idx="3">
                  <c:v>2014 год</c:v>
                </c:pt>
                <c:pt idx="4">
                  <c:v>2015 год</c:v>
                </c:pt>
                <c:pt idx="5">
                  <c:v>2016 год</c:v>
                </c:pt>
              </c:strCache>
            </c:strRef>
          </c:cat>
          <c:val>
            <c:numRef>
              <c:f>Лист1!$B$5:$G$5</c:f>
              <c:numCache>
                <c:formatCode>#,##0</c:formatCode>
                <c:ptCount val="6"/>
                <c:pt idx="0">
                  <c:v>19198</c:v>
                </c:pt>
                <c:pt idx="1">
                  <c:v>21543</c:v>
                </c:pt>
                <c:pt idx="2" formatCode="General">
                  <c:v>20678</c:v>
                </c:pt>
                <c:pt idx="3">
                  <c:v>7453</c:v>
                </c:pt>
                <c:pt idx="4">
                  <c:v>2956</c:v>
                </c:pt>
                <c:pt idx="5">
                  <c:v>23397</c:v>
                </c:pt>
              </c:numCache>
            </c:numRef>
          </c:val>
          <c:extLst xmlns:c16r2="http://schemas.microsoft.com/office/drawing/2015/06/chart">
            <c:ext xmlns:c16="http://schemas.microsoft.com/office/drawing/2014/chart" uri="{C3380CC4-5D6E-409C-BE32-E72D297353CC}">
              <c16:uniqueId val="{00000003-9042-44C5-BCD8-D138AC6B141B}"/>
            </c:ext>
          </c:extLst>
        </c:ser>
        <c:dLbls>
          <c:showVal val="1"/>
        </c:dLbls>
        <c:marker val="1"/>
        <c:axId val="177353856"/>
        <c:axId val="177355392"/>
      </c:lineChart>
      <c:catAx>
        <c:axId val="1773538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55392"/>
        <c:crosses val="autoZero"/>
        <c:auto val="1"/>
        <c:lblAlgn val="ctr"/>
        <c:lblOffset val="100"/>
      </c:catAx>
      <c:valAx>
        <c:axId val="177355392"/>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35385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9.1342996539846968E-2"/>
          <c:y val="4.3411611671708192E-2"/>
          <c:w val="0.88663498143813102"/>
          <c:h val="0.55589104147906043"/>
        </c:manualLayout>
      </c:layout>
      <c:bar3DChart>
        <c:barDir val="col"/>
        <c:grouping val="clustered"/>
        <c:ser>
          <c:idx val="0"/>
          <c:order val="0"/>
          <c:tx>
            <c:strRef>
              <c:f>Лист5!$A$2</c:f>
              <c:strCache>
                <c:ptCount val="1"/>
                <c:pt idx="0">
                  <c:v>Акцизы</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Лист5!$B$2:$G$2</c:f>
              <c:numCache>
                <c:formatCode>General</c:formatCode>
                <c:ptCount val="6"/>
                <c:pt idx="3">
                  <c:v>12074</c:v>
                </c:pt>
                <c:pt idx="4">
                  <c:v>12049</c:v>
                </c:pt>
                <c:pt idx="5">
                  <c:v>16766</c:v>
                </c:pt>
              </c:numCache>
            </c:numRef>
          </c:val>
          <c:extLst xmlns:c16r2="http://schemas.microsoft.com/office/drawing/2015/06/chart">
            <c:ext xmlns:c16="http://schemas.microsoft.com/office/drawing/2014/chart" uri="{C3380CC4-5D6E-409C-BE32-E72D297353CC}">
              <c16:uniqueId val="{00000000-F8C3-45C5-B351-CDA149B0E618}"/>
            </c:ext>
          </c:extLst>
        </c:ser>
        <c:ser>
          <c:idx val="1"/>
          <c:order val="1"/>
          <c:tx>
            <c:strRef>
              <c:f>Лист5!$A$3</c:f>
              <c:strCache>
                <c:ptCount val="1"/>
                <c:pt idx="0">
                  <c:v>Госпошлина</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Лист5!$B$3:$G$3</c:f>
              <c:numCache>
                <c:formatCode>General</c:formatCode>
                <c:ptCount val="6"/>
                <c:pt idx="0">
                  <c:v>6161</c:v>
                </c:pt>
                <c:pt idx="1">
                  <c:v>1573</c:v>
                </c:pt>
                <c:pt idx="2">
                  <c:v>1890</c:v>
                </c:pt>
                <c:pt idx="3">
                  <c:v>2308</c:v>
                </c:pt>
                <c:pt idx="4">
                  <c:v>3282</c:v>
                </c:pt>
                <c:pt idx="5">
                  <c:v>2680</c:v>
                </c:pt>
              </c:numCache>
            </c:numRef>
          </c:val>
          <c:extLst xmlns:c16r2="http://schemas.microsoft.com/office/drawing/2015/06/chart">
            <c:ext xmlns:c16="http://schemas.microsoft.com/office/drawing/2014/chart" uri="{C3380CC4-5D6E-409C-BE32-E72D297353CC}">
              <c16:uniqueId val="{00000001-F8C3-45C5-B351-CDA149B0E618}"/>
            </c:ext>
          </c:extLst>
        </c:ser>
        <c:ser>
          <c:idx val="2"/>
          <c:order val="2"/>
          <c:tx>
            <c:strRef>
              <c:f>Лист5!$A$4</c:f>
              <c:strCache>
                <c:ptCount val="1"/>
                <c:pt idx="0">
                  <c:v>ЕНВД</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Лист5!$B$4:$G$4</c:f>
              <c:numCache>
                <c:formatCode>General</c:formatCode>
                <c:ptCount val="6"/>
                <c:pt idx="0">
                  <c:v>6387</c:v>
                </c:pt>
                <c:pt idx="1">
                  <c:v>7414</c:v>
                </c:pt>
                <c:pt idx="2">
                  <c:v>7556</c:v>
                </c:pt>
                <c:pt idx="3">
                  <c:v>7697</c:v>
                </c:pt>
                <c:pt idx="4">
                  <c:v>8500</c:v>
                </c:pt>
                <c:pt idx="5">
                  <c:v>8057</c:v>
                </c:pt>
              </c:numCache>
            </c:numRef>
          </c:val>
          <c:extLst xmlns:c16r2="http://schemas.microsoft.com/office/drawing/2015/06/chart">
            <c:ext xmlns:c16="http://schemas.microsoft.com/office/drawing/2014/chart" uri="{C3380CC4-5D6E-409C-BE32-E72D297353CC}">
              <c16:uniqueId val="{00000002-F8C3-45C5-B351-CDA149B0E618}"/>
            </c:ext>
          </c:extLst>
        </c:ser>
        <c:ser>
          <c:idx val="3"/>
          <c:order val="3"/>
          <c:tx>
            <c:strRef>
              <c:f>Лист5!$A$5</c:f>
              <c:strCache>
                <c:ptCount val="1"/>
                <c:pt idx="0">
                  <c:v>ЕСХН</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Лист5!$B$5:$G$5</c:f>
              <c:numCache>
                <c:formatCode>General</c:formatCode>
                <c:ptCount val="6"/>
                <c:pt idx="0">
                  <c:v>155</c:v>
                </c:pt>
                <c:pt idx="1">
                  <c:v>293</c:v>
                </c:pt>
                <c:pt idx="2">
                  <c:v>128</c:v>
                </c:pt>
                <c:pt idx="3">
                  <c:v>183</c:v>
                </c:pt>
                <c:pt idx="4">
                  <c:v>153</c:v>
                </c:pt>
                <c:pt idx="5">
                  <c:v>182</c:v>
                </c:pt>
              </c:numCache>
            </c:numRef>
          </c:val>
          <c:extLst xmlns:c16r2="http://schemas.microsoft.com/office/drawing/2015/06/chart">
            <c:ext xmlns:c16="http://schemas.microsoft.com/office/drawing/2014/chart" uri="{C3380CC4-5D6E-409C-BE32-E72D297353CC}">
              <c16:uniqueId val="{00000003-F8C3-45C5-B351-CDA149B0E618}"/>
            </c:ext>
          </c:extLst>
        </c:ser>
        <c:ser>
          <c:idx val="4"/>
          <c:order val="4"/>
          <c:tx>
            <c:strRef>
              <c:f>Лист5!$A$6</c:f>
              <c:strCache>
                <c:ptCount val="1"/>
                <c:pt idx="0">
                  <c:v>Земельный налог</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Лист5!$B$6:$G$6</c:f>
              <c:numCache>
                <c:formatCode>General</c:formatCode>
                <c:ptCount val="6"/>
                <c:pt idx="0">
                  <c:v>1108</c:v>
                </c:pt>
                <c:pt idx="1">
                  <c:v>2336</c:v>
                </c:pt>
                <c:pt idx="2">
                  <c:v>5971</c:v>
                </c:pt>
                <c:pt idx="3">
                  <c:v>9365</c:v>
                </c:pt>
                <c:pt idx="4">
                  <c:v>9420</c:v>
                </c:pt>
                <c:pt idx="5">
                  <c:v>10606</c:v>
                </c:pt>
              </c:numCache>
            </c:numRef>
          </c:val>
          <c:extLst xmlns:c16r2="http://schemas.microsoft.com/office/drawing/2015/06/chart">
            <c:ext xmlns:c16="http://schemas.microsoft.com/office/drawing/2014/chart" uri="{C3380CC4-5D6E-409C-BE32-E72D297353CC}">
              <c16:uniqueId val="{00000004-F8C3-45C5-B351-CDA149B0E618}"/>
            </c:ext>
          </c:extLst>
        </c:ser>
        <c:ser>
          <c:idx val="5"/>
          <c:order val="5"/>
          <c:tx>
            <c:strRef>
              <c:f>Лист5!$A$7</c:f>
              <c:strCache>
                <c:ptCount val="1"/>
                <c:pt idx="0">
                  <c:v>Налог на имущество организаций</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Лист5!$B$7:$G$7</c:f>
              <c:numCache>
                <c:formatCode>General</c:formatCode>
                <c:ptCount val="6"/>
                <c:pt idx="0">
                  <c:v>26493</c:v>
                </c:pt>
              </c:numCache>
            </c:numRef>
          </c:val>
          <c:extLst xmlns:c16r2="http://schemas.microsoft.com/office/drawing/2015/06/chart">
            <c:ext xmlns:c16="http://schemas.microsoft.com/office/drawing/2014/chart" uri="{C3380CC4-5D6E-409C-BE32-E72D297353CC}">
              <c16:uniqueId val="{00000005-F8C3-45C5-B351-CDA149B0E618}"/>
            </c:ext>
          </c:extLst>
        </c:ser>
        <c:ser>
          <c:idx val="6"/>
          <c:order val="6"/>
          <c:tx>
            <c:strRef>
              <c:f>Лист5!$A$8</c:f>
              <c:strCache>
                <c:ptCount val="1"/>
                <c:pt idx="0">
                  <c:v>Налог на имущество физических лиц</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Лист5!$B$8:$G$8</c:f>
              <c:numCache>
                <c:formatCode>General</c:formatCode>
                <c:ptCount val="6"/>
                <c:pt idx="0">
                  <c:v>515</c:v>
                </c:pt>
                <c:pt idx="1">
                  <c:v>3853</c:v>
                </c:pt>
                <c:pt idx="2">
                  <c:v>4277</c:v>
                </c:pt>
                <c:pt idx="3">
                  <c:v>4700</c:v>
                </c:pt>
                <c:pt idx="4">
                  <c:v>4721</c:v>
                </c:pt>
                <c:pt idx="5">
                  <c:v>5454</c:v>
                </c:pt>
              </c:numCache>
            </c:numRef>
          </c:val>
          <c:extLst xmlns:c16r2="http://schemas.microsoft.com/office/drawing/2015/06/chart">
            <c:ext xmlns:c16="http://schemas.microsoft.com/office/drawing/2014/chart" uri="{C3380CC4-5D6E-409C-BE32-E72D297353CC}">
              <c16:uniqueId val="{00000006-F8C3-45C5-B351-CDA149B0E618}"/>
            </c:ext>
          </c:extLst>
        </c:ser>
        <c:ser>
          <c:idx val="7"/>
          <c:order val="7"/>
          <c:tx>
            <c:strRef>
              <c:f>Лист5!$A$9</c:f>
              <c:strCache>
                <c:ptCount val="1"/>
                <c:pt idx="0">
                  <c:v>НДФЛ</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Лист5!$B$9:$G$9</c:f>
              <c:numCache>
                <c:formatCode>General</c:formatCode>
                <c:ptCount val="6"/>
                <c:pt idx="0">
                  <c:v>49526</c:v>
                </c:pt>
                <c:pt idx="1">
                  <c:v>50305</c:v>
                </c:pt>
                <c:pt idx="2">
                  <c:v>78422</c:v>
                </c:pt>
                <c:pt idx="3">
                  <c:v>54473</c:v>
                </c:pt>
                <c:pt idx="4">
                  <c:v>54232</c:v>
                </c:pt>
                <c:pt idx="5">
                  <c:v>63290</c:v>
                </c:pt>
              </c:numCache>
            </c:numRef>
          </c:val>
          <c:extLst xmlns:c16r2="http://schemas.microsoft.com/office/drawing/2015/06/chart">
            <c:ext xmlns:c16="http://schemas.microsoft.com/office/drawing/2014/chart" uri="{C3380CC4-5D6E-409C-BE32-E72D297353CC}">
              <c16:uniqueId val="{00000007-F8C3-45C5-B351-CDA149B0E618}"/>
            </c:ext>
          </c:extLst>
        </c:ser>
        <c:ser>
          <c:idx val="8"/>
          <c:order val="8"/>
          <c:tx>
            <c:strRef>
              <c:f>Лист5!$A$10</c:f>
              <c:strCache>
                <c:ptCount val="1"/>
                <c:pt idx="0">
                  <c:v>Патент</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Лист5!$B$10:$G$10</c:f>
              <c:numCache>
                <c:formatCode>General</c:formatCode>
                <c:ptCount val="6"/>
                <c:pt idx="2">
                  <c:v>12</c:v>
                </c:pt>
                <c:pt idx="3">
                  <c:v>8</c:v>
                </c:pt>
                <c:pt idx="4">
                  <c:v>11</c:v>
                </c:pt>
                <c:pt idx="5">
                  <c:v>34</c:v>
                </c:pt>
              </c:numCache>
            </c:numRef>
          </c:val>
          <c:extLst xmlns:c16r2="http://schemas.microsoft.com/office/drawing/2015/06/chart">
            <c:ext xmlns:c16="http://schemas.microsoft.com/office/drawing/2014/chart" uri="{C3380CC4-5D6E-409C-BE32-E72D297353CC}">
              <c16:uniqueId val="{00000008-F8C3-45C5-B351-CDA149B0E618}"/>
            </c:ext>
          </c:extLst>
        </c:ser>
        <c:ser>
          <c:idx val="9"/>
          <c:order val="9"/>
          <c:tx>
            <c:strRef>
              <c:f>Лист5!$A$11</c:f>
              <c:strCache>
                <c:ptCount val="1"/>
                <c:pt idx="0">
                  <c:v>Прочие местные налоги</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Лист5!$B$11:$G$11</c:f>
              <c:numCache>
                <c:formatCode>General</c:formatCode>
                <c:ptCount val="6"/>
                <c:pt idx="0">
                  <c:v>57</c:v>
                </c:pt>
                <c:pt idx="1">
                  <c:v>47</c:v>
                </c:pt>
                <c:pt idx="2">
                  <c:v>54</c:v>
                </c:pt>
                <c:pt idx="3">
                  <c:v>60</c:v>
                </c:pt>
              </c:numCache>
            </c:numRef>
          </c:val>
          <c:extLst xmlns:c16r2="http://schemas.microsoft.com/office/drawing/2015/06/chart">
            <c:ext xmlns:c16="http://schemas.microsoft.com/office/drawing/2014/chart" uri="{C3380CC4-5D6E-409C-BE32-E72D297353CC}">
              <c16:uniqueId val="{00000009-F8C3-45C5-B351-CDA149B0E618}"/>
            </c:ext>
          </c:extLst>
        </c:ser>
        <c:ser>
          <c:idx val="10"/>
          <c:order val="10"/>
          <c:tx>
            <c:strRef>
              <c:f>Лист5!$A$12</c:f>
              <c:strCache>
                <c:ptCount val="1"/>
                <c:pt idx="0">
                  <c:v>Транспортный налог</c:v>
                </c:pt>
              </c:strCache>
            </c:strRef>
          </c:tx>
          <c:cat>
            <c:strRef>
              <c:f>Лист5!$B$1:$G$1</c:f>
              <c:strCache>
                <c:ptCount val="6"/>
                <c:pt idx="0">
                  <c:v>2011 год</c:v>
                </c:pt>
                <c:pt idx="1">
                  <c:v>2012 год</c:v>
                </c:pt>
                <c:pt idx="2">
                  <c:v>2013 год</c:v>
                </c:pt>
                <c:pt idx="3">
                  <c:v>2014 год</c:v>
                </c:pt>
                <c:pt idx="4">
                  <c:v>2015 год</c:v>
                </c:pt>
                <c:pt idx="5">
                  <c:v>2016 год</c:v>
                </c:pt>
              </c:strCache>
            </c:strRef>
          </c:cat>
          <c:val>
            <c:numRef>
              <c:f>Лист5!$B$12:$G$12</c:f>
              <c:numCache>
                <c:formatCode>General</c:formatCode>
                <c:ptCount val="6"/>
                <c:pt idx="0">
                  <c:v>9678</c:v>
                </c:pt>
                <c:pt idx="1">
                  <c:v>18917</c:v>
                </c:pt>
                <c:pt idx="2">
                  <c:v>22035</c:v>
                </c:pt>
                <c:pt idx="3">
                  <c:v>20155</c:v>
                </c:pt>
                <c:pt idx="4">
                  <c:v>23256</c:v>
                </c:pt>
                <c:pt idx="5">
                  <c:v>23073</c:v>
                </c:pt>
              </c:numCache>
            </c:numRef>
          </c:val>
          <c:extLst xmlns:c16r2="http://schemas.microsoft.com/office/drawing/2015/06/chart">
            <c:ext xmlns:c16="http://schemas.microsoft.com/office/drawing/2014/chart" uri="{C3380CC4-5D6E-409C-BE32-E72D297353CC}">
              <c16:uniqueId val="{0000000A-F8C3-45C5-B351-CDA149B0E618}"/>
            </c:ext>
          </c:extLst>
        </c:ser>
        <c:shape val="box"/>
        <c:axId val="177427584"/>
        <c:axId val="177429120"/>
        <c:axId val="0"/>
      </c:bar3DChart>
      <c:catAx>
        <c:axId val="177427584"/>
        <c:scaling>
          <c:orientation val="minMax"/>
        </c:scaling>
        <c:axPos val="b"/>
        <c:numFmt formatCode="General" sourceLinked="0"/>
        <c:tickLblPos val="nextTo"/>
        <c:crossAx val="177429120"/>
        <c:crosses val="autoZero"/>
        <c:auto val="1"/>
        <c:lblAlgn val="ctr"/>
        <c:lblOffset val="100"/>
      </c:catAx>
      <c:valAx>
        <c:axId val="177429120"/>
        <c:scaling>
          <c:orientation val="minMax"/>
        </c:scaling>
        <c:axPos val="l"/>
        <c:majorGridlines/>
        <c:numFmt formatCode="General" sourceLinked="1"/>
        <c:tickLblPos val="nextTo"/>
        <c:crossAx val="177427584"/>
        <c:crosses val="autoZero"/>
        <c:crossBetween val="between"/>
      </c:valAx>
    </c:plotArea>
    <c:legend>
      <c:legendPos val="b"/>
      <c:layout>
        <c:manualLayout>
          <c:xMode val="edge"/>
          <c:yMode val="edge"/>
          <c:x val="1.1882906528575808E-2"/>
          <c:y val="0.69893458332371261"/>
          <c:w val="0.9842421949508473"/>
          <c:h val="0.27760500611910316"/>
        </c:manualLayout>
      </c:layout>
    </c:legend>
    <c:plotVisOnly val="1"/>
    <c:dispBlanksAs val="gap"/>
  </c:chart>
  <c:spPr>
    <a:ln>
      <a:noFill/>
    </a:ln>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0.11083468117574281"/>
          <c:y val="4.1529721162803915E-2"/>
          <c:w val="0.86412350329443133"/>
          <c:h val="0.63640744143140615"/>
        </c:manualLayout>
      </c:layout>
      <c:bar3DChart>
        <c:barDir val="col"/>
        <c:grouping val="clustered"/>
        <c:ser>
          <c:idx val="0"/>
          <c:order val="0"/>
          <c:tx>
            <c:strRef>
              <c:f>Лист6!$A$2</c:f>
              <c:strCache>
                <c:ptCount val="1"/>
                <c:pt idx="0">
                  <c:v>% от ссуд</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Лист6!$B$2:$G$2</c:f>
            </c:numRef>
          </c:val>
          <c:extLst xmlns:c16r2="http://schemas.microsoft.com/office/drawing/2015/06/chart">
            <c:ext xmlns:c16="http://schemas.microsoft.com/office/drawing/2014/chart" uri="{C3380CC4-5D6E-409C-BE32-E72D297353CC}">
              <c16:uniqueId val="{00000000-DAFC-49DC-BDF0-1226EF40D192}"/>
            </c:ext>
          </c:extLst>
        </c:ser>
        <c:ser>
          <c:idx val="1"/>
          <c:order val="1"/>
          <c:tx>
            <c:strRef>
              <c:f>Лист6!$A$3</c:f>
              <c:strCache>
                <c:ptCount val="1"/>
                <c:pt idx="0">
                  <c:v>Аренда земли</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Лист6!$B$3:$G$3</c:f>
              <c:numCache>
                <c:formatCode>General</c:formatCode>
                <c:ptCount val="6"/>
                <c:pt idx="0">
                  <c:v>28845</c:v>
                </c:pt>
                <c:pt idx="1">
                  <c:v>30901</c:v>
                </c:pt>
                <c:pt idx="2">
                  <c:v>35706</c:v>
                </c:pt>
                <c:pt idx="3">
                  <c:v>37772</c:v>
                </c:pt>
                <c:pt idx="4">
                  <c:v>37378</c:v>
                </c:pt>
                <c:pt idx="5">
                  <c:v>44961</c:v>
                </c:pt>
              </c:numCache>
            </c:numRef>
          </c:val>
          <c:extLst xmlns:c16r2="http://schemas.microsoft.com/office/drawing/2015/06/chart">
            <c:ext xmlns:c16="http://schemas.microsoft.com/office/drawing/2014/chart" uri="{C3380CC4-5D6E-409C-BE32-E72D297353CC}">
              <c16:uniqueId val="{00000001-DAFC-49DC-BDF0-1226EF40D192}"/>
            </c:ext>
          </c:extLst>
        </c:ser>
        <c:ser>
          <c:idx val="2"/>
          <c:order val="2"/>
          <c:tx>
            <c:strRef>
              <c:f>Лист6!$A$4</c:f>
              <c:strCache>
                <c:ptCount val="1"/>
                <c:pt idx="0">
                  <c:v>Аренда имущества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Лист6!$B$4:$G$4</c:f>
              <c:numCache>
                <c:formatCode>General</c:formatCode>
                <c:ptCount val="6"/>
                <c:pt idx="0">
                  <c:v>1272</c:v>
                </c:pt>
                <c:pt idx="1">
                  <c:v>733</c:v>
                </c:pt>
                <c:pt idx="2">
                  <c:v>1578</c:v>
                </c:pt>
                <c:pt idx="3">
                  <c:v>1910</c:v>
                </c:pt>
                <c:pt idx="4">
                  <c:v>1469</c:v>
                </c:pt>
                <c:pt idx="5">
                  <c:v>1652</c:v>
                </c:pt>
              </c:numCache>
            </c:numRef>
          </c:val>
          <c:extLst xmlns:c16r2="http://schemas.microsoft.com/office/drawing/2015/06/chart">
            <c:ext xmlns:c16="http://schemas.microsoft.com/office/drawing/2014/chart" uri="{C3380CC4-5D6E-409C-BE32-E72D297353CC}">
              <c16:uniqueId val="{00000002-DAFC-49DC-BDF0-1226EF40D192}"/>
            </c:ext>
          </c:extLst>
        </c:ser>
        <c:ser>
          <c:idx val="3"/>
          <c:order val="3"/>
          <c:tx>
            <c:strRef>
              <c:f>Лист6!$A$5</c:f>
              <c:strCache>
                <c:ptCount val="1"/>
                <c:pt idx="0">
                  <c:v>возврат остатков</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Лист6!$B$5:$G$5</c:f>
            </c:numRef>
          </c:val>
          <c:extLst xmlns:c16r2="http://schemas.microsoft.com/office/drawing/2015/06/chart">
            <c:ext xmlns:c16="http://schemas.microsoft.com/office/drawing/2014/chart" uri="{C3380CC4-5D6E-409C-BE32-E72D297353CC}">
              <c16:uniqueId val="{00000003-DAFC-49DC-BDF0-1226EF40D192}"/>
            </c:ext>
          </c:extLst>
        </c:ser>
        <c:ser>
          <c:idx val="4"/>
          <c:order val="4"/>
          <c:tx>
            <c:strRef>
              <c:f>Лист6!$A$6</c:f>
              <c:strCache>
                <c:ptCount val="1"/>
                <c:pt idx="0">
                  <c:v>Возмещене потерь с/х пр-ва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Лист6!$B$6:$G$6</c:f>
            </c:numRef>
          </c:val>
          <c:extLst xmlns:c16r2="http://schemas.microsoft.com/office/drawing/2015/06/chart">
            <c:ext xmlns:c16="http://schemas.microsoft.com/office/drawing/2014/chart" uri="{C3380CC4-5D6E-409C-BE32-E72D297353CC}">
              <c16:uniqueId val="{00000004-DAFC-49DC-BDF0-1226EF40D192}"/>
            </c:ext>
          </c:extLst>
        </c:ser>
        <c:ser>
          <c:idx val="5"/>
          <c:order val="5"/>
          <c:tx>
            <c:strRef>
              <c:f>Лист6!$A$7</c:f>
              <c:strCache>
                <c:ptCount val="1"/>
                <c:pt idx="0">
                  <c:v>Доходы от продажи земли</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Лист6!$B$7:$G$7</c:f>
              <c:numCache>
                <c:formatCode>General</c:formatCode>
                <c:ptCount val="6"/>
                <c:pt idx="0">
                  <c:v>436</c:v>
                </c:pt>
                <c:pt idx="1">
                  <c:v>663</c:v>
                </c:pt>
                <c:pt idx="2">
                  <c:v>340</c:v>
                </c:pt>
                <c:pt idx="3">
                  <c:v>944</c:v>
                </c:pt>
                <c:pt idx="4">
                  <c:v>3569</c:v>
                </c:pt>
                <c:pt idx="5">
                  <c:v>2784</c:v>
                </c:pt>
              </c:numCache>
            </c:numRef>
          </c:val>
          <c:extLst xmlns:c16r2="http://schemas.microsoft.com/office/drawing/2015/06/chart">
            <c:ext xmlns:c16="http://schemas.microsoft.com/office/drawing/2014/chart" uri="{C3380CC4-5D6E-409C-BE32-E72D297353CC}">
              <c16:uniqueId val="{00000005-DAFC-49DC-BDF0-1226EF40D192}"/>
            </c:ext>
          </c:extLst>
        </c:ser>
        <c:ser>
          <c:idx val="6"/>
          <c:order val="6"/>
          <c:tx>
            <c:strRef>
              <c:f>Лист6!$A$8</c:f>
              <c:strCache>
                <c:ptCount val="1"/>
                <c:pt idx="0">
                  <c:v>компенсация затрат</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Лист6!$B$8:$G$8</c:f>
              <c:numCache>
                <c:formatCode>General</c:formatCode>
                <c:ptCount val="6"/>
                <c:pt idx="0">
                  <c:v>95</c:v>
                </c:pt>
                <c:pt idx="1">
                  <c:v>499</c:v>
                </c:pt>
                <c:pt idx="2">
                  <c:v>1593</c:v>
                </c:pt>
                <c:pt idx="3">
                  <c:v>477</c:v>
                </c:pt>
                <c:pt idx="4">
                  <c:v>580</c:v>
                </c:pt>
                <c:pt idx="5">
                  <c:v>996</c:v>
                </c:pt>
              </c:numCache>
            </c:numRef>
          </c:val>
          <c:extLst xmlns:c16r2="http://schemas.microsoft.com/office/drawing/2015/06/chart">
            <c:ext xmlns:c16="http://schemas.microsoft.com/office/drawing/2014/chart" uri="{C3380CC4-5D6E-409C-BE32-E72D297353CC}">
              <c16:uniqueId val="{00000006-DAFC-49DC-BDF0-1226EF40D192}"/>
            </c:ext>
          </c:extLst>
        </c:ser>
        <c:ser>
          <c:idx val="7"/>
          <c:order val="7"/>
          <c:tx>
            <c:strRef>
              <c:f>Лист6!$A$9</c:f>
              <c:strCache>
                <c:ptCount val="1"/>
                <c:pt idx="0">
                  <c:v>невыясненные</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Лист6!$B$9:$G$9</c:f>
              <c:numCache>
                <c:formatCode>General</c:formatCode>
                <c:ptCount val="6"/>
                <c:pt idx="0">
                  <c:v>-142</c:v>
                </c:pt>
                <c:pt idx="1">
                  <c:v>-81</c:v>
                </c:pt>
                <c:pt idx="2">
                  <c:v>-92</c:v>
                </c:pt>
                <c:pt idx="3">
                  <c:v>-52</c:v>
                </c:pt>
                <c:pt idx="4">
                  <c:v>3</c:v>
                </c:pt>
                <c:pt idx="5">
                  <c:v>-7</c:v>
                </c:pt>
              </c:numCache>
            </c:numRef>
          </c:val>
          <c:extLst xmlns:c16r2="http://schemas.microsoft.com/office/drawing/2015/06/chart">
            <c:ext xmlns:c16="http://schemas.microsoft.com/office/drawing/2014/chart" uri="{C3380CC4-5D6E-409C-BE32-E72D297353CC}">
              <c16:uniqueId val="{00000007-DAFC-49DC-BDF0-1226EF40D192}"/>
            </c:ext>
          </c:extLst>
        </c:ser>
        <c:ser>
          <c:idx val="8"/>
          <c:order val="8"/>
          <c:tx>
            <c:strRef>
              <c:f>Лист6!$A$10</c:f>
              <c:strCache>
                <c:ptCount val="1"/>
                <c:pt idx="0">
                  <c:v>Плата за негативное воздействие</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Лист6!$B$10:$G$10</c:f>
              <c:numCache>
                <c:formatCode>General</c:formatCode>
                <c:ptCount val="6"/>
                <c:pt idx="0">
                  <c:v>781</c:v>
                </c:pt>
                <c:pt idx="1">
                  <c:v>573</c:v>
                </c:pt>
                <c:pt idx="2">
                  <c:v>949</c:v>
                </c:pt>
                <c:pt idx="3">
                  <c:v>798</c:v>
                </c:pt>
                <c:pt idx="4">
                  <c:v>547</c:v>
                </c:pt>
                <c:pt idx="5">
                  <c:v>954</c:v>
                </c:pt>
              </c:numCache>
            </c:numRef>
          </c:val>
          <c:extLst xmlns:c16r2="http://schemas.microsoft.com/office/drawing/2015/06/chart">
            <c:ext xmlns:c16="http://schemas.microsoft.com/office/drawing/2014/chart" uri="{C3380CC4-5D6E-409C-BE32-E72D297353CC}">
              <c16:uniqueId val="{00000008-DAFC-49DC-BDF0-1226EF40D192}"/>
            </c:ext>
          </c:extLst>
        </c:ser>
        <c:ser>
          <c:idx val="9"/>
          <c:order val="9"/>
          <c:tx>
            <c:strRef>
              <c:f>Лист6!$A$11</c:f>
              <c:strCache>
                <c:ptCount val="1"/>
                <c:pt idx="0">
                  <c:v>Продажа имущества</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Лист6!$B$11:$G$11</c:f>
              <c:numCache>
                <c:formatCode>General</c:formatCode>
                <c:ptCount val="6"/>
                <c:pt idx="0">
                  <c:v>122</c:v>
                </c:pt>
                <c:pt idx="1">
                  <c:v>202</c:v>
                </c:pt>
                <c:pt idx="2">
                  <c:v>456</c:v>
                </c:pt>
                <c:pt idx="3">
                  <c:v>18506</c:v>
                </c:pt>
                <c:pt idx="4">
                  <c:v>1468</c:v>
                </c:pt>
                <c:pt idx="5">
                  <c:v>204</c:v>
                </c:pt>
              </c:numCache>
            </c:numRef>
          </c:val>
          <c:extLst xmlns:c16r2="http://schemas.microsoft.com/office/drawing/2015/06/chart">
            <c:ext xmlns:c16="http://schemas.microsoft.com/office/drawing/2014/chart" uri="{C3380CC4-5D6E-409C-BE32-E72D297353CC}">
              <c16:uniqueId val="{00000009-DAFC-49DC-BDF0-1226EF40D192}"/>
            </c:ext>
          </c:extLst>
        </c:ser>
        <c:ser>
          <c:idx val="10"/>
          <c:order val="10"/>
          <c:tx>
            <c:strRef>
              <c:f>Лист6!$A$12</c:f>
              <c:strCache>
                <c:ptCount val="1"/>
                <c:pt idx="0">
                  <c:v>Прочие неналоговые доходы</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Лист6!$B$12:$G$12</c:f>
              <c:numCache>
                <c:formatCode>General</c:formatCode>
                <c:ptCount val="6"/>
                <c:pt idx="0">
                  <c:v>3</c:v>
                </c:pt>
                <c:pt idx="1">
                  <c:v>1325</c:v>
                </c:pt>
                <c:pt idx="2">
                  <c:v>52</c:v>
                </c:pt>
                <c:pt idx="3">
                  <c:v>62</c:v>
                </c:pt>
                <c:pt idx="4">
                  <c:v>49</c:v>
                </c:pt>
                <c:pt idx="5">
                  <c:v>23</c:v>
                </c:pt>
              </c:numCache>
            </c:numRef>
          </c:val>
          <c:extLst xmlns:c16r2="http://schemas.microsoft.com/office/drawing/2015/06/chart">
            <c:ext xmlns:c16="http://schemas.microsoft.com/office/drawing/2014/chart" uri="{C3380CC4-5D6E-409C-BE32-E72D297353CC}">
              <c16:uniqueId val="{0000000A-DAFC-49DC-BDF0-1226EF40D192}"/>
            </c:ext>
          </c:extLst>
        </c:ser>
        <c:ser>
          <c:idx val="11"/>
          <c:order val="11"/>
          <c:tx>
            <c:strRef>
              <c:f>Лист6!$A$13</c:f>
              <c:strCache>
                <c:ptCount val="1"/>
                <c:pt idx="0">
                  <c:v>средства самообложения</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Лист6!$B$13:$G$13</c:f>
              <c:numCache>
                <c:formatCode>General</c:formatCode>
                <c:ptCount val="6"/>
                <c:pt idx="2">
                  <c:v>143</c:v>
                </c:pt>
                <c:pt idx="3">
                  <c:v>789</c:v>
                </c:pt>
                <c:pt idx="4">
                  <c:v>191</c:v>
                </c:pt>
                <c:pt idx="5">
                  <c:v>350</c:v>
                </c:pt>
              </c:numCache>
            </c:numRef>
          </c:val>
          <c:extLst xmlns:c16r2="http://schemas.microsoft.com/office/drawing/2015/06/chart">
            <c:ext xmlns:c16="http://schemas.microsoft.com/office/drawing/2014/chart" uri="{C3380CC4-5D6E-409C-BE32-E72D297353CC}">
              <c16:uniqueId val="{0000000B-DAFC-49DC-BDF0-1226EF40D192}"/>
            </c:ext>
          </c:extLst>
        </c:ser>
        <c:ser>
          <c:idx val="12"/>
          <c:order val="12"/>
          <c:tx>
            <c:strRef>
              <c:f>Лист6!$A$14</c:f>
              <c:strCache>
                <c:ptCount val="1"/>
                <c:pt idx="0">
                  <c:v>Часть прибыли МУП</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Лист6!$B$14:$G$14</c:f>
              <c:numCache>
                <c:formatCode>General</c:formatCode>
                <c:ptCount val="6"/>
                <c:pt idx="2">
                  <c:v>1</c:v>
                </c:pt>
                <c:pt idx="3">
                  <c:v>42</c:v>
                </c:pt>
              </c:numCache>
            </c:numRef>
          </c:val>
          <c:extLst xmlns:c16r2="http://schemas.microsoft.com/office/drawing/2015/06/chart">
            <c:ext xmlns:c16="http://schemas.microsoft.com/office/drawing/2014/chart" uri="{C3380CC4-5D6E-409C-BE32-E72D297353CC}">
              <c16:uniqueId val="{0000000C-DAFC-49DC-BDF0-1226EF40D192}"/>
            </c:ext>
          </c:extLst>
        </c:ser>
        <c:ser>
          <c:idx val="13"/>
          <c:order val="13"/>
          <c:tx>
            <c:strRef>
              <c:f>Лист6!$A$15</c:f>
              <c:strCache>
                <c:ptCount val="1"/>
                <c:pt idx="0">
                  <c:v>штрафы</c:v>
                </c:pt>
              </c:strCache>
            </c:strRef>
          </c:tx>
          <c:cat>
            <c:strRef>
              <c:f>Лист6!$B$1:$G$1</c:f>
              <c:strCache>
                <c:ptCount val="6"/>
                <c:pt idx="0">
                  <c:v>2011 год</c:v>
                </c:pt>
                <c:pt idx="1">
                  <c:v>2012 год</c:v>
                </c:pt>
                <c:pt idx="2">
                  <c:v>2013 год</c:v>
                </c:pt>
                <c:pt idx="3">
                  <c:v>2014 год</c:v>
                </c:pt>
                <c:pt idx="4">
                  <c:v>2015 год</c:v>
                </c:pt>
                <c:pt idx="5">
                  <c:v>2016 год</c:v>
                </c:pt>
              </c:strCache>
            </c:strRef>
          </c:cat>
          <c:val>
            <c:numRef>
              <c:f>Лист6!$B$15:$G$15</c:f>
              <c:numCache>
                <c:formatCode>General</c:formatCode>
                <c:ptCount val="6"/>
                <c:pt idx="0">
                  <c:v>2111</c:v>
                </c:pt>
                <c:pt idx="1">
                  <c:v>1375</c:v>
                </c:pt>
                <c:pt idx="2">
                  <c:v>1714</c:v>
                </c:pt>
                <c:pt idx="3">
                  <c:v>2116</c:v>
                </c:pt>
                <c:pt idx="4">
                  <c:v>1496</c:v>
                </c:pt>
                <c:pt idx="5">
                  <c:v>1973</c:v>
                </c:pt>
              </c:numCache>
            </c:numRef>
          </c:val>
          <c:extLst xmlns:c16r2="http://schemas.microsoft.com/office/drawing/2015/06/chart">
            <c:ext xmlns:c16="http://schemas.microsoft.com/office/drawing/2014/chart" uri="{C3380CC4-5D6E-409C-BE32-E72D297353CC}">
              <c16:uniqueId val="{0000000D-DAFC-49DC-BDF0-1226EF40D192}"/>
            </c:ext>
          </c:extLst>
        </c:ser>
        <c:shape val="box"/>
        <c:axId val="177496832"/>
        <c:axId val="177498368"/>
        <c:axId val="0"/>
      </c:bar3DChart>
      <c:catAx>
        <c:axId val="177496832"/>
        <c:scaling>
          <c:orientation val="minMax"/>
        </c:scaling>
        <c:axPos val="b"/>
        <c:numFmt formatCode="General" sourceLinked="0"/>
        <c:tickLblPos val="nextTo"/>
        <c:crossAx val="177498368"/>
        <c:crosses val="autoZero"/>
        <c:auto val="1"/>
        <c:lblAlgn val="ctr"/>
        <c:lblOffset val="100"/>
      </c:catAx>
      <c:valAx>
        <c:axId val="177498368"/>
        <c:scaling>
          <c:orientation val="minMax"/>
        </c:scaling>
        <c:axPos val="l"/>
        <c:majorGridlines>
          <c:spPr>
            <a:ln w="0">
              <a:solidFill>
                <a:schemeClr val="bg1"/>
              </a:solidFill>
            </a:ln>
          </c:spPr>
        </c:majorGridlines>
        <c:numFmt formatCode="General" sourceLinked="1"/>
        <c:tickLblPos val="nextTo"/>
        <c:crossAx val="177496832"/>
        <c:crosses val="autoZero"/>
        <c:crossBetween val="between"/>
      </c:valAx>
    </c:plotArea>
    <c:legend>
      <c:legendPos val="b"/>
      <c:layout>
        <c:manualLayout>
          <c:xMode val="edge"/>
          <c:yMode val="edge"/>
          <c:x val="1.8959181840686581E-2"/>
          <c:y val="0.69702348045348572"/>
          <c:w val="0.95525187101081666"/>
          <c:h val="0.28053311624298605"/>
        </c:manualLayout>
      </c:layout>
    </c:legend>
    <c:plotVisOnly val="1"/>
    <c:dispBlanksAs val="gap"/>
  </c:chart>
  <c:spPr>
    <a:ln>
      <a:noFill/>
    </a:ln>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Лист1!$A$34</c:f>
              <c:strCache>
                <c:ptCount val="1"/>
                <c:pt idx="0">
                  <c:v>дотации</c:v>
                </c:pt>
              </c:strCache>
            </c:strRef>
          </c:tx>
          <c:spPr>
            <a:solidFill>
              <a:schemeClr val="accent1"/>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Лист1!$B$34:$G$34</c:f>
              <c:numCache>
                <c:formatCode>0.00%</c:formatCode>
                <c:ptCount val="6"/>
                <c:pt idx="0">
                  <c:v>0.38700000000000317</c:v>
                </c:pt>
                <c:pt idx="1">
                  <c:v>0.30200000000000032</c:v>
                </c:pt>
                <c:pt idx="2">
                  <c:v>0.31100000000000283</c:v>
                </c:pt>
                <c:pt idx="3">
                  <c:v>0.35000000000000031</c:v>
                </c:pt>
                <c:pt idx="4">
                  <c:v>0.31100000000000283</c:v>
                </c:pt>
                <c:pt idx="5">
                  <c:v>0.31000000000000238</c:v>
                </c:pt>
              </c:numCache>
            </c:numRef>
          </c:val>
          <c:extLst xmlns:c16r2="http://schemas.microsoft.com/office/drawing/2015/06/chart">
            <c:ext xmlns:c16="http://schemas.microsoft.com/office/drawing/2014/chart" uri="{C3380CC4-5D6E-409C-BE32-E72D297353CC}">
              <c16:uniqueId val="{00000000-12A9-4738-AF19-35B6383AAA0A}"/>
            </c:ext>
          </c:extLst>
        </c:ser>
        <c:ser>
          <c:idx val="1"/>
          <c:order val="1"/>
          <c:tx>
            <c:strRef>
              <c:f>Лист1!$A$35</c:f>
              <c:strCache>
                <c:ptCount val="1"/>
                <c:pt idx="0">
                  <c:v>субвенции</c:v>
                </c:pt>
              </c:strCache>
            </c:strRef>
          </c:tx>
          <c:spPr>
            <a:solidFill>
              <a:schemeClr val="accent2"/>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Лист1!$B$35:$G$35</c:f>
              <c:numCache>
                <c:formatCode>0.00%</c:formatCode>
                <c:ptCount val="6"/>
                <c:pt idx="0">
                  <c:v>0.47800000000000031</c:v>
                </c:pt>
                <c:pt idx="1">
                  <c:v>0.47400000000000031</c:v>
                </c:pt>
                <c:pt idx="2">
                  <c:v>0.54700000000000004</c:v>
                </c:pt>
                <c:pt idx="3">
                  <c:v>0.56499999999999995</c:v>
                </c:pt>
                <c:pt idx="4">
                  <c:v>0.60400000000000065</c:v>
                </c:pt>
                <c:pt idx="5">
                  <c:v>0.62500000000000577</c:v>
                </c:pt>
              </c:numCache>
            </c:numRef>
          </c:val>
          <c:extLst xmlns:c16r2="http://schemas.microsoft.com/office/drawing/2015/06/chart">
            <c:ext xmlns:c16="http://schemas.microsoft.com/office/drawing/2014/chart" uri="{C3380CC4-5D6E-409C-BE32-E72D297353CC}">
              <c16:uniqueId val="{00000001-12A9-4738-AF19-35B6383AAA0A}"/>
            </c:ext>
          </c:extLst>
        </c:ser>
        <c:ser>
          <c:idx val="2"/>
          <c:order val="2"/>
          <c:tx>
            <c:strRef>
              <c:f>Лист1!$A$36</c:f>
              <c:strCache>
                <c:ptCount val="1"/>
                <c:pt idx="0">
                  <c:v>субсидии</c:v>
                </c:pt>
              </c:strCache>
            </c:strRef>
          </c:tx>
          <c:spPr>
            <a:solidFill>
              <a:schemeClr val="accent3"/>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Лист1!$B$36:$G$36</c:f>
              <c:numCache>
                <c:formatCode>0.00%</c:formatCode>
                <c:ptCount val="6"/>
                <c:pt idx="0">
                  <c:v>7.8000000000000014E-2</c:v>
                </c:pt>
                <c:pt idx="1">
                  <c:v>0.16700000000000001</c:v>
                </c:pt>
                <c:pt idx="2">
                  <c:v>5.7000000000000023E-2</c:v>
                </c:pt>
                <c:pt idx="3">
                  <c:v>7.9000000000000514E-2</c:v>
                </c:pt>
                <c:pt idx="4">
                  <c:v>8.6000000000000021E-2</c:v>
                </c:pt>
                <c:pt idx="5">
                  <c:v>6.8000000000000019E-2</c:v>
                </c:pt>
              </c:numCache>
            </c:numRef>
          </c:val>
          <c:extLst xmlns:c16r2="http://schemas.microsoft.com/office/drawing/2015/06/chart">
            <c:ext xmlns:c16="http://schemas.microsoft.com/office/drawing/2014/chart" uri="{C3380CC4-5D6E-409C-BE32-E72D297353CC}">
              <c16:uniqueId val="{00000002-12A9-4738-AF19-35B6383AAA0A}"/>
            </c:ext>
          </c:extLst>
        </c:ser>
        <c:ser>
          <c:idx val="3"/>
          <c:order val="3"/>
          <c:tx>
            <c:strRef>
              <c:f>Лист1!$A$37</c:f>
              <c:strCache>
                <c:ptCount val="1"/>
                <c:pt idx="0">
                  <c:v>доходы от возврата</c:v>
                </c:pt>
              </c:strCache>
            </c:strRef>
          </c:tx>
          <c:spPr>
            <a:solidFill>
              <a:schemeClr val="accent4"/>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Лист1!$B$37:$G$37</c:f>
              <c:numCache>
                <c:formatCode>General</c:formatCode>
                <c:ptCount val="6"/>
                <c:pt idx="0">
                  <c:v>0</c:v>
                </c:pt>
                <c:pt idx="1">
                  <c:v>0</c:v>
                </c:pt>
                <c:pt idx="2" formatCode="0.00%">
                  <c:v>3.0000000000000092E-3</c:v>
                </c:pt>
                <c:pt idx="3" formatCode="0.00%">
                  <c:v>1.2E-2</c:v>
                </c:pt>
                <c:pt idx="4">
                  <c:v>0</c:v>
                </c:pt>
                <c:pt idx="5">
                  <c:v>0</c:v>
                </c:pt>
              </c:numCache>
            </c:numRef>
          </c:val>
          <c:extLst xmlns:c16r2="http://schemas.microsoft.com/office/drawing/2015/06/chart">
            <c:ext xmlns:c16="http://schemas.microsoft.com/office/drawing/2014/chart" uri="{C3380CC4-5D6E-409C-BE32-E72D297353CC}">
              <c16:uniqueId val="{00000003-12A9-4738-AF19-35B6383AAA0A}"/>
            </c:ext>
          </c:extLst>
        </c:ser>
        <c:ser>
          <c:idx val="4"/>
          <c:order val="4"/>
          <c:tx>
            <c:strRef>
              <c:f>Лист1!$A$38</c:f>
              <c:strCache>
                <c:ptCount val="1"/>
                <c:pt idx="0">
                  <c:v>прочие трансферты</c:v>
                </c:pt>
              </c:strCache>
            </c:strRef>
          </c:tx>
          <c:spPr>
            <a:solidFill>
              <a:schemeClr val="accent5"/>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Лист1!$B$38:$G$38</c:f>
              <c:numCache>
                <c:formatCode>0.00%</c:formatCode>
                <c:ptCount val="6"/>
                <c:pt idx="0">
                  <c:v>7.0999999999999994E-2</c:v>
                </c:pt>
                <c:pt idx="1">
                  <c:v>6.2000000000000034E-2</c:v>
                </c:pt>
                <c:pt idx="2">
                  <c:v>0.10500000000000002</c:v>
                </c:pt>
                <c:pt idx="3">
                  <c:v>1.0000000000000005E-2</c:v>
                </c:pt>
                <c:pt idx="4">
                  <c:v>2.0000000000000052E-3</c:v>
                </c:pt>
                <c:pt idx="5">
                  <c:v>1.0000000000000041E-3</c:v>
                </c:pt>
              </c:numCache>
            </c:numRef>
          </c:val>
          <c:extLst xmlns:c16r2="http://schemas.microsoft.com/office/drawing/2015/06/chart">
            <c:ext xmlns:c16="http://schemas.microsoft.com/office/drawing/2014/chart" uri="{C3380CC4-5D6E-409C-BE32-E72D297353CC}">
              <c16:uniqueId val="{00000004-12A9-4738-AF19-35B6383AAA0A}"/>
            </c:ext>
          </c:extLst>
        </c:ser>
        <c:ser>
          <c:idx val="5"/>
          <c:order val="5"/>
          <c:tx>
            <c:strRef>
              <c:f>Лист1!$A$39</c:f>
              <c:strCache>
                <c:ptCount val="1"/>
                <c:pt idx="0">
                  <c:v>возврат остатков</c:v>
                </c:pt>
              </c:strCache>
            </c:strRef>
          </c:tx>
          <c:spPr>
            <a:solidFill>
              <a:schemeClr val="accent6"/>
            </a:solidFill>
            <a:ln>
              <a:noFill/>
            </a:ln>
            <a:effectLst/>
            <a:sp3d/>
          </c:spPr>
          <c:cat>
            <c:strRef>
              <c:f>Лист1!$B$33:$G$33</c:f>
              <c:strCache>
                <c:ptCount val="6"/>
                <c:pt idx="0">
                  <c:v>2011 год</c:v>
                </c:pt>
                <c:pt idx="1">
                  <c:v>2012 год</c:v>
                </c:pt>
                <c:pt idx="2">
                  <c:v>2013 год</c:v>
                </c:pt>
                <c:pt idx="3">
                  <c:v>2014 год</c:v>
                </c:pt>
                <c:pt idx="4">
                  <c:v>2015 год</c:v>
                </c:pt>
                <c:pt idx="5">
                  <c:v>2016 год</c:v>
                </c:pt>
              </c:strCache>
            </c:strRef>
          </c:cat>
          <c:val>
            <c:numRef>
              <c:f>Лист1!$B$39:$G$39</c:f>
              <c:numCache>
                <c:formatCode>0.00%</c:formatCode>
                <c:ptCount val="6"/>
                <c:pt idx="0">
                  <c:v>-1.4E-2</c:v>
                </c:pt>
                <c:pt idx="1">
                  <c:v>-5.0000000000000114E-3</c:v>
                </c:pt>
                <c:pt idx="2">
                  <c:v>-2.1999999999999999E-2</c:v>
                </c:pt>
                <c:pt idx="3">
                  <c:v>-1.6000000000000021E-2</c:v>
                </c:pt>
                <c:pt idx="4">
                  <c:v>-3.0000000000000092E-3</c:v>
                </c:pt>
                <c:pt idx="5">
                  <c:v>-4.0000000000000114E-3</c:v>
                </c:pt>
              </c:numCache>
            </c:numRef>
          </c:val>
          <c:extLst xmlns:c16r2="http://schemas.microsoft.com/office/drawing/2015/06/chart">
            <c:ext xmlns:c16="http://schemas.microsoft.com/office/drawing/2014/chart" uri="{C3380CC4-5D6E-409C-BE32-E72D297353CC}">
              <c16:uniqueId val="{00000005-12A9-4738-AF19-35B6383AAA0A}"/>
            </c:ext>
          </c:extLst>
        </c:ser>
        <c:shape val="box"/>
        <c:axId val="74537984"/>
        <c:axId val="74547968"/>
        <c:axId val="0"/>
      </c:bar3DChart>
      <c:catAx>
        <c:axId val="745379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547968"/>
        <c:crosses val="autoZero"/>
        <c:auto val="1"/>
        <c:lblAlgn val="ctr"/>
        <c:lblOffset val="100"/>
      </c:catAx>
      <c:valAx>
        <c:axId val="74547968"/>
        <c:scaling>
          <c:orientation val="minMax"/>
        </c:scaling>
        <c:axPos val="l"/>
        <c:majorGridlines>
          <c:spPr>
            <a:ln w="9525" cap="flat" cmpd="sng" algn="ctr">
              <a:solidFill>
                <a:schemeClr val="tx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453798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[БюджетБарда.xlsx]Лист1!$A$19</c:f>
              <c:strCache>
                <c:ptCount val="1"/>
                <c:pt idx="0">
                  <c:v>Жилищно-коммунальное хозяйство</c:v>
                </c:pt>
              </c:strCache>
            </c:strRef>
          </c:tx>
          <c:dLbls>
            <c:dLbl>
              <c:idx val="3"/>
              <c:layout>
                <c:manualLayout>
                  <c:x val="0"/>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E6-4D68-ACED-AE7C721D4F4F}"/>
                </c:ext>
              </c:extLst>
            </c:dLbl>
            <c:dLbl>
              <c:idx val="4"/>
              <c:layout>
                <c:manualLayout>
                  <c:x val="1.7361111111111305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E6-4D68-ACED-AE7C721D4F4F}"/>
                </c:ext>
              </c:extLst>
            </c:dLbl>
            <c:dLbl>
              <c:idx val="5"/>
              <c:layout>
                <c:manualLayout>
                  <c:x val="-3.4722222222222242E-3"/>
                  <c:y val="9.950248756218974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[БюджетБарда.xlsx]Лист1!$C$19,[БюджетБарда.xlsx]Лист1!$E$19,[БюджетБарда.xlsx]Лист1!$G$19,[БюджетБарда.xlsx]Лист1!$I$19,[БюджетБарда.xlsx]Лист1!$K$19,[БюджетБарда.xlsx]Лист1!$M$19</c:f>
              <c:numCache>
                <c:formatCode>0.0%</c:formatCode>
                <c:ptCount val="6"/>
                <c:pt idx="0">
                  <c:v>2.1669661913959051E-2</c:v>
                </c:pt>
                <c:pt idx="1">
                  <c:v>5.0805280173615713E-2</c:v>
                </c:pt>
                <c:pt idx="2">
                  <c:v>4.1343981433114074E-2</c:v>
                </c:pt>
                <c:pt idx="3">
                  <c:v>5.0928262575591965E-2</c:v>
                </c:pt>
                <c:pt idx="4">
                  <c:v>3.3864386827149172E-2</c:v>
                </c:pt>
                <c:pt idx="5">
                  <c:v>2.1803258986526013E-2</c:v>
                </c:pt>
              </c:numCache>
            </c:numRef>
          </c:val>
          <c:extLst xmlns:c16r2="http://schemas.microsoft.com/office/drawing/2015/06/chart">
            <c:ext xmlns:c16="http://schemas.microsoft.com/office/drawing/2014/chart" uri="{C3380CC4-5D6E-409C-BE32-E72D297353CC}">
              <c16:uniqueId val="{00000003-DBE6-4D68-ACED-AE7C721D4F4F}"/>
            </c:ext>
          </c:extLst>
        </c:ser>
        <c:ser>
          <c:idx val="1"/>
          <c:order val="1"/>
          <c:tx>
            <c:strRef>
              <c:f>[БюджетБарда.xlsx]Лист1!$A$20</c:f>
              <c:strCache>
                <c:ptCount val="1"/>
                <c:pt idx="0">
                  <c:v>Здравоохранение</c:v>
                </c:pt>
              </c:strCache>
            </c:strRef>
          </c:tx>
          <c:dLbls>
            <c:dLbl>
              <c:idx val="3"/>
              <c:layout>
                <c:manualLayout>
                  <c:x val="0"/>
                  <c:y val="1.194029850746283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BE6-4D68-ACED-AE7C721D4F4F}"/>
                </c:ext>
              </c:extLst>
            </c:dLbl>
            <c:dLbl>
              <c:idx val="4"/>
              <c:layout>
                <c:manualLayout>
                  <c:x val="3.4722222222222242E-3"/>
                  <c:y val="5.9701492537314388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E6-4D68-ACED-AE7C721D4F4F}"/>
                </c:ext>
              </c:extLst>
            </c:dLbl>
            <c:dLbl>
              <c:idx val="5"/>
              <c:layout>
                <c:manualLayout>
                  <c:x val="5.2083333333334232E-3"/>
                  <c:y val="7.960199004975212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[БюджетБарда.xlsx]Лист1!$C$20,[БюджетБарда.xlsx]Лист1!$E$20,[БюджетБарда.xlsx]Лист1!$G$20,[БюджетБарда.xlsx]Лист1!$I$20,[БюджетБарда.xlsx]Лист1!$K$20,[БюджетБарда.xlsx]Лист1!$M$20</c:f>
              <c:numCache>
                <c:formatCode>0.0%</c:formatCode>
                <c:ptCount val="6"/>
                <c:pt idx="0">
                  <c:v>4.3656082216541804E-2</c:v>
                </c:pt>
                <c:pt idx="1">
                  <c:v>4.1561768310610495E-2</c:v>
                </c:pt>
                <c:pt idx="2">
                  <c:v>2.8239245184274554E-2</c:v>
                </c:pt>
                <c:pt idx="3">
                  <c:v>9.7583619287960137E-5</c:v>
                </c:pt>
                <c:pt idx="4">
                  <c:v>0</c:v>
                </c:pt>
                <c:pt idx="5">
                  <c:v>0</c:v>
                </c:pt>
              </c:numCache>
            </c:numRef>
          </c:val>
          <c:extLst xmlns:c16r2="http://schemas.microsoft.com/office/drawing/2015/06/chart">
            <c:ext xmlns:c16="http://schemas.microsoft.com/office/drawing/2014/chart" uri="{C3380CC4-5D6E-409C-BE32-E72D297353CC}">
              <c16:uniqueId val="{00000007-DBE6-4D68-ACED-AE7C721D4F4F}"/>
            </c:ext>
          </c:extLst>
        </c:ser>
        <c:ser>
          <c:idx val="2"/>
          <c:order val="2"/>
          <c:tx>
            <c:strRef>
              <c:f>[БюджетБарда.xlsx]Лист1!$A$21</c:f>
              <c:strCache>
                <c:ptCount val="1"/>
                <c:pt idx="0">
                  <c:v>Культура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[БюджетБарда.xlsx]Лист1!$C$21,[БюджетБарда.xlsx]Лист1!$E$21,[БюджетБарда.xlsx]Лист1!$G$21,[БюджетБарда.xlsx]Лист1!$I$21,[БюджетБарда.xlsx]Лист1!$K$21,[БюджетБарда.xlsx]Лист1!$M$21</c:f>
              <c:numCache>
                <c:formatCode>0.0%</c:formatCode>
                <c:ptCount val="6"/>
                <c:pt idx="0">
                  <c:v>1.2998600797329764E-2</c:v>
                </c:pt>
                <c:pt idx="1">
                  <c:v>2.2476601174830992E-2</c:v>
                </c:pt>
                <c:pt idx="2">
                  <c:v>2.1350415437776552E-2</c:v>
                </c:pt>
                <c:pt idx="3">
                  <c:v>2.3452767476572548E-2</c:v>
                </c:pt>
                <c:pt idx="4">
                  <c:v>2.470891526756765E-2</c:v>
                </c:pt>
                <c:pt idx="5">
                  <c:v>2.3982524026629586E-2</c:v>
                </c:pt>
              </c:numCache>
            </c:numRef>
          </c:val>
          <c:extLst xmlns:c16r2="http://schemas.microsoft.com/office/drawing/2015/06/chart">
            <c:ext xmlns:c16="http://schemas.microsoft.com/office/drawing/2014/chart" uri="{C3380CC4-5D6E-409C-BE32-E72D297353CC}">
              <c16:uniqueId val="{00000008-DBE6-4D68-ACED-AE7C721D4F4F}"/>
            </c:ext>
          </c:extLst>
        </c:ser>
        <c:ser>
          <c:idx val="3"/>
          <c:order val="3"/>
          <c:tx>
            <c:strRef>
              <c:f>[БюджетБарда.xlsx]Лист1!$A$22</c:f>
              <c:strCache>
                <c:ptCount val="1"/>
                <c:pt idx="0">
                  <c:v>Межбюдж. трансф</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[БюджетБарда.xlsx]Лист1!$C$22,[БюджетБарда.xlsx]Лист1!$E$22,[БюджетБарда.xlsx]Лист1!$G$22,[БюджетБарда.xlsx]Лист1!$I$22,[БюджетБарда.xlsx]Лист1!$K$22,[БюджетБарда.xlsx]Лист1!$M$22</c:f>
              <c:numCache>
                <c:formatCode>0.0%</c:formatCode>
                <c:ptCount val="6"/>
                <c:pt idx="0">
                  <c:v>8.6412071978629212E-2</c:v>
                </c:pt>
                <c:pt idx="1">
                  <c:v>9.267428400727569E-2</c:v>
                </c:pt>
                <c:pt idx="2">
                  <c:v>0.1099195117564386</c:v>
                </c:pt>
                <c:pt idx="3">
                  <c:v>8.6030282979673064E-2</c:v>
                </c:pt>
                <c:pt idx="4">
                  <c:v>8.0279182066799792E-2</c:v>
                </c:pt>
                <c:pt idx="5">
                  <c:v>7.6216437814289467E-2</c:v>
                </c:pt>
              </c:numCache>
            </c:numRef>
          </c:val>
          <c:extLst xmlns:c16r2="http://schemas.microsoft.com/office/drawing/2015/06/chart">
            <c:ext xmlns:c16="http://schemas.microsoft.com/office/drawing/2014/chart" uri="{C3380CC4-5D6E-409C-BE32-E72D297353CC}">
              <c16:uniqueId val="{00000009-DBE6-4D68-ACED-AE7C721D4F4F}"/>
            </c:ext>
          </c:extLst>
        </c:ser>
        <c:ser>
          <c:idx val="4"/>
          <c:order val="4"/>
          <c:tx>
            <c:strRef>
              <c:f>[БюджетБарда.xlsx]Лист1!$A$23</c:f>
              <c:strCache>
                <c:ptCount val="1"/>
                <c:pt idx="0">
                  <c:v>Национальная экономика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[БюджетБарда.xlsx]Лист1!$C$23,[БюджетБарда.xlsx]Лист1!$E$23,[БюджетБарда.xlsx]Лист1!$G$23,[БюджетБарда.xlsx]Лист1!$I$23,[БюджетБарда.xlsx]Лист1!$K$23,[БюджетБарда.xlsx]Лист1!$M$23</c:f>
              <c:numCache>
                <c:formatCode>0.0%</c:formatCode>
                <c:ptCount val="6"/>
                <c:pt idx="0">
                  <c:v>6.3982477603567803E-2</c:v>
                </c:pt>
                <c:pt idx="1">
                  <c:v>7.2374087765184669E-2</c:v>
                </c:pt>
                <c:pt idx="2">
                  <c:v>7.9658664396063714E-2</c:v>
                </c:pt>
                <c:pt idx="3">
                  <c:v>7.8023296967085723E-2</c:v>
                </c:pt>
                <c:pt idx="4">
                  <c:v>8.5217081949393633E-2</c:v>
                </c:pt>
                <c:pt idx="5">
                  <c:v>7.7306360980519045E-2</c:v>
                </c:pt>
              </c:numCache>
            </c:numRef>
          </c:val>
          <c:extLst xmlns:c16r2="http://schemas.microsoft.com/office/drawing/2015/06/chart">
            <c:ext xmlns:c16="http://schemas.microsoft.com/office/drawing/2014/chart" uri="{C3380CC4-5D6E-409C-BE32-E72D297353CC}">
              <c16:uniqueId val="{0000000A-DBE6-4D68-ACED-AE7C721D4F4F}"/>
            </c:ext>
          </c:extLst>
        </c:ser>
        <c:ser>
          <c:idx val="5"/>
          <c:order val="5"/>
          <c:tx>
            <c:strRef>
              <c:f>[БюджетБарда.xlsx]Лист1!$A$24</c:f>
              <c:strCache>
                <c:ptCount val="1"/>
                <c:pt idx="0">
                  <c:v>Образование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[БюджетБарда.xlsx]Лист1!$C$24,[БюджетБарда.xlsx]Лист1!$E$24,[БюджетБарда.xlsx]Лист1!$G$24,[БюджетБарда.xlsx]Лист1!$I$24,[БюджетБарда.xlsx]Лист1!$K$24,[БюджетБарда.xlsx]Лист1!$M$24</c:f>
              <c:numCache>
                <c:formatCode>0.0%</c:formatCode>
                <c:ptCount val="6"/>
                <c:pt idx="0">
                  <c:v>0.45824838364523068</c:v>
                </c:pt>
                <c:pt idx="1">
                  <c:v>0.42171582530855245</c:v>
                </c:pt>
                <c:pt idx="2">
                  <c:v>0.44927458394943942</c:v>
                </c:pt>
                <c:pt idx="3">
                  <c:v>0.54787008683788063</c:v>
                </c:pt>
                <c:pt idx="4">
                  <c:v>0.60354542466133165</c:v>
                </c:pt>
                <c:pt idx="5">
                  <c:v>0.61075690222910484</c:v>
                </c:pt>
              </c:numCache>
            </c:numRef>
          </c:val>
          <c:extLst xmlns:c16r2="http://schemas.microsoft.com/office/drawing/2015/06/chart">
            <c:ext xmlns:c16="http://schemas.microsoft.com/office/drawing/2014/chart" uri="{C3380CC4-5D6E-409C-BE32-E72D297353CC}">
              <c16:uniqueId val="{0000000B-DBE6-4D68-ACED-AE7C721D4F4F}"/>
            </c:ext>
          </c:extLst>
        </c:ser>
        <c:ser>
          <c:idx val="6"/>
          <c:order val="6"/>
          <c:tx>
            <c:strRef>
              <c:f>[БюджетБарда.xlsx]Лист1!$A$25</c:f>
              <c:strCache>
                <c:ptCount val="1"/>
                <c:pt idx="0">
                  <c:v>Общегосударственные вопросы</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[БюджетБарда.xlsx]Лист1!$C$25,[БюджетБарда.xlsx]Лист1!$E$25,[БюджетБарда.xlsx]Лист1!$G$25,[БюджетБарда.xlsx]Лист1!$I$25,[БюджетБарда.xlsx]Лист1!$K$25,[БюджетБарда.xlsx]Лист1!$M$25</c:f>
              <c:numCache>
                <c:formatCode>0.0%</c:formatCode>
                <c:ptCount val="6"/>
                <c:pt idx="0">
                  <c:v>5.5225914096467467E-2</c:v>
                </c:pt>
                <c:pt idx="1">
                  <c:v>4.4892146188457036E-2</c:v>
                </c:pt>
                <c:pt idx="2">
                  <c:v>5.9269536752753704E-2</c:v>
                </c:pt>
                <c:pt idx="3">
                  <c:v>5.7328645216222732E-2</c:v>
                </c:pt>
                <c:pt idx="4">
                  <c:v>7.2842461697372837E-2</c:v>
                </c:pt>
                <c:pt idx="5">
                  <c:v>6.5257333039393184E-2</c:v>
                </c:pt>
              </c:numCache>
            </c:numRef>
          </c:val>
          <c:extLst xmlns:c16r2="http://schemas.microsoft.com/office/drawing/2015/06/chart">
            <c:ext xmlns:c16="http://schemas.microsoft.com/office/drawing/2014/chart" uri="{C3380CC4-5D6E-409C-BE32-E72D297353CC}">
              <c16:uniqueId val="{0000000C-DBE6-4D68-ACED-AE7C721D4F4F}"/>
            </c:ext>
          </c:extLst>
        </c:ser>
        <c:ser>
          <c:idx val="7"/>
          <c:order val="7"/>
          <c:tx>
            <c:strRef>
              <c:f>[БюджетБарда.xlsx]Лист1!$A$26</c:f>
              <c:strCache>
                <c:ptCount val="1"/>
                <c:pt idx="0">
                  <c:v>Социальная политика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[БюджетБарда.xlsx]Лист1!$C$26,[БюджетБарда.xlsx]Лист1!$E$26,[БюджетБарда.xlsx]Лист1!$G$26,[БюджетБарда.xlsx]Лист1!$I$26,[БюджетБарда.xlsx]Лист1!$K$26,[БюджетБарда.xlsx]Лист1!$M$26</c:f>
              <c:numCache>
                <c:formatCode>0.0%</c:formatCode>
                <c:ptCount val="6"/>
                <c:pt idx="0">
                  <c:v>0.17059564800823379</c:v>
                </c:pt>
                <c:pt idx="1">
                  <c:v>0.20930983426184321</c:v>
                </c:pt>
                <c:pt idx="2">
                  <c:v>0.16884490660725221</c:v>
                </c:pt>
                <c:pt idx="3">
                  <c:v>4.7934330455834832E-2</c:v>
                </c:pt>
                <c:pt idx="4">
                  <c:v>6.7223961434736898E-2</c:v>
                </c:pt>
                <c:pt idx="5">
                  <c:v>7.3468959496856584E-2</c:v>
                </c:pt>
              </c:numCache>
            </c:numRef>
          </c:val>
          <c:extLst xmlns:c16r2="http://schemas.microsoft.com/office/drawing/2015/06/chart">
            <c:ext xmlns:c16="http://schemas.microsoft.com/office/drawing/2014/chart" uri="{C3380CC4-5D6E-409C-BE32-E72D297353CC}">
              <c16:uniqueId val="{0000000D-DBE6-4D68-ACED-AE7C721D4F4F}"/>
            </c:ext>
          </c:extLst>
        </c:ser>
        <c:ser>
          <c:idx val="8"/>
          <c:order val="8"/>
          <c:tx>
            <c:strRef>
              <c:f>[БюджетБарда.xlsx]Лист1!$A$27</c:f>
              <c:strCache>
                <c:ptCount val="1"/>
                <c:pt idx="0">
                  <c:v>Спорт и физ.культура</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[БюджетБарда.xlsx]Лист1!$C$27,[БюджетБарда.xlsx]Лист1!$E$27,[БюджетБарда.xlsx]Лист1!$G$27,[БюджетБарда.xlsx]Лист1!$I$27,[БюджетБарда.xlsx]Лист1!$K$27,[БюджетБарда.xlsx]Лист1!$M$27</c:f>
              <c:numCache>
                <c:formatCode>0.0%</c:formatCode>
                <c:ptCount val="6"/>
                <c:pt idx="0">
                  <c:v>3.3084151133066488E-2</c:v>
                </c:pt>
                <c:pt idx="1">
                  <c:v>3.4097968807545592E-2</c:v>
                </c:pt>
                <c:pt idx="2">
                  <c:v>3.1261244665065607E-2</c:v>
                </c:pt>
                <c:pt idx="3">
                  <c:v>2.0117356804694272E-2</c:v>
                </c:pt>
                <c:pt idx="4">
                  <c:v>1.8593966538118775E-2</c:v>
                </c:pt>
                <c:pt idx="5">
                  <c:v>3.7262293207061196E-2</c:v>
                </c:pt>
              </c:numCache>
            </c:numRef>
          </c:val>
          <c:extLst xmlns:c16r2="http://schemas.microsoft.com/office/drawing/2015/06/chart">
            <c:ext xmlns:c16="http://schemas.microsoft.com/office/drawing/2014/chart" uri="{C3380CC4-5D6E-409C-BE32-E72D297353CC}">
              <c16:uniqueId val="{0000000E-DBE6-4D68-ACED-AE7C721D4F4F}"/>
            </c:ext>
          </c:extLst>
        </c:ser>
        <c:ser>
          <c:idx val="9"/>
          <c:order val="9"/>
          <c:tx>
            <c:strRef>
              <c:f>[БюджетБарда.xlsx]Лист1!$A$28</c:f>
              <c:strCache>
                <c:ptCount val="1"/>
                <c:pt idx="0">
                  <c:v>СМИ</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[БюджетБарда.xlsx]Лист1!$C$28,[БюджетБарда.xlsx]Лист1!$E$28,[БюджетБарда.xlsx]Лист1!$G$28,[БюджетБарда.xlsx]Лист1!$I$28,[БюджетБарда.xlsx]Лист1!$K$28,[БюджетБарда.xlsx]Лист1!$M$28</c:f>
              <c:numCache>
                <c:formatCode>0.0%</c:formatCode>
                <c:ptCount val="6"/>
                <c:pt idx="0">
                  <c:v>8.3367227972546542E-3</c:v>
                </c:pt>
                <c:pt idx="1">
                  <c:v>8.0407859756183645E-4</c:v>
                </c:pt>
                <c:pt idx="2">
                  <c:v>9.3001108030163707E-3</c:v>
                </c:pt>
                <c:pt idx="3">
                  <c:v>1.0194090100071196E-2</c:v>
                </c:pt>
                <c:pt idx="4">
                  <c:v>1.1728072293889344E-2</c:v>
                </c:pt>
                <c:pt idx="5">
                  <c:v>1.1226353935254786E-2</c:v>
                </c:pt>
              </c:numCache>
            </c:numRef>
          </c:val>
          <c:extLst xmlns:c16r2="http://schemas.microsoft.com/office/drawing/2015/06/chart">
            <c:ext xmlns:c16="http://schemas.microsoft.com/office/drawing/2014/chart" uri="{C3380CC4-5D6E-409C-BE32-E72D297353CC}">
              <c16:uniqueId val="{0000000F-DBE6-4D68-ACED-AE7C721D4F4F}"/>
            </c:ext>
          </c:extLst>
        </c:ser>
        <c:ser>
          <c:idx val="10"/>
          <c:order val="10"/>
          <c:tx>
            <c:strRef>
              <c:f>[БюджетБарда.xlsx]Лист1!$A$29</c:f>
              <c:strCache>
                <c:ptCount val="1"/>
                <c:pt idx="0">
                  <c:v>Национальная безопасность</c:v>
                </c:pt>
              </c:strCache>
            </c:strRef>
          </c:tx>
          <c:dLbls>
            <c:dLbl>
              <c:idx val="0"/>
              <c:layout>
                <c:manualLayout>
                  <c:x val="5.2083333333334406E-3"/>
                  <c:y val="-3.18407960199004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DBE6-4D68-ACED-AE7C721D4F4F}"/>
                </c:ext>
              </c:extLst>
            </c:dLbl>
            <c:dLbl>
              <c:idx val="1"/>
              <c:layout>
                <c:manualLayout>
                  <c:x val="1.7361111111111305E-3"/>
                  <c:y val="-2.3880597014925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DBE6-4D68-ACED-AE7C721D4F4F}"/>
                </c:ext>
              </c:extLst>
            </c:dLbl>
            <c:dLbl>
              <c:idx val="2"/>
              <c:layout>
                <c:manualLayout>
                  <c:x val="3.4722222222222242E-3"/>
                  <c:y val="-1.791044776119403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DBE6-4D68-ACED-AE7C721D4F4F}"/>
                </c:ext>
              </c:extLst>
            </c:dLbl>
            <c:dLbl>
              <c:idx val="3"/>
              <c:layout>
                <c:manualLayout>
                  <c:x val="0"/>
                  <c:y val="-1.59203980099503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3-DBE6-4D68-ACED-AE7C721D4F4F}"/>
                </c:ext>
              </c:extLst>
            </c:dLbl>
            <c:dLbl>
              <c:idx val="4"/>
              <c:layout>
                <c:manualLayout>
                  <c:x val="3.4722222222222242E-3"/>
                  <c:y val="-2.189054726368160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DBE6-4D68-ACED-AE7C721D4F4F}"/>
                </c:ext>
              </c:extLst>
            </c:dLbl>
            <c:dLbl>
              <c:idx val="5"/>
              <c:layout>
                <c:manualLayout>
                  <c:x val="0"/>
                  <c:y val="-2.388059701492561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DBE6-4D68-ACED-AE7C721D4F4F}"/>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[БюджетБарда.xlsx]Лист1!$N$1:$S$1</c:f>
              <c:numCache>
                <c:formatCode>General</c:formatCode>
                <c:ptCount val="6"/>
                <c:pt idx="0">
                  <c:v>2011</c:v>
                </c:pt>
                <c:pt idx="1">
                  <c:v>2012</c:v>
                </c:pt>
                <c:pt idx="2">
                  <c:v>2013</c:v>
                </c:pt>
                <c:pt idx="3">
                  <c:v>2014</c:v>
                </c:pt>
                <c:pt idx="4">
                  <c:v>2015</c:v>
                </c:pt>
                <c:pt idx="5">
                  <c:v>2016</c:v>
                </c:pt>
              </c:numCache>
            </c:numRef>
          </c:cat>
          <c:val>
            <c:numRef>
              <c:f>[БюджетБарда.xlsx]Лист1!$C$29,[БюджетБарда.xlsx]Лист1!$E$29,[БюджетБарда.xlsx]Лист1!$G$29,[БюджетБарда.xlsx]Лист1!$I$29,[БюджетБарда.xlsx]Лист1!$K$29,[БюджетБарда.xlsx]Лист1!$M$29</c:f>
              <c:numCache>
                <c:formatCode>0.0%</c:formatCode>
                <c:ptCount val="6"/>
                <c:pt idx="0">
                  <c:v>4.5790285809720464E-2</c:v>
                </c:pt>
                <c:pt idx="1">
                  <c:v>2.3892391217985392E-3</c:v>
                </c:pt>
                <c:pt idx="2">
                  <c:v>1.5420476802668137E-3</c:v>
                </c:pt>
                <c:pt idx="3">
                  <c:v>7.8023296967085723E-2</c:v>
                </c:pt>
                <c:pt idx="4">
                  <c:v>1.9966966163691485E-3</c:v>
                </c:pt>
                <c:pt idx="5">
                  <c:v>2.7195762843763957E-3</c:v>
                </c:pt>
              </c:numCache>
            </c:numRef>
          </c:val>
          <c:extLst xmlns:c16r2="http://schemas.microsoft.com/office/drawing/2015/06/chart">
            <c:ext xmlns:c16="http://schemas.microsoft.com/office/drawing/2014/chart" uri="{C3380CC4-5D6E-409C-BE32-E72D297353CC}">
              <c16:uniqueId val="{00000016-DBE6-4D68-ACED-AE7C721D4F4F}"/>
            </c:ext>
          </c:extLst>
        </c:ser>
        <c:shape val="box"/>
        <c:axId val="177545216"/>
        <c:axId val="177546752"/>
        <c:axId val="0"/>
      </c:bar3DChart>
      <c:catAx>
        <c:axId val="177545216"/>
        <c:scaling>
          <c:orientation val="minMax"/>
        </c:scaling>
        <c:axPos val="b"/>
        <c:numFmt formatCode="General" sourceLinked="1"/>
        <c:tickLblPos val="nextTo"/>
        <c:crossAx val="177546752"/>
        <c:crosses val="autoZero"/>
        <c:auto val="1"/>
        <c:lblAlgn val="ctr"/>
        <c:lblOffset val="100"/>
      </c:catAx>
      <c:valAx>
        <c:axId val="177546752"/>
        <c:scaling>
          <c:orientation val="minMax"/>
        </c:scaling>
        <c:axPos val="l"/>
        <c:majorGridlines/>
        <c:numFmt formatCode="0.0%" sourceLinked="1"/>
        <c:tickLblPos val="nextTo"/>
        <c:crossAx val="177545216"/>
        <c:crosses val="autoZero"/>
        <c:crossBetween val="between"/>
      </c:valAx>
    </c:plotArea>
    <c:legend>
      <c:legendPos val="r"/>
    </c:legend>
    <c:plotVisOnly val="1"/>
    <c:dispBlanksAs val="gap"/>
  </c:chart>
  <c:spPr>
    <a:ln>
      <a:noFill/>
    </a:ln>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[БюджетБарда.xlsx]ЖКХ!$B$1</c:f>
              <c:strCache>
                <c:ptCount val="1"/>
                <c:pt idx="0">
                  <c:v>План</c:v>
                </c:pt>
              </c:strCache>
            </c:strRef>
          </c:tx>
          <c:dLbls>
            <c:dLbl>
              <c:idx val="0"/>
              <c:layout>
                <c:manualLayout>
                  <c:x val="-3.1907887062590082E-2"/>
                  <c:y val="-3.506375494852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9D0-4127-833F-8F9F5A7B95CA}"/>
                </c:ext>
              </c:extLst>
            </c:dLbl>
            <c:dLbl>
              <c:idx val="1"/>
              <c:layout>
                <c:manualLayout>
                  <c:x val="-9.1165391607400548E-3"/>
                  <c:y val="-2.62978162113958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9D0-4127-833F-8F9F5A7B95CA}"/>
                </c:ext>
              </c:extLst>
            </c:dLbl>
            <c:dLbl>
              <c:idx val="2"/>
              <c:layout>
                <c:manualLayout>
                  <c:x val="-9.1165391607400548E-3"/>
                  <c:y val="-1.75318774742638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9D0-4127-833F-8F9F5A7B95CA}"/>
                </c:ext>
              </c:extLst>
            </c:dLbl>
            <c:dLbl>
              <c:idx val="3"/>
              <c:layout>
                <c:manualLayout>
                  <c:x val="-6.8374043705550095E-3"/>
                  <c:y val="-4.382969368565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9D0-4127-833F-8F9F5A7B95CA}"/>
                </c:ext>
              </c:extLst>
            </c:dLbl>
            <c:dLbl>
              <c:idx val="4"/>
              <c:layout>
                <c:manualLayout>
                  <c:x val="-2.2791347901850553E-3"/>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9D0-4127-833F-8F9F5A7B95CA}"/>
                </c:ext>
              </c:extLst>
            </c:dLbl>
            <c:dLbl>
              <c:idx val="5"/>
              <c:layout>
                <c:manualLayout>
                  <c:x val="-2.0512213111665081E-2"/>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9D0-4127-833F-8F9F5A7B95C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[БюджетБарда.xlsx]ЖКХ!$A$2:$A$7</c:f>
              <c:strCache>
                <c:ptCount val="6"/>
                <c:pt idx="0">
                  <c:v>2011 год</c:v>
                </c:pt>
                <c:pt idx="1">
                  <c:v>2012 год</c:v>
                </c:pt>
                <c:pt idx="2">
                  <c:v>2013 год</c:v>
                </c:pt>
                <c:pt idx="3">
                  <c:v>2014 год</c:v>
                </c:pt>
                <c:pt idx="4">
                  <c:v>2015 год</c:v>
                </c:pt>
                <c:pt idx="5">
                  <c:v>2016 год</c:v>
                </c:pt>
              </c:strCache>
            </c:strRef>
          </c:cat>
          <c:val>
            <c:numRef>
              <c:f>[БюджетБарда.xlsx]ЖКХ!$B$2:$B$7</c:f>
              <c:numCache>
                <c:formatCode>General</c:formatCode>
                <c:ptCount val="6"/>
                <c:pt idx="0">
                  <c:v>41286.699999999997</c:v>
                </c:pt>
                <c:pt idx="1">
                  <c:v>63179.3</c:v>
                </c:pt>
                <c:pt idx="2">
                  <c:v>50654.7</c:v>
                </c:pt>
                <c:pt idx="3">
                  <c:v>43731.5</c:v>
                </c:pt>
                <c:pt idx="4">
                  <c:v>24007</c:v>
                </c:pt>
                <c:pt idx="5">
                  <c:v>27650.5</c:v>
                </c:pt>
              </c:numCache>
            </c:numRef>
          </c:val>
          <c:extLst xmlns:c16r2="http://schemas.microsoft.com/office/drawing/2015/06/chart">
            <c:ext xmlns:c16="http://schemas.microsoft.com/office/drawing/2014/chart" uri="{C3380CC4-5D6E-409C-BE32-E72D297353CC}">
              <c16:uniqueId val="{00000006-79D0-4127-833F-8F9F5A7B95CA}"/>
            </c:ext>
          </c:extLst>
        </c:ser>
        <c:ser>
          <c:idx val="1"/>
          <c:order val="1"/>
          <c:tx>
            <c:strRef>
              <c:f>[БюджетБарда.xlsx]ЖКХ!$C$1</c:f>
              <c:strCache>
                <c:ptCount val="1"/>
                <c:pt idx="0">
                  <c:v>Факт</c:v>
                </c:pt>
              </c:strCache>
            </c:strRef>
          </c:tx>
          <c:dLbls>
            <c:dLbl>
              <c:idx val="0"/>
              <c:layout>
                <c:manualLayout>
                  <c:x val="0"/>
                  <c:y val="3.506375494852771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9D0-4127-833F-8F9F5A7B95CA}"/>
                </c:ext>
              </c:extLst>
            </c:dLbl>
            <c:dLbl>
              <c:idx val="1"/>
              <c:layout>
                <c:manualLayout>
                  <c:x val="-2.2791347901850553E-3"/>
                  <c:y val="4.38296936856596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9D0-4127-833F-8F9F5A7B95CA}"/>
                </c:ext>
              </c:extLst>
            </c:dLbl>
            <c:dLbl>
              <c:idx val="2"/>
              <c:layout>
                <c:manualLayout>
                  <c:x val="-1.3674808741110264E-2"/>
                  <c:y val="3.94467243170936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9D0-4127-833F-8F9F5A7B95CA}"/>
                </c:ext>
              </c:extLst>
            </c:dLbl>
            <c:dLbl>
              <c:idx val="3"/>
              <c:layout>
                <c:manualLayout>
                  <c:x val="-1.3674808741110264E-2"/>
                  <c:y val="7.45104792656220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9D0-4127-833F-8F9F5A7B95CA}"/>
                </c:ext>
              </c:extLst>
            </c:dLbl>
            <c:dLbl>
              <c:idx val="4"/>
              <c:layout>
                <c:manualLayout>
                  <c:x val="-5.0140965384069647E-2"/>
                  <c:y val="6.57445405284894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9D0-4127-833F-8F9F5A7B95CA}"/>
                </c:ext>
              </c:extLst>
            </c:dLbl>
            <c:dLbl>
              <c:idx val="5"/>
              <c:layout>
                <c:manualLayout>
                  <c:x val="-6.8374043705550095E-3"/>
                  <c:y val="5.2595632422792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9D0-4127-833F-8F9F5A7B95CA}"/>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[БюджетБарда.xlsx]ЖКХ!$A$2:$A$7</c:f>
              <c:strCache>
                <c:ptCount val="6"/>
                <c:pt idx="0">
                  <c:v>2011 год</c:v>
                </c:pt>
                <c:pt idx="1">
                  <c:v>2012 год</c:v>
                </c:pt>
                <c:pt idx="2">
                  <c:v>2013 год</c:v>
                </c:pt>
                <c:pt idx="3">
                  <c:v>2014 год</c:v>
                </c:pt>
                <c:pt idx="4">
                  <c:v>2015 год</c:v>
                </c:pt>
                <c:pt idx="5">
                  <c:v>2016 год</c:v>
                </c:pt>
              </c:strCache>
            </c:strRef>
          </c:cat>
          <c:val>
            <c:numRef>
              <c:f>[БюджетБарда.xlsx]ЖКХ!$C$2:$C$7</c:f>
              <c:numCache>
                <c:formatCode>General</c:formatCode>
                <c:ptCount val="6"/>
                <c:pt idx="0">
                  <c:v>13559</c:v>
                </c:pt>
                <c:pt idx="1">
                  <c:v>44184.9</c:v>
                </c:pt>
                <c:pt idx="2">
                  <c:v>37951.1</c:v>
                </c:pt>
                <c:pt idx="3">
                  <c:v>39716.1</c:v>
                </c:pt>
                <c:pt idx="4">
                  <c:v>22674.1</c:v>
                </c:pt>
                <c:pt idx="5">
                  <c:v>15003.3</c:v>
                </c:pt>
              </c:numCache>
            </c:numRef>
          </c:val>
          <c:extLst xmlns:c16r2="http://schemas.microsoft.com/office/drawing/2015/06/chart">
            <c:ext xmlns:c16="http://schemas.microsoft.com/office/drawing/2014/chart" uri="{C3380CC4-5D6E-409C-BE32-E72D297353CC}">
              <c16:uniqueId val="{0000000D-79D0-4127-833F-8F9F5A7B95CA}"/>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77568384"/>
        <c:axId val="177586560"/>
      </c:lineChart>
      <c:catAx>
        <c:axId val="177568384"/>
        <c:scaling>
          <c:orientation val="minMax"/>
        </c:scaling>
        <c:axPos val="b"/>
        <c:numFmt formatCode="General" sourceLinked="0"/>
        <c:tickLblPos val="nextTo"/>
        <c:crossAx val="177586560"/>
        <c:crosses val="autoZero"/>
        <c:auto val="1"/>
        <c:lblAlgn val="ctr"/>
        <c:lblOffset val="100"/>
      </c:catAx>
      <c:valAx>
        <c:axId val="177586560"/>
        <c:scaling>
          <c:orientation val="minMax"/>
        </c:scaling>
        <c:axPos val="l"/>
        <c:majorGridlines>
          <c:spPr>
            <a:ln w="0">
              <a:solidFill>
                <a:schemeClr val="bg1"/>
              </a:solidFill>
            </a:ln>
          </c:spPr>
        </c:majorGridlines>
        <c:numFmt formatCode="General" sourceLinked="1"/>
        <c:tickLblPos val="nextTo"/>
        <c:crossAx val="177568384"/>
        <c:crosses val="autoZero"/>
        <c:crossBetween val="between"/>
      </c:valAx>
    </c:plotArea>
    <c:legend>
      <c:legendPos val="b"/>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[БюджетБарда.xlsx]Здоровье!$B$1</c:f>
              <c:strCache>
                <c:ptCount val="1"/>
                <c:pt idx="0">
                  <c:v>План</c:v>
                </c:pt>
              </c:strCache>
            </c:strRef>
          </c:tx>
          <c:dLbls>
            <c:dLbl>
              <c:idx val="1"/>
              <c:layout>
                <c:manualLayout>
                  <c:x val="-4.6598886690220505E-3"/>
                  <c:y val="-2.064564625587144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524-436F-8C80-C35ED6721FBE}"/>
                </c:ext>
              </c:extLst>
            </c:dLbl>
            <c:dLbl>
              <c:idx val="2"/>
              <c:layout>
                <c:manualLayout>
                  <c:x val="6.9898330035331989E-3"/>
                  <c:y val="-1.23873877535228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524-436F-8C80-C35ED6721F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[БюджетБарда.xlsx]Здоровье!$A$2:$A$7</c:f>
              <c:strCache>
                <c:ptCount val="6"/>
                <c:pt idx="0">
                  <c:v>2011 год</c:v>
                </c:pt>
                <c:pt idx="1">
                  <c:v>2012 год</c:v>
                </c:pt>
                <c:pt idx="2">
                  <c:v>2013 год</c:v>
                </c:pt>
                <c:pt idx="3">
                  <c:v>2014 год</c:v>
                </c:pt>
                <c:pt idx="4">
                  <c:v>2015 год</c:v>
                </c:pt>
                <c:pt idx="5">
                  <c:v>2016 год</c:v>
                </c:pt>
              </c:strCache>
            </c:strRef>
          </c:cat>
          <c:val>
            <c:numRef>
              <c:f>[БюджетБарда.xlsx]Здоровье!$B$2:$B$7</c:f>
              <c:numCache>
                <c:formatCode>General</c:formatCode>
                <c:ptCount val="6"/>
                <c:pt idx="0">
                  <c:v>31646.400000000001</c:v>
                </c:pt>
                <c:pt idx="1">
                  <c:v>38025</c:v>
                </c:pt>
                <c:pt idx="2">
                  <c:v>28604.2</c:v>
                </c:pt>
                <c:pt idx="3">
                  <c:v>76.099999999999994</c:v>
                </c:pt>
                <c:pt idx="4">
                  <c:v>0</c:v>
                </c:pt>
                <c:pt idx="5">
                  <c:v>0</c:v>
                </c:pt>
              </c:numCache>
            </c:numRef>
          </c:val>
          <c:extLst xmlns:c16r2="http://schemas.microsoft.com/office/drawing/2015/06/chart">
            <c:ext xmlns:c16="http://schemas.microsoft.com/office/drawing/2014/chart" uri="{C3380CC4-5D6E-409C-BE32-E72D297353CC}">
              <c16:uniqueId val="{00000002-9524-436F-8C80-C35ED6721FBE}"/>
            </c:ext>
          </c:extLst>
        </c:ser>
        <c:ser>
          <c:idx val="1"/>
          <c:order val="1"/>
          <c:tx>
            <c:strRef>
              <c:f>[БюджетБарда.xlsx]Здоровье!$C$1</c:f>
              <c:strCache>
                <c:ptCount val="1"/>
                <c:pt idx="0">
                  <c:v>Факт</c:v>
                </c:pt>
              </c:strCache>
            </c:strRef>
          </c:tx>
          <c:dLbls>
            <c:dLbl>
              <c:idx val="1"/>
              <c:layout>
                <c:manualLayout>
                  <c:x val="-1.3979666007066153E-2"/>
                  <c:y val="3.716216326056854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524-436F-8C80-C35ED6721FBE}"/>
                </c:ext>
              </c:extLst>
            </c:dLbl>
            <c:dLbl>
              <c:idx val="2"/>
              <c:layout>
                <c:manualLayout>
                  <c:x val="0"/>
                  <c:y val="2.477477550704569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524-436F-8C80-C35ED6721FB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[БюджетБарда.xlsx]Здоровье!$A$2:$A$7</c:f>
              <c:strCache>
                <c:ptCount val="6"/>
                <c:pt idx="0">
                  <c:v>2011 год</c:v>
                </c:pt>
                <c:pt idx="1">
                  <c:v>2012 год</c:v>
                </c:pt>
                <c:pt idx="2">
                  <c:v>2013 год</c:v>
                </c:pt>
                <c:pt idx="3">
                  <c:v>2014 год</c:v>
                </c:pt>
                <c:pt idx="4">
                  <c:v>2015 год</c:v>
                </c:pt>
                <c:pt idx="5">
                  <c:v>2016 год</c:v>
                </c:pt>
              </c:strCache>
            </c:strRef>
          </c:cat>
          <c:val>
            <c:numRef>
              <c:f>[БюджетБарда.xlsx]Здоровье!$C$2:$C$7</c:f>
              <c:numCache>
                <c:formatCode>General</c:formatCode>
                <c:ptCount val="6"/>
                <c:pt idx="0">
                  <c:v>27316.2</c:v>
                </c:pt>
                <c:pt idx="1">
                  <c:v>36145.9</c:v>
                </c:pt>
                <c:pt idx="2">
                  <c:v>25921.8</c:v>
                </c:pt>
                <c:pt idx="3">
                  <c:v>76.099999999999994</c:v>
                </c:pt>
                <c:pt idx="4">
                  <c:v>0</c:v>
                </c:pt>
                <c:pt idx="5">
                  <c:v>0</c:v>
                </c:pt>
              </c:numCache>
            </c:numRef>
          </c:val>
          <c:extLst xmlns:c16r2="http://schemas.microsoft.com/office/drawing/2015/06/chart">
            <c:ext xmlns:c16="http://schemas.microsoft.com/office/drawing/2014/chart" uri="{C3380CC4-5D6E-409C-BE32-E72D297353CC}">
              <c16:uniqueId val="{00000005-9524-436F-8C80-C35ED6721FBE}"/>
            </c:ext>
          </c:extLst>
        </c:ser>
        <c:upDownBars>
          <c:gapWidth val="150"/>
          <c:upBars>
            <c:spPr>
              <a:gradFill>
                <a:gsLst>
                  <a:gs pos="0">
                    <a:srgbClr val="FFFF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77739648"/>
        <c:axId val="177741184"/>
      </c:lineChart>
      <c:catAx>
        <c:axId val="177739648"/>
        <c:scaling>
          <c:orientation val="minMax"/>
        </c:scaling>
        <c:axPos val="b"/>
        <c:numFmt formatCode="General" sourceLinked="0"/>
        <c:tickLblPos val="nextTo"/>
        <c:crossAx val="177741184"/>
        <c:crosses val="autoZero"/>
        <c:auto val="1"/>
        <c:lblAlgn val="ctr"/>
        <c:lblOffset val="100"/>
      </c:catAx>
      <c:valAx>
        <c:axId val="177741184"/>
        <c:scaling>
          <c:orientation val="minMax"/>
        </c:scaling>
        <c:axPos val="l"/>
        <c:majorGridlines>
          <c:spPr>
            <a:ln w="0">
              <a:solidFill>
                <a:schemeClr val="bg1"/>
              </a:solidFill>
            </a:ln>
          </c:spPr>
        </c:majorGridlines>
        <c:numFmt formatCode="General" sourceLinked="1"/>
        <c:tickLblPos val="nextTo"/>
        <c:crossAx val="177739648"/>
        <c:crosses val="autoZero"/>
        <c:crossBetween val="between"/>
      </c:valAx>
      <c:spPr>
        <a:ln>
          <a:noFill/>
        </a:ln>
      </c:spPr>
    </c:plotArea>
    <c:legend>
      <c:legendPos val="b"/>
    </c:legend>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демография!$G$216</c:f>
              <c:strCache>
                <c:ptCount val="1"/>
                <c:pt idx="0">
                  <c:v>Число родившихся, человек</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демография!$F$217:$F$223</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демография!$G$217:$G$223</c:f>
              <c:numCache>
                <c:formatCode>General</c:formatCode>
                <c:ptCount val="7"/>
                <c:pt idx="0">
                  <c:v>414</c:v>
                </c:pt>
                <c:pt idx="1">
                  <c:v>477</c:v>
                </c:pt>
                <c:pt idx="2">
                  <c:v>459</c:v>
                </c:pt>
                <c:pt idx="3">
                  <c:v>495</c:v>
                </c:pt>
                <c:pt idx="4">
                  <c:v>441</c:v>
                </c:pt>
                <c:pt idx="5">
                  <c:v>411</c:v>
                </c:pt>
                <c:pt idx="6">
                  <c:v>350</c:v>
                </c:pt>
              </c:numCache>
            </c:numRef>
          </c:val>
          <c:extLst xmlns:c16r2="http://schemas.microsoft.com/office/drawing/2015/06/chart">
            <c:ext xmlns:c16="http://schemas.microsoft.com/office/drawing/2014/chart" uri="{C3380CC4-5D6E-409C-BE32-E72D297353CC}">
              <c16:uniqueId val="{00000000-0D46-47F4-9C15-F93E582E4736}"/>
            </c:ext>
          </c:extLst>
        </c:ser>
        <c:ser>
          <c:idx val="1"/>
          <c:order val="1"/>
          <c:tx>
            <c:strRef>
              <c:f>демография!$H$216</c:f>
              <c:strCache>
                <c:ptCount val="1"/>
                <c:pt idx="0">
                  <c:v>Число умерших, человек</c:v>
                </c:pt>
              </c:strCache>
            </c:strRef>
          </c:tx>
          <c:spPr>
            <a:solidFill>
              <a:schemeClr val="accent2"/>
            </a:solidFill>
            <a:ln>
              <a:noFill/>
            </a:ln>
            <a:effectLst/>
          </c:spPr>
          <c:dLbls>
            <c:dLbl>
              <c:idx val="1"/>
              <c:layout>
                <c:manualLayout>
                  <c:x val="1.1111111111111125E-2"/>
                  <c:y val="-9.259259259259487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D46-47F4-9C15-F93E582E4736}"/>
                </c:ext>
              </c:extLst>
            </c:dLbl>
            <c:dLbl>
              <c:idx val="2"/>
              <c:layout>
                <c:manualLayout>
                  <c:x val="1.3888888888889089E-2"/>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D46-47F4-9C15-F93E582E4736}"/>
                </c:ext>
              </c:extLst>
            </c:dLbl>
            <c:dLbl>
              <c:idx val="3"/>
              <c:layout>
                <c:manualLayout>
                  <c:x val="1.66666666666667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D46-47F4-9C15-F93E582E473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демография!$F$217:$F$223</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демография!$H$217:$H$223</c:f>
              <c:numCache>
                <c:formatCode>General</c:formatCode>
                <c:ptCount val="7"/>
                <c:pt idx="0">
                  <c:v>469</c:v>
                </c:pt>
                <c:pt idx="1">
                  <c:v>465</c:v>
                </c:pt>
                <c:pt idx="2">
                  <c:v>470</c:v>
                </c:pt>
                <c:pt idx="3">
                  <c:v>477</c:v>
                </c:pt>
                <c:pt idx="4">
                  <c:v>477</c:v>
                </c:pt>
                <c:pt idx="5">
                  <c:v>432</c:v>
                </c:pt>
                <c:pt idx="6">
                  <c:v>440</c:v>
                </c:pt>
              </c:numCache>
            </c:numRef>
          </c:val>
          <c:extLst xmlns:c16r2="http://schemas.microsoft.com/office/drawing/2015/06/chart">
            <c:ext xmlns:c16="http://schemas.microsoft.com/office/drawing/2014/chart" uri="{C3380CC4-5D6E-409C-BE32-E72D297353CC}">
              <c16:uniqueId val="{00000004-0D46-47F4-9C15-F93E582E4736}"/>
            </c:ext>
          </c:extLst>
        </c:ser>
        <c:gapWidth val="219"/>
        <c:overlap val="-27"/>
        <c:axId val="196399104"/>
        <c:axId val="196400640"/>
      </c:barChart>
      <c:catAx>
        <c:axId val="1963991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400640"/>
        <c:crosses val="autoZero"/>
        <c:auto val="1"/>
        <c:lblAlgn val="ctr"/>
        <c:lblOffset val="100"/>
      </c:catAx>
      <c:valAx>
        <c:axId val="1964006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3991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18285214348209"/>
          <c:y val="5.1400554097404488E-2"/>
          <c:w val="0.68310870516185451"/>
          <c:h val="0.79822506561679785"/>
        </c:manualLayout>
      </c:layout>
      <c:lineChart>
        <c:grouping val="standard"/>
        <c:ser>
          <c:idx val="0"/>
          <c:order val="0"/>
          <c:tx>
            <c:strRef>
              <c:f>Культура!$B$1</c:f>
              <c:strCache>
                <c:ptCount val="1"/>
                <c:pt idx="0">
                  <c:v>План</c:v>
                </c:pt>
              </c:strCache>
            </c:strRef>
          </c:tx>
          <c:dLbls>
            <c:dLbl>
              <c:idx val="0"/>
              <c:layout>
                <c:manualLayout>
                  <c:x val="-4.5988292083478884E-2"/>
                  <c:y val="-4.06091095554223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0B6-46B3-86B8-ADF85EB28B04}"/>
                </c:ext>
              </c:extLst>
            </c:dLbl>
            <c:dLbl>
              <c:idx val="2"/>
              <c:layout>
                <c:manualLayout>
                  <c:x val="0"/>
                  <c:y val="-3.3840947546531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0B6-46B3-86B8-ADF85EB28B04}"/>
                </c:ext>
              </c:extLst>
            </c:dLbl>
            <c:dLbl>
              <c:idx val="3"/>
              <c:layout>
                <c:manualLayout>
                  <c:x val="0"/>
                  <c:y val="-2.030456852791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B6-46B3-86B8-ADF85EB28B04}"/>
                </c:ext>
              </c:extLst>
            </c:dLbl>
            <c:dLbl>
              <c:idx val="4"/>
              <c:layout>
                <c:manualLayout>
                  <c:x val="0"/>
                  <c:y val="-2.03045685279187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B6-46B3-86B8-ADF85EB28B04}"/>
                </c:ext>
              </c:extLst>
            </c:dLbl>
            <c:dLbl>
              <c:idx val="5"/>
              <c:layout>
                <c:manualLayout>
                  <c:x val="0"/>
                  <c:y val="-3.72250423011844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B6-46B3-86B8-ADF85EB28B0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Культура!$A$2:$A$7</c:f>
              <c:strCache>
                <c:ptCount val="6"/>
                <c:pt idx="0">
                  <c:v>2011 год</c:v>
                </c:pt>
                <c:pt idx="1">
                  <c:v>2012 год</c:v>
                </c:pt>
                <c:pt idx="2">
                  <c:v>2013 год</c:v>
                </c:pt>
                <c:pt idx="3">
                  <c:v>2014 год</c:v>
                </c:pt>
                <c:pt idx="4">
                  <c:v>2015 год</c:v>
                </c:pt>
                <c:pt idx="5">
                  <c:v>2016 год</c:v>
                </c:pt>
              </c:strCache>
            </c:strRef>
          </c:cat>
          <c:val>
            <c:numRef>
              <c:f>Культура!$B$2:$B$7</c:f>
              <c:numCache>
                <c:formatCode>General</c:formatCode>
                <c:ptCount val="6"/>
                <c:pt idx="0">
                  <c:v>8159</c:v>
                </c:pt>
                <c:pt idx="1">
                  <c:v>26223.1</c:v>
                </c:pt>
                <c:pt idx="2">
                  <c:v>20267.5</c:v>
                </c:pt>
                <c:pt idx="3">
                  <c:v>18533.400000000001</c:v>
                </c:pt>
                <c:pt idx="4">
                  <c:v>16602.8</c:v>
                </c:pt>
                <c:pt idx="5">
                  <c:v>52480.4</c:v>
                </c:pt>
              </c:numCache>
            </c:numRef>
          </c:val>
          <c:extLst xmlns:c16r2="http://schemas.microsoft.com/office/drawing/2015/06/chart">
            <c:ext xmlns:c16="http://schemas.microsoft.com/office/drawing/2014/chart" uri="{C3380CC4-5D6E-409C-BE32-E72D297353CC}">
              <c16:uniqueId val="{00000005-D0B6-46B3-86B8-ADF85EB28B04}"/>
            </c:ext>
          </c:extLst>
        </c:ser>
        <c:ser>
          <c:idx val="1"/>
          <c:order val="1"/>
          <c:tx>
            <c:strRef>
              <c:f>Культура!$C$1</c:f>
              <c:strCache>
                <c:ptCount val="1"/>
                <c:pt idx="0">
                  <c:v>Факт</c:v>
                </c:pt>
              </c:strCache>
            </c:strRef>
          </c:tx>
          <c:dLbls>
            <c:dLbl>
              <c:idx val="0"/>
              <c:layout>
                <c:manualLayout>
                  <c:x val="-4.2862421459745136E-2"/>
                  <c:y val="3.40091405439902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B6-46B3-86B8-ADF85EB28B04}"/>
                </c:ext>
              </c:extLst>
            </c:dLbl>
            <c:dLbl>
              <c:idx val="1"/>
              <c:layout>
                <c:manualLayout>
                  <c:x val="-6.3091482649842981E-3"/>
                  <c:y val="4.0609137055837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B6-46B3-86B8-ADF85EB28B04}"/>
                </c:ext>
              </c:extLst>
            </c:dLbl>
            <c:dLbl>
              <c:idx val="2"/>
              <c:layout>
                <c:manualLayout>
                  <c:x val="0"/>
                  <c:y val="4.0609137055837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0B6-46B3-86B8-ADF85EB28B04}"/>
                </c:ext>
              </c:extLst>
            </c:dLbl>
            <c:dLbl>
              <c:idx val="3"/>
              <c:layout>
                <c:manualLayout>
                  <c:x val="0"/>
                  <c:y val="4.39932318104917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0B6-46B3-86B8-ADF85EB28B04}"/>
                </c:ext>
              </c:extLst>
            </c:dLbl>
            <c:dLbl>
              <c:idx val="4"/>
              <c:layout>
                <c:manualLayout>
                  <c:x val="0"/>
                  <c:y val="3.3840947546531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0B6-46B3-86B8-ADF85EB28B04}"/>
                </c:ext>
              </c:extLst>
            </c:dLbl>
            <c:dLbl>
              <c:idx val="5"/>
              <c:layout>
                <c:manualLayout>
                  <c:x val="2.1030494216614211E-3"/>
                  <c:y val="2.7072758037225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0B6-46B3-86B8-ADF85EB28B0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Культура!$A$2:$A$7</c:f>
              <c:strCache>
                <c:ptCount val="6"/>
                <c:pt idx="0">
                  <c:v>2011 год</c:v>
                </c:pt>
                <c:pt idx="1">
                  <c:v>2012 год</c:v>
                </c:pt>
                <c:pt idx="2">
                  <c:v>2013 год</c:v>
                </c:pt>
                <c:pt idx="3">
                  <c:v>2014 год</c:v>
                </c:pt>
                <c:pt idx="4">
                  <c:v>2015 год</c:v>
                </c:pt>
                <c:pt idx="5">
                  <c:v>2016 год</c:v>
                </c:pt>
              </c:strCache>
            </c:strRef>
          </c:cat>
          <c:val>
            <c:numRef>
              <c:f>Культура!$C$2:$C$7</c:f>
              <c:numCache>
                <c:formatCode>General</c:formatCode>
                <c:ptCount val="6"/>
                <c:pt idx="0">
                  <c:v>8133.4</c:v>
                </c:pt>
                <c:pt idx="1">
                  <c:v>19547.7</c:v>
                </c:pt>
                <c:pt idx="2">
                  <c:v>19598.3</c:v>
                </c:pt>
                <c:pt idx="3">
                  <c:v>18289.5</c:v>
                </c:pt>
                <c:pt idx="4">
                  <c:v>16544</c:v>
                </c:pt>
                <c:pt idx="5">
                  <c:v>52446.2</c:v>
                </c:pt>
              </c:numCache>
            </c:numRef>
          </c:val>
          <c:extLst xmlns:c16r2="http://schemas.microsoft.com/office/drawing/2015/06/chart">
            <c:ext xmlns:c16="http://schemas.microsoft.com/office/drawing/2014/chart" uri="{C3380CC4-5D6E-409C-BE32-E72D297353CC}">
              <c16:uniqueId val="{0000000C-D0B6-46B3-86B8-ADF85EB28B04}"/>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77804416"/>
        <c:axId val="177805952"/>
      </c:lineChart>
      <c:catAx>
        <c:axId val="177804416"/>
        <c:scaling>
          <c:orientation val="minMax"/>
        </c:scaling>
        <c:axPos val="b"/>
        <c:numFmt formatCode="General" sourceLinked="0"/>
        <c:tickLblPos val="nextTo"/>
        <c:crossAx val="177805952"/>
        <c:crosses val="autoZero"/>
        <c:auto val="1"/>
        <c:lblAlgn val="ctr"/>
        <c:lblOffset val="100"/>
      </c:catAx>
      <c:valAx>
        <c:axId val="177805952"/>
        <c:scaling>
          <c:orientation val="minMax"/>
        </c:scaling>
        <c:axPos val="l"/>
        <c:majorGridlines>
          <c:spPr>
            <a:ln w="0">
              <a:solidFill>
                <a:schemeClr val="bg1"/>
              </a:solidFill>
            </a:ln>
          </c:spPr>
        </c:majorGridlines>
        <c:numFmt formatCode="General" sourceLinked="1"/>
        <c:tickLblPos val="nextTo"/>
        <c:crossAx val="177804416"/>
        <c:crosses val="autoZero"/>
        <c:crossBetween val="between"/>
      </c:valAx>
    </c:plotArea>
    <c:legend>
      <c:legendPos val="b"/>
    </c:legend>
    <c:plotVisOnly val="1"/>
    <c:dispBlanksAs val="gap"/>
  </c:chart>
  <c:spPr>
    <a:ln>
      <a:noFill/>
    </a:ln>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Безопасность!$B$1</c:f>
              <c:strCache>
                <c:ptCount val="1"/>
                <c:pt idx="0">
                  <c:v>План</c:v>
                </c:pt>
              </c:strCache>
            </c:strRef>
          </c:tx>
          <c:dLbls>
            <c:dLbl>
              <c:idx val="0"/>
              <c:layout>
                <c:manualLayout>
                  <c:x val="-5.5555555555555455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89C-41E0-BFD2-32DF5800B4E3}"/>
                </c:ext>
              </c:extLst>
            </c:dLbl>
            <c:dLbl>
              <c:idx val="1"/>
              <c:layout>
                <c:manualLayout>
                  <c:x val="-2.7777777777778307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89C-41E0-BFD2-32DF5800B4E3}"/>
                </c:ext>
              </c:extLst>
            </c:dLbl>
            <c:dLbl>
              <c:idx val="2"/>
              <c:layout>
                <c:manualLayout>
                  <c:x val="-2.2222222222222251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89C-41E0-BFD2-32DF5800B4E3}"/>
                </c:ext>
              </c:extLst>
            </c:dLbl>
            <c:dLbl>
              <c:idx val="3"/>
              <c:layout>
                <c:manualLayout>
                  <c:x val="-1.9444444444444445E-2"/>
                  <c:y val="3.24074074074078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89C-41E0-BFD2-32DF5800B4E3}"/>
                </c:ext>
              </c:extLst>
            </c:dLbl>
            <c:dLbl>
              <c:idx val="4"/>
              <c:layout>
                <c:manualLayout>
                  <c:x val="-3.055577427821525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89C-41E0-BFD2-32DF5800B4E3}"/>
                </c:ext>
              </c:extLst>
            </c:dLbl>
            <c:dLbl>
              <c:idx val="5"/>
              <c:layout>
                <c:manualLayout>
                  <c:x val="-3.888888888888889E-2"/>
                  <c:y val="-6.481481481481572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89C-41E0-BFD2-32DF5800B4E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Безопасность!$A$2:$A$7</c:f>
              <c:strCache>
                <c:ptCount val="6"/>
                <c:pt idx="0">
                  <c:v>2011 год</c:v>
                </c:pt>
                <c:pt idx="1">
                  <c:v>2012 год</c:v>
                </c:pt>
                <c:pt idx="2">
                  <c:v>2013 год</c:v>
                </c:pt>
                <c:pt idx="3">
                  <c:v>2014 год</c:v>
                </c:pt>
                <c:pt idx="4">
                  <c:v>2015 год</c:v>
                </c:pt>
                <c:pt idx="5">
                  <c:v>2016 год</c:v>
                </c:pt>
              </c:strCache>
            </c:strRef>
          </c:cat>
          <c:val>
            <c:numRef>
              <c:f>Безопасность!$B$2:$B$7</c:f>
              <c:numCache>
                <c:formatCode>General</c:formatCode>
                <c:ptCount val="6"/>
                <c:pt idx="0">
                  <c:v>28651.599999999897</c:v>
                </c:pt>
                <c:pt idx="1">
                  <c:v>2110.4</c:v>
                </c:pt>
                <c:pt idx="2">
                  <c:v>1418.7</c:v>
                </c:pt>
                <c:pt idx="3">
                  <c:v>1248.9000000000001</c:v>
                </c:pt>
                <c:pt idx="4">
                  <c:v>1395.8</c:v>
                </c:pt>
                <c:pt idx="5">
                  <c:v>1876.7</c:v>
                </c:pt>
              </c:numCache>
            </c:numRef>
          </c:val>
          <c:extLst xmlns:c16r2="http://schemas.microsoft.com/office/drawing/2015/06/chart">
            <c:ext xmlns:c16="http://schemas.microsoft.com/office/drawing/2014/chart" uri="{C3380CC4-5D6E-409C-BE32-E72D297353CC}">
              <c16:uniqueId val="{00000006-889C-41E0-BFD2-32DF5800B4E3}"/>
            </c:ext>
          </c:extLst>
        </c:ser>
        <c:ser>
          <c:idx val="1"/>
          <c:order val="1"/>
          <c:tx>
            <c:strRef>
              <c:f>Безопасность!$C$1</c:f>
              <c:strCache>
                <c:ptCount val="1"/>
                <c:pt idx="0">
                  <c:v>Факт</c:v>
                </c:pt>
              </c:strCache>
            </c:strRef>
          </c:tx>
          <c:dLbls>
            <c:dLbl>
              <c:idx val="0"/>
              <c:layout>
                <c:manualLayout>
                  <c:x val="-0.05"/>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89C-41E0-BFD2-32DF5800B4E3}"/>
                </c:ext>
              </c:extLst>
            </c:dLbl>
            <c:dLbl>
              <c:idx val="1"/>
              <c:layout>
                <c:manualLayout>
                  <c:x val="-4.4444444444444502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89C-41E0-BFD2-32DF5800B4E3}"/>
                </c:ext>
              </c:extLst>
            </c:dLbl>
            <c:dLbl>
              <c:idx val="2"/>
              <c:layout>
                <c:manualLayout>
                  <c:x val="-3.0555555555555582E-2"/>
                  <c:y val="6.4814450277049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89C-41E0-BFD2-32DF5800B4E3}"/>
                </c:ext>
              </c:extLst>
            </c:dLbl>
            <c:dLbl>
              <c:idx val="3"/>
              <c:layout>
                <c:manualLayout>
                  <c:x val="-1.9444444444444445E-2"/>
                  <c:y val="-7.87037037037038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89C-41E0-BFD2-32DF5800B4E3}"/>
                </c:ext>
              </c:extLst>
            </c:dLbl>
            <c:dLbl>
              <c:idx val="4"/>
              <c:layout>
                <c:manualLayout>
                  <c:x val="-3.333355205599300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89C-41E0-BFD2-32DF5800B4E3}"/>
                </c:ext>
              </c:extLst>
            </c:dLbl>
            <c:dLbl>
              <c:idx val="5"/>
              <c:layout>
                <c:manualLayout>
                  <c:x val="-3.888888888888889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89C-41E0-BFD2-32DF5800B4E3}"/>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Безопасность!$A$2:$A$7</c:f>
              <c:strCache>
                <c:ptCount val="6"/>
                <c:pt idx="0">
                  <c:v>2011 год</c:v>
                </c:pt>
                <c:pt idx="1">
                  <c:v>2012 год</c:v>
                </c:pt>
                <c:pt idx="2">
                  <c:v>2013 год</c:v>
                </c:pt>
                <c:pt idx="3">
                  <c:v>2014 год</c:v>
                </c:pt>
                <c:pt idx="4">
                  <c:v>2015 год</c:v>
                </c:pt>
                <c:pt idx="5">
                  <c:v>2016 год</c:v>
                </c:pt>
              </c:strCache>
            </c:strRef>
          </c:cat>
          <c:val>
            <c:numRef>
              <c:f>Безопасность!$C$2:$C$7</c:f>
              <c:numCache>
                <c:formatCode>General</c:formatCode>
                <c:ptCount val="6"/>
                <c:pt idx="0">
                  <c:v>28651.599999999897</c:v>
                </c:pt>
                <c:pt idx="1">
                  <c:v>2077.9</c:v>
                </c:pt>
                <c:pt idx="2">
                  <c:v>1415.5</c:v>
                </c:pt>
                <c:pt idx="3">
                  <c:v>1248.9000000000001</c:v>
                </c:pt>
                <c:pt idx="4">
                  <c:v>1336.9</c:v>
                </c:pt>
                <c:pt idx="5">
                  <c:v>1871.4</c:v>
                </c:pt>
              </c:numCache>
            </c:numRef>
          </c:val>
          <c:extLst xmlns:c16r2="http://schemas.microsoft.com/office/drawing/2015/06/chart">
            <c:ext xmlns:c16="http://schemas.microsoft.com/office/drawing/2014/chart" uri="{C3380CC4-5D6E-409C-BE32-E72D297353CC}">
              <c16:uniqueId val="{0000000D-889C-41E0-BFD2-32DF5800B4E3}"/>
            </c:ext>
          </c:extLst>
        </c:ser>
        <c:upDownBars>
          <c:gapWidth val="150"/>
          <c:upBars/>
          <c:downBars>
            <c:spPr>
              <a:solidFill>
                <a:srgbClr val="92D050"/>
              </a:solidFill>
            </c:spPr>
          </c:downBars>
        </c:upDownBars>
        <c:marker val="1"/>
        <c:axId val="177877376"/>
        <c:axId val="177878912"/>
      </c:lineChart>
      <c:catAx>
        <c:axId val="177877376"/>
        <c:scaling>
          <c:orientation val="minMax"/>
        </c:scaling>
        <c:axPos val="b"/>
        <c:numFmt formatCode="General" sourceLinked="0"/>
        <c:tickLblPos val="nextTo"/>
        <c:crossAx val="177878912"/>
        <c:crosses val="autoZero"/>
        <c:auto val="1"/>
        <c:lblAlgn val="ctr"/>
        <c:lblOffset val="100"/>
      </c:catAx>
      <c:valAx>
        <c:axId val="177878912"/>
        <c:scaling>
          <c:orientation val="minMax"/>
        </c:scaling>
        <c:axPos val="l"/>
        <c:majorGridlines/>
        <c:numFmt formatCode="General" sourceLinked="1"/>
        <c:tickLblPos val="nextTo"/>
        <c:crossAx val="177877376"/>
        <c:crosses val="autoZero"/>
        <c:crossBetween val="between"/>
      </c:valAx>
    </c:plotArea>
    <c:legend>
      <c:legendPos val="b"/>
    </c:legend>
    <c:plotVisOnly val="1"/>
    <c:dispBlanksAs val="gap"/>
  </c:chart>
  <c:spPr>
    <a:ln>
      <a:noFill/>
    </a:ln>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[БюджетБарда.xlsx]Экономика!$B$1</c:f>
              <c:strCache>
                <c:ptCount val="1"/>
                <c:pt idx="0">
                  <c:v>План</c:v>
                </c:pt>
              </c:strCache>
            </c:strRef>
          </c:tx>
          <c:dLbls>
            <c:dLbl>
              <c:idx val="0"/>
              <c:layout>
                <c:manualLayout>
                  <c:x val="-4.1809562209007257E-2"/>
                  <c:y val="-3.965983715472225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6CA-411E-B7E6-51E584D83D0B}"/>
                </c:ext>
              </c:extLst>
            </c:dLbl>
            <c:dLbl>
              <c:idx val="1"/>
              <c:layout>
                <c:manualLayout>
                  <c:x val="4.4769527588644507E-17"/>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6CA-411E-B7E6-51E584D83D0B}"/>
                </c:ext>
              </c:extLst>
            </c:dLbl>
            <c:dLbl>
              <c:idx val="2"/>
              <c:layout>
                <c:manualLayout>
                  <c:x val="-5.2060615375072332E-2"/>
                  <c:y val="-3.096397616554761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6CA-411E-B7E6-51E584D83D0B}"/>
                </c:ext>
              </c:extLst>
            </c:dLbl>
            <c:dLbl>
              <c:idx val="3"/>
              <c:layout>
                <c:manualLayout>
                  <c:x val="-2.6406039289899416E-2"/>
                  <c:y val="-3.55935079613602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6CA-411E-B7E6-51E584D83D0B}"/>
                </c:ext>
              </c:extLst>
            </c:dLbl>
            <c:dLbl>
              <c:idx val="4"/>
              <c:layout>
                <c:manualLayout>
                  <c:x val="-3.7408555660690755E-2"/>
                  <c:y val="-4.47296211269823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6CA-411E-B7E6-51E584D83D0B}"/>
                </c:ext>
              </c:extLst>
            </c:dLbl>
            <c:dLbl>
              <c:idx val="5"/>
              <c:layout>
                <c:manualLayout>
                  <c:x val="-3.0055582633489546E-2"/>
                  <c:y val="-4.77924955414474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6CA-411E-B7E6-51E584D83D0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[БюджетБарда.xlsx]Экономика!$A$2:$A$7</c:f>
              <c:strCache>
                <c:ptCount val="6"/>
                <c:pt idx="0">
                  <c:v>2011 год</c:v>
                </c:pt>
                <c:pt idx="1">
                  <c:v>2012 год</c:v>
                </c:pt>
                <c:pt idx="2">
                  <c:v>2013 год</c:v>
                </c:pt>
                <c:pt idx="3">
                  <c:v>2014 год</c:v>
                </c:pt>
                <c:pt idx="4">
                  <c:v>2015 год</c:v>
                </c:pt>
                <c:pt idx="5">
                  <c:v>2016 год</c:v>
                </c:pt>
              </c:strCache>
            </c:strRef>
          </c:cat>
          <c:val>
            <c:numRef>
              <c:f>[БюджетБарда.xlsx]Экономика!$B$2:$B$7</c:f>
              <c:numCache>
                <c:formatCode>General</c:formatCode>
                <c:ptCount val="6"/>
                <c:pt idx="0">
                  <c:v>42700</c:v>
                </c:pt>
                <c:pt idx="1">
                  <c:v>80814.8</c:v>
                </c:pt>
                <c:pt idx="2">
                  <c:v>79461.600000000006</c:v>
                </c:pt>
                <c:pt idx="3">
                  <c:v>73895.7</c:v>
                </c:pt>
                <c:pt idx="4">
                  <c:v>66562.600000000006</c:v>
                </c:pt>
                <c:pt idx="5">
                  <c:v>55492</c:v>
                </c:pt>
              </c:numCache>
            </c:numRef>
          </c:val>
          <c:extLst xmlns:c16r2="http://schemas.microsoft.com/office/drawing/2015/06/chart">
            <c:ext xmlns:c16="http://schemas.microsoft.com/office/drawing/2014/chart" uri="{C3380CC4-5D6E-409C-BE32-E72D297353CC}">
              <c16:uniqueId val="{00000006-56CA-411E-B7E6-51E584D83D0B}"/>
            </c:ext>
          </c:extLst>
        </c:ser>
        <c:ser>
          <c:idx val="1"/>
          <c:order val="1"/>
          <c:tx>
            <c:strRef>
              <c:f>[БюджетБарда.xlsx]Экономика!$C$1</c:f>
              <c:strCache>
                <c:ptCount val="1"/>
                <c:pt idx="0">
                  <c:v>Факт</c:v>
                </c:pt>
              </c:strCache>
            </c:strRef>
          </c:tx>
          <c:dLbls>
            <c:dLbl>
              <c:idx val="0"/>
              <c:layout>
                <c:manualLayout>
                  <c:x val="-4.1809562209007257E-2"/>
                  <c:y val="5.69286087070673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6CA-411E-B7E6-51E584D83D0B}"/>
                </c:ext>
              </c:extLst>
            </c:dLbl>
            <c:dLbl>
              <c:idx val="1"/>
              <c:layout>
                <c:manualLayout>
                  <c:x val="0"/>
                  <c:y val="-4.16666666666666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6CA-411E-B7E6-51E584D83D0B}"/>
                </c:ext>
              </c:extLst>
            </c:dLbl>
            <c:dLbl>
              <c:idx val="2"/>
              <c:layout>
                <c:manualLayout>
                  <c:x val="-4.9925780663190096E-2"/>
                  <c:y val="6.756093890580597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6CA-411E-B7E6-51E584D83D0B}"/>
                </c:ext>
              </c:extLst>
            </c:dLbl>
            <c:dLbl>
              <c:idx val="3"/>
              <c:layout>
                <c:manualLayout>
                  <c:x val="-4.2746941950204509E-2"/>
                  <c:y val="5.592515392817005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56CA-411E-B7E6-51E584D83D0B}"/>
                </c:ext>
              </c:extLst>
            </c:dLbl>
            <c:dLbl>
              <c:idx val="4"/>
              <c:layout>
                <c:manualLayout>
                  <c:x val="-3.9609058934848985E-2"/>
                  <c:y val="4.472962112698234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6CA-411E-B7E6-51E584D83D0B}"/>
                </c:ext>
              </c:extLst>
            </c:dLbl>
            <c:dLbl>
              <c:idx val="5"/>
              <c:layout>
                <c:manualLayout>
                  <c:x val="-3.5208052386532435E-2"/>
                  <c:y val="5.286227951370616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56CA-411E-B7E6-51E584D83D0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[БюджетБарда.xlsx]Экономика!$A$2:$A$7</c:f>
              <c:strCache>
                <c:ptCount val="6"/>
                <c:pt idx="0">
                  <c:v>2011 год</c:v>
                </c:pt>
                <c:pt idx="1">
                  <c:v>2012 год</c:v>
                </c:pt>
                <c:pt idx="2">
                  <c:v>2013 год</c:v>
                </c:pt>
                <c:pt idx="3">
                  <c:v>2014 год</c:v>
                </c:pt>
                <c:pt idx="4">
                  <c:v>2015 год</c:v>
                </c:pt>
                <c:pt idx="5">
                  <c:v>2016 год</c:v>
                </c:pt>
              </c:strCache>
            </c:strRef>
          </c:cat>
          <c:val>
            <c:numRef>
              <c:f>[БюджетБарда.xlsx]Экономика!$C$2:$C$7</c:f>
              <c:numCache>
                <c:formatCode>General</c:formatCode>
                <c:ptCount val="6"/>
                <c:pt idx="0">
                  <c:v>40034.699999999997</c:v>
                </c:pt>
                <c:pt idx="1">
                  <c:v>62943.1</c:v>
                </c:pt>
                <c:pt idx="2">
                  <c:v>73121.5</c:v>
                </c:pt>
                <c:pt idx="3">
                  <c:v>60846</c:v>
                </c:pt>
                <c:pt idx="4">
                  <c:v>57057.599999999999</c:v>
                </c:pt>
                <c:pt idx="5">
                  <c:v>53196.2</c:v>
                </c:pt>
              </c:numCache>
            </c:numRef>
          </c:val>
          <c:extLst xmlns:c16r2="http://schemas.microsoft.com/office/drawing/2015/06/chart">
            <c:ext xmlns:c16="http://schemas.microsoft.com/office/drawing/2014/chart" uri="{C3380CC4-5D6E-409C-BE32-E72D297353CC}">
              <c16:uniqueId val="{0000000D-56CA-411E-B7E6-51E584D83D0B}"/>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77913216"/>
        <c:axId val="177915008"/>
      </c:lineChart>
      <c:catAx>
        <c:axId val="177913216"/>
        <c:scaling>
          <c:orientation val="minMax"/>
        </c:scaling>
        <c:axPos val="b"/>
        <c:numFmt formatCode="General" sourceLinked="0"/>
        <c:tickLblPos val="nextTo"/>
        <c:crossAx val="177915008"/>
        <c:crosses val="autoZero"/>
        <c:auto val="1"/>
        <c:lblAlgn val="ctr"/>
        <c:lblOffset val="100"/>
      </c:catAx>
      <c:valAx>
        <c:axId val="177915008"/>
        <c:scaling>
          <c:orientation val="minMax"/>
        </c:scaling>
        <c:axPos val="l"/>
        <c:majorGridlines>
          <c:spPr>
            <a:ln w="0">
              <a:solidFill>
                <a:schemeClr val="bg1"/>
              </a:solidFill>
            </a:ln>
          </c:spPr>
        </c:majorGridlines>
        <c:numFmt formatCode="General" sourceLinked="1"/>
        <c:tickLblPos val="nextTo"/>
        <c:crossAx val="177913216"/>
        <c:crosses val="autoZero"/>
        <c:crossBetween val="between"/>
      </c:valAx>
    </c:plotArea>
    <c:legend>
      <c:legendPos val="b"/>
    </c:legend>
    <c:plotVisOnly val="1"/>
    <c:dispBlanksAs val="gap"/>
  </c:chart>
  <c:spPr>
    <a:noFill/>
    <a:ln>
      <a:noFill/>
    </a:ln>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[БюджетБарда.xlsx]Образование!$B$1</c:f>
              <c:strCache>
                <c:ptCount val="1"/>
                <c:pt idx="0">
                  <c:v>План</c:v>
                </c:pt>
              </c:strCache>
            </c:strRef>
          </c:tx>
          <c:dLbls>
            <c:dLbl>
              <c:idx val="0"/>
              <c:layout>
                <c:manualLayout>
                  <c:x val="-6.9266301668402419E-2"/>
                  <c:y val="-6.339027823874711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C38-404A-A10D-31BEEDED6D6B}"/>
                </c:ext>
              </c:extLst>
            </c:dLbl>
            <c:dLbl>
              <c:idx val="1"/>
              <c:layout>
                <c:manualLayout>
                  <c:x val="-5.4077693241679117E-2"/>
                  <c:y val="-5.62677438737752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C38-404A-A10D-31BEEDED6D6B}"/>
                </c:ext>
              </c:extLst>
            </c:dLbl>
            <c:dLbl>
              <c:idx val="2"/>
              <c:layout>
                <c:manualLayout>
                  <c:x val="-5.439221455391742E-2"/>
                  <c:y val="-4.059822996183798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38-404A-A10D-31BEEDED6D6B}"/>
                </c:ext>
              </c:extLst>
            </c:dLbl>
            <c:dLbl>
              <c:idx val="3"/>
              <c:layout>
                <c:manualLayout>
                  <c:x val="-6.0933106283013044E-2"/>
                  <c:y val="-4.84329869178075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38-404A-A10D-31BEEDED6D6B}"/>
                </c:ext>
              </c:extLst>
            </c:dLbl>
            <c:dLbl>
              <c:idx val="4"/>
              <c:layout>
                <c:manualLayout>
                  <c:x val="-5.2777777777777792E-2"/>
                  <c:y val="-4.1666666666666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C38-404A-A10D-31BEEDED6D6B}"/>
                </c:ext>
              </c:extLst>
            </c:dLbl>
            <c:dLbl>
              <c:idx val="5"/>
              <c:layout>
                <c:manualLayout>
                  <c:x val="-2.1058893216055991E-2"/>
                  <c:y val="-5.056965469079853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38-404A-A10D-31BEEDED6D6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[БюджетБарда.xlsx]Образование!$A$2:$A$7</c:f>
              <c:strCache>
                <c:ptCount val="6"/>
                <c:pt idx="0">
                  <c:v>2011 год</c:v>
                </c:pt>
                <c:pt idx="1">
                  <c:v>2012 год</c:v>
                </c:pt>
                <c:pt idx="2">
                  <c:v>2013 год</c:v>
                </c:pt>
                <c:pt idx="3">
                  <c:v>2014 год</c:v>
                </c:pt>
                <c:pt idx="4">
                  <c:v>2015 год</c:v>
                </c:pt>
                <c:pt idx="5">
                  <c:v>2016 год</c:v>
                </c:pt>
              </c:strCache>
            </c:strRef>
          </c:cat>
          <c:val>
            <c:numRef>
              <c:f>[БюджетБарда.xlsx]Образование!$B$2:$B$7</c:f>
              <c:numCache>
                <c:formatCode>General</c:formatCode>
                <c:ptCount val="6"/>
                <c:pt idx="0">
                  <c:v>293065.2</c:v>
                </c:pt>
                <c:pt idx="1">
                  <c:v>368269</c:v>
                </c:pt>
                <c:pt idx="2">
                  <c:v>413770.7</c:v>
                </c:pt>
                <c:pt idx="3">
                  <c:v>432789.1</c:v>
                </c:pt>
                <c:pt idx="4">
                  <c:v>409907.4</c:v>
                </c:pt>
                <c:pt idx="5">
                  <c:v>423533.1</c:v>
                </c:pt>
              </c:numCache>
            </c:numRef>
          </c:val>
          <c:extLst xmlns:c16r2="http://schemas.microsoft.com/office/drawing/2015/06/chart">
            <c:ext xmlns:c16="http://schemas.microsoft.com/office/drawing/2014/chart" uri="{C3380CC4-5D6E-409C-BE32-E72D297353CC}">
              <c16:uniqueId val="{00000006-DC38-404A-A10D-31BEEDED6D6B}"/>
            </c:ext>
          </c:extLst>
        </c:ser>
        <c:ser>
          <c:idx val="1"/>
          <c:order val="1"/>
          <c:tx>
            <c:strRef>
              <c:f>[БюджетБарда.xlsx]Образование!$C$1</c:f>
              <c:strCache>
                <c:ptCount val="1"/>
                <c:pt idx="0">
                  <c:v>Факт</c:v>
                </c:pt>
              </c:strCache>
            </c:strRef>
          </c:tx>
          <c:dLbls>
            <c:dLbl>
              <c:idx val="0"/>
              <c:layout>
                <c:manualLayout>
                  <c:x val="-5.6855485014175054E-2"/>
                  <c:y val="6.6951699648731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C38-404A-A10D-31BEEDED6D6B}"/>
                </c:ext>
              </c:extLst>
            </c:dLbl>
            <c:dLbl>
              <c:idx val="1"/>
              <c:layout>
                <c:manualLayout>
                  <c:x val="-5.0136460505263734E-2"/>
                  <c:y val="6.80198793077282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C38-404A-A10D-31BEEDED6D6B}"/>
                </c:ext>
              </c:extLst>
            </c:dLbl>
            <c:dLbl>
              <c:idx val="2"/>
              <c:layout>
                <c:manualLayout>
                  <c:x val="-4.1981217967587754E-2"/>
                  <c:y val="6.90880589667251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C38-404A-A10D-31BEEDED6D6B}"/>
                </c:ext>
              </c:extLst>
            </c:dLbl>
            <c:dLbl>
              <c:idx val="3"/>
              <c:layout>
                <c:manualLayout>
                  <c:x val="-5.9455144006857565E-2"/>
                  <c:y val="6.37465437617444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C38-404A-A10D-31BEEDED6D6B}"/>
                </c:ext>
              </c:extLst>
            </c:dLbl>
            <c:dLbl>
              <c:idx val="4"/>
              <c:layout>
                <c:manualLayout>
                  <c:x val="-3.6111111111111212E-2"/>
                  <c:y val="5.09259259259259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C38-404A-A10D-31BEEDED6D6B}"/>
                </c:ext>
              </c:extLst>
            </c:dLbl>
            <c:dLbl>
              <c:idx val="5"/>
              <c:layout>
                <c:manualLayout>
                  <c:x val="-2.5314647264708192E-2"/>
                  <c:y val="5.73362319877715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C38-404A-A10D-31BEEDED6D6B}"/>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[БюджетБарда.xlsx]Образование!$A$2:$A$7</c:f>
              <c:strCache>
                <c:ptCount val="6"/>
                <c:pt idx="0">
                  <c:v>2011 год</c:v>
                </c:pt>
                <c:pt idx="1">
                  <c:v>2012 год</c:v>
                </c:pt>
                <c:pt idx="2">
                  <c:v>2013 год</c:v>
                </c:pt>
                <c:pt idx="3">
                  <c:v>2014 год</c:v>
                </c:pt>
                <c:pt idx="4">
                  <c:v>2015 год</c:v>
                </c:pt>
                <c:pt idx="5">
                  <c:v>2016 год</c:v>
                </c:pt>
              </c:strCache>
            </c:strRef>
          </c:cat>
          <c:val>
            <c:numRef>
              <c:f>[БюджетБарда.xlsx]Образование!$C$2:$C$7</c:f>
              <c:numCache>
                <c:formatCode>General</c:formatCode>
                <c:ptCount val="6"/>
                <c:pt idx="0">
                  <c:v>286732.2</c:v>
                </c:pt>
                <c:pt idx="1">
                  <c:v>366762.5</c:v>
                </c:pt>
                <c:pt idx="2">
                  <c:v>412405</c:v>
                </c:pt>
                <c:pt idx="3">
                  <c:v>427253.2</c:v>
                </c:pt>
                <c:pt idx="4">
                  <c:v>404107.4</c:v>
                </c:pt>
                <c:pt idx="5">
                  <c:v>420275.20000000001</c:v>
                </c:pt>
              </c:numCache>
            </c:numRef>
          </c:val>
          <c:extLst xmlns:c16r2="http://schemas.microsoft.com/office/drawing/2015/06/chart">
            <c:ext xmlns:c16="http://schemas.microsoft.com/office/drawing/2014/chart" uri="{C3380CC4-5D6E-409C-BE32-E72D297353CC}">
              <c16:uniqueId val="{0000000D-DC38-404A-A10D-31BEEDED6D6B}"/>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91859328"/>
        <c:axId val="191889792"/>
      </c:lineChart>
      <c:catAx>
        <c:axId val="191859328"/>
        <c:scaling>
          <c:orientation val="minMax"/>
        </c:scaling>
        <c:axPos val="b"/>
        <c:numFmt formatCode="General" sourceLinked="0"/>
        <c:tickLblPos val="nextTo"/>
        <c:crossAx val="191889792"/>
        <c:crosses val="autoZero"/>
        <c:auto val="1"/>
        <c:lblAlgn val="ctr"/>
        <c:lblOffset val="100"/>
      </c:catAx>
      <c:valAx>
        <c:axId val="191889792"/>
        <c:scaling>
          <c:orientation val="minMax"/>
        </c:scaling>
        <c:axPos val="l"/>
        <c:majorGridlines>
          <c:spPr>
            <a:ln w="0">
              <a:solidFill>
                <a:schemeClr val="bg1"/>
              </a:solidFill>
            </a:ln>
          </c:spPr>
        </c:majorGridlines>
        <c:numFmt formatCode="General" sourceLinked="1"/>
        <c:tickLblPos val="nextTo"/>
        <c:crossAx val="191859328"/>
        <c:crosses val="autoZero"/>
        <c:crossBetween val="between"/>
      </c:valAx>
    </c:plotArea>
    <c:legend>
      <c:legendPos val="b"/>
    </c:legend>
    <c:plotVisOnly val="1"/>
    <c:dispBlanksAs val="gap"/>
  </c:chart>
  <c:spPr>
    <a:ln>
      <a:noFill/>
    </a:ln>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'[БюджетБарда.xlsx]Общие вопросы'!$B$1</c:f>
              <c:strCache>
                <c:ptCount val="1"/>
                <c:pt idx="0">
                  <c:v>План</c:v>
                </c:pt>
              </c:strCache>
            </c:strRef>
          </c:tx>
          <c:dLbls>
            <c:dLbl>
              <c:idx val="0"/>
              <c:layout>
                <c:manualLayout>
                  <c:x val="-6.1111111111111123E-2"/>
                  <c:y val="-3.703703703703705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2DD-4FD7-A8D1-627FF38177D1}"/>
                </c:ext>
              </c:extLst>
            </c:dLbl>
            <c:dLbl>
              <c:idx val="1"/>
              <c:layout>
                <c:manualLayout>
                  <c:x val="-8.3333333333333343E-2"/>
                  <c:y val="-8.333333333333339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2DD-4FD7-A8D1-627FF38177D1}"/>
                </c:ext>
              </c:extLst>
            </c:dLbl>
            <c:dLbl>
              <c:idx val="2"/>
              <c:layout>
                <c:manualLayout>
                  <c:x val="-5.5555555555555455E-2"/>
                  <c:y val="-3.240740740740785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2DD-4FD7-A8D1-627FF38177D1}"/>
                </c:ext>
              </c:extLst>
            </c:dLbl>
            <c:dLbl>
              <c:idx val="3"/>
              <c:layout>
                <c:manualLayout>
                  <c:x val="-4.166666666666666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2DD-4FD7-A8D1-627FF38177D1}"/>
                </c:ext>
              </c:extLst>
            </c:dLbl>
            <c:dLbl>
              <c:idx val="4"/>
              <c:layout>
                <c:manualLayout>
                  <c:x val="-5.8333333333334111E-2"/>
                  <c:y val="-4.62966608340624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2DD-4FD7-A8D1-627FF38177D1}"/>
                </c:ext>
              </c:extLst>
            </c:dLbl>
            <c:dLbl>
              <c:idx val="5"/>
              <c:layout>
                <c:manualLayout>
                  <c:x val="-3.8889107611548616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2DD-4FD7-A8D1-627FF38177D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'[БюджетБарда.xlsx]Общие вопросы'!$A$2:$A$7</c:f>
              <c:strCache>
                <c:ptCount val="6"/>
                <c:pt idx="0">
                  <c:v>2011 год</c:v>
                </c:pt>
                <c:pt idx="1">
                  <c:v>2012 год</c:v>
                </c:pt>
                <c:pt idx="2">
                  <c:v>2013 год</c:v>
                </c:pt>
                <c:pt idx="3">
                  <c:v>2014 год</c:v>
                </c:pt>
                <c:pt idx="4">
                  <c:v>2015 год</c:v>
                </c:pt>
                <c:pt idx="5">
                  <c:v>2016 год</c:v>
                </c:pt>
              </c:strCache>
            </c:strRef>
          </c:cat>
          <c:val>
            <c:numRef>
              <c:f>'[БюджетБарда.xlsx]Общие вопросы'!$B$2:$B$7</c:f>
              <c:numCache>
                <c:formatCode>General</c:formatCode>
                <c:ptCount val="6"/>
                <c:pt idx="0">
                  <c:v>68196.2</c:v>
                </c:pt>
                <c:pt idx="1">
                  <c:v>43095.4</c:v>
                </c:pt>
                <c:pt idx="2">
                  <c:v>71748</c:v>
                </c:pt>
                <c:pt idx="3">
                  <c:v>46605</c:v>
                </c:pt>
                <c:pt idx="4">
                  <c:v>49587.5</c:v>
                </c:pt>
                <c:pt idx="5">
                  <c:v>46427</c:v>
                </c:pt>
              </c:numCache>
            </c:numRef>
          </c:val>
          <c:extLst xmlns:c16r2="http://schemas.microsoft.com/office/drawing/2015/06/chart">
            <c:ext xmlns:c16="http://schemas.microsoft.com/office/drawing/2014/chart" uri="{C3380CC4-5D6E-409C-BE32-E72D297353CC}">
              <c16:uniqueId val="{00000006-D2DD-4FD7-A8D1-627FF38177D1}"/>
            </c:ext>
          </c:extLst>
        </c:ser>
        <c:ser>
          <c:idx val="1"/>
          <c:order val="1"/>
          <c:tx>
            <c:strRef>
              <c:f>'[БюджетБарда.xlsx]Общие вопросы'!$C$1</c:f>
              <c:strCache>
                <c:ptCount val="1"/>
                <c:pt idx="0">
                  <c:v>Факт</c:v>
                </c:pt>
              </c:strCache>
            </c:strRef>
          </c:tx>
          <c:dLbls>
            <c:dLbl>
              <c:idx val="0"/>
              <c:layout>
                <c:manualLayout>
                  <c:x val="-6.1111111111111123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2DD-4FD7-A8D1-627FF38177D1}"/>
                </c:ext>
              </c:extLst>
            </c:dLbl>
            <c:dLbl>
              <c:idx val="1"/>
              <c:layout>
                <c:manualLayout>
                  <c:x val="-5.8333333333334111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2DD-4FD7-A8D1-627FF38177D1}"/>
                </c:ext>
              </c:extLst>
            </c:dLbl>
            <c:dLbl>
              <c:idx val="2"/>
              <c:layout>
                <c:manualLayout>
                  <c:x val="-5.2777777777777792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2DD-4FD7-A8D1-627FF38177D1}"/>
                </c:ext>
              </c:extLst>
            </c:dLbl>
            <c:dLbl>
              <c:idx val="3"/>
              <c:layout>
                <c:manualLayout>
                  <c:x val="-5.2777777777777792E-2"/>
                  <c:y val="4.1666666666666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D2DD-4FD7-A8D1-627FF38177D1}"/>
                </c:ext>
              </c:extLst>
            </c:dLbl>
            <c:dLbl>
              <c:idx val="4"/>
              <c:layout>
                <c:manualLayout>
                  <c:x val="-6.1111111111111123E-2"/>
                  <c:y val="6.944444444444450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D2DD-4FD7-A8D1-627FF38177D1}"/>
                </c:ext>
              </c:extLst>
            </c:dLbl>
            <c:dLbl>
              <c:idx val="5"/>
              <c:layout>
                <c:manualLayout>
                  <c:x val="-3.3333552055993004E-2"/>
                  <c:y val="6.48148148148158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D2DD-4FD7-A8D1-627FF38177D1}"/>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'[БюджетБарда.xlsx]Общие вопросы'!$A$2:$A$7</c:f>
              <c:strCache>
                <c:ptCount val="6"/>
                <c:pt idx="0">
                  <c:v>2011 год</c:v>
                </c:pt>
                <c:pt idx="1">
                  <c:v>2012 год</c:v>
                </c:pt>
                <c:pt idx="2">
                  <c:v>2013 год</c:v>
                </c:pt>
                <c:pt idx="3">
                  <c:v>2014 год</c:v>
                </c:pt>
                <c:pt idx="4">
                  <c:v>2015 год</c:v>
                </c:pt>
                <c:pt idx="5">
                  <c:v>2016 год</c:v>
                </c:pt>
              </c:strCache>
            </c:strRef>
          </c:cat>
          <c:val>
            <c:numRef>
              <c:f>'[БюджетБарда.xlsx]Общие вопросы'!$C$2:$C$7</c:f>
              <c:numCache>
                <c:formatCode>General</c:formatCode>
                <c:ptCount val="6"/>
                <c:pt idx="0">
                  <c:v>34555.599999999999</c:v>
                </c:pt>
                <c:pt idx="1">
                  <c:v>39042.300000000003</c:v>
                </c:pt>
                <c:pt idx="2">
                  <c:v>54405.599999999999</c:v>
                </c:pt>
                <c:pt idx="3">
                  <c:v>44707.4</c:v>
                </c:pt>
                <c:pt idx="4">
                  <c:v>48772.1</c:v>
                </c:pt>
                <c:pt idx="5">
                  <c:v>44905</c:v>
                </c:pt>
              </c:numCache>
            </c:numRef>
          </c:val>
          <c:extLst xmlns:c16r2="http://schemas.microsoft.com/office/drawing/2015/06/chart">
            <c:ext xmlns:c16="http://schemas.microsoft.com/office/drawing/2014/chart" uri="{C3380CC4-5D6E-409C-BE32-E72D297353CC}">
              <c16:uniqueId val="{0000000D-D2DD-4FD7-A8D1-627FF38177D1}"/>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c:spPr>
          </c:downBars>
        </c:upDownBars>
        <c:marker val="1"/>
        <c:axId val="191915904"/>
        <c:axId val="191917440"/>
      </c:lineChart>
      <c:catAx>
        <c:axId val="191915904"/>
        <c:scaling>
          <c:orientation val="minMax"/>
        </c:scaling>
        <c:axPos val="b"/>
        <c:numFmt formatCode="General" sourceLinked="0"/>
        <c:tickLblPos val="nextTo"/>
        <c:crossAx val="191917440"/>
        <c:crosses val="autoZero"/>
        <c:auto val="1"/>
        <c:lblAlgn val="ctr"/>
        <c:lblOffset val="100"/>
      </c:catAx>
      <c:valAx>
        <c:axId val="191917440"/>
        <c:scaling>
          <c:orientation val="minMax"/>
        </c:scaling>
        <c:axPos val="l"/>
        <c:majorGridlines>
          <c:spPr>
            <a:ln w="0">
              <a:solidFill>
                <a:schemeClr val="bg1"/>
              </a:solidFill>
            </a:ln>
          </c:spPr>
        </c:majorGridlines>
        <c:numFmt formatCode="General" sourceLinked="1"/>
        <c:tickLblPos val="nextTo"/>
        <c:crossAx val="191915904"/>
        <c:crosses val="autoZero"/>
        <c:crossBetween val="between"/>
      </c:valAx>
    </c:plotArea>
    <c:legend>
      <c:legendPos val="b"/>
    </c:legend>
    <c:plotVisOnly val="1"/>
    <c:dispBlanksAs val="gap"/>
  </c:chart>
  <c:spPr>
    <a:ln>
      <a:noFill/>
    </a:ln>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'[БюджетБарда.xlsx]Социальная политика'!$B$1</c:f>
              <c:strCache>
                <c:ptCount val="1"/>
                <c:pt idx="0">
                  <c:v>План</c:v>
                </c:pt>
              </c:strCache>
            </c:strRef>
          </c:tx>
          <c:dLbls>
            <c:dLbl>
              <c:idx val="0"/>
              <c:layout>
                <c:manualLayout>
                  <c:x val="-5.4595844775683515E-2"/>
                  <c:y val="-4.56155442892646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DC-4A88-9F26-BAB3F1C9B3AE}"/>
                </c:ext>
              </c:extLst>
            </c:dLbl>
            <c:dLbl>
              <c:idx val="1"/>
              <c:layout>
                <c:manualLayout>
                  <c:x val="-5.8941423057622483E-2"/>
                  <c:y val="-2.46460433551311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3DC-4A88-9F26-BAB3F1C9B3AE}"/>
                </c:ext>
              </c:extLst>
            </c:dLbl>
            <c:dLbl>
              <c:idx val="2"/>
              <c:layout>
                <c:manualLayout>
                  <c:x val="-5.7492896963643805E-2"/>
                  <c:y val="-3.9941945854107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3DC-4A88-9F26-BAB3F1C9B3AE}"/>
                </c:ext>
              </c:extLst>
            </c:dLbl>
            <c:dLbl>
              <c:idx val="3"/>
              <c:layout>
                <c:manualLayout>
                  <c:x val="-4.2513048209572225E-2"/>
                  <c:y val="-5.165239392170692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3DC-4A88-9F26-BAB3F1C9B3AE}"/>
                </c:ext>
              </c:extLst>
            </c:dLbl>
            <c:dLbl>
              <c:idx val="4"/>
              <c:layout>
                <c:manualLayout>
                  <c:x val="-6.0026371993282902E-2"/>
                  <c:y val="-4.602392669590839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3DC-4A88-9F26-BAB3F1C9B3AE}"/>
                </c:ext>
              </c:extLst>
            </c:dLbl>
            <c:dLbl>
              <c:idx val="5"/>
              <c:layout>
                <c:manualLayout>
                  <c:x val="-4.9642377050114032E-2"/>
                  <c:y val="-3.63562162324301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3DC-4A88-9F26-BAB3F1C9B3A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'[БюджетБарда.xlsx]Социальная политика'!$A$2:$A$7</c:f>
              <c:strCache>
                <c:ptCount val="6"/>
                <c:pt idx="0">
                  <c:v>2011 год</c:v>
                </c:pt>
                <c:pt idx="1">
                  <c:v>2012 год</c:v>
                </c:pt>
                <c:pt idx="2">
                  <c:v>2013 год</c:v>
                </c:pt>
                <c:pt idx="3">
                  <c:v>2014 год</c:v>
                </c:pt>
                <c:pt idx="4">
                  <c:v>2015 год</c:v>
                </c:pt>
                <c:pt idx="5">
                  <c:v>2016 год</c:v>
                </c:pt>
              </c:strCache>
            </c:strRef>
          </c:cat>
          <c:val>
            <c:numRef>
              <c:f>'[БюджетБарда.xlsx]Социальная политика'!$B$2:$B$7</c:f>
              <c:numCache>
                <c:formatCode>General</c:formatCode>
                <c:ptCount val="6"/>
                <c:pt idx="0">
                  <c:v>157709.29999999999</c:v>
                </c:pt>
                <c:pt idx="1">
                  <c:v>207296.1</c:v>
                </c:pt>
                <c:pt idx="2">
                  <c:v>172551.8</c:v>
                </c:pt>
                <c:pt idx="3">
                  <c:v>51642.8</c:v>
                </c:pt>
                <c:pt idx="4">
                  <c:v>46603.199999999997</c:v>
                </c:pt>
                <c:pt idx="5">
                  <c:v>50860</c:v>
                </c:pt>
              </c:numCache>
            </c:numRef>
          </c:val>
          <c:extLst xmlns:c16r2="http://schemas.microsoft.com/office/drawing/2015/06/chart">
            <c:ext xmlns:c16="http://schemas.microsoft.com/office/drawing/2014/chart" uri="{C3380CC4-5D6E-409C-BE32-E72D297353CC}">
              <c16:uniqueId val="{00000006-B3DC-4A88-9F26-BAB3F1C9B3AE}"/>
            </c:ext>
          </c:extLst>
        </c:ser>
        <c:ser>
          <c:idx val="1"/>
          <c:order val="1"/>
          <c:tx>
            <c:strRef>
              <c:f>'[БюджетБарда.xlsx]Социальная политика'!$C$1</c:f>
              <c:strCache>
                <c:ptCount val="1"/>
                <c:pt idx="0">
                  <c:v>Факт</c:v>
                </c:pt>
              </c:strCache>
            </c:strRef>
          </c:tx>
          <c:dLbls>
            <c:dLbl>
              <c:idx val="0"/>
              <c:layout>
                <c:manualLayout>
                  <c:x val="-4.8432199997795522E-2"/>
                  <c:y val="3.190804020750449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3DC-4A88-9F26-BAB3F1C9B3AE}"/>
                </c:ext>
              </c:extLst>
            </c:dLbl>
            <c:dLbl>
              <c:idx val="1"/>
              <c:layout>
                <c:manualLayout>
                  <c:x val="-5.7129319805323583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3DC-4A88-9F26-BAB3F1C9B3AE}"/>
                </c:ext>
              </c:extLst>
            </c:dLbl>
            <c:dLbl>
              <c:idx val="2"/>
              <c:layout>
                <c:manualLayout>
                  <c:x val="-7.7181720453619013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3DC-4A88-9F26-BAB3F1C9B3AE}"/>
                </c:ext>
              </c:extLst>
            </c:dLbl>
            <c:dLbl>
              <c:idx val="3"/>
              <c:layout>
                <c:manualLayout>
                  <c:x val="-5.3987774627699339E-2"/>
                  <c:y val="4.239279067457200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3DC-4A88-9F26-BAB3F1C9B3AE}"/>
                </c:ext>
              </c:extLst>
            </c:dLbl>
            <c:dLbl>
              <c:idx val="4"/>
              <c:layout>
                <c:manualLayout>
                  <c:x val="-4.1666666666666664E-2"/>
                  <c:y val="6.48148148148160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3DC-4A88-9F26-BAB3F1C9B3AE}"/>
                </c:ext>
              </c:extLst>
            </c:dLbl>
            <c:dLbl>
              <c:idx val="5"/>
              <c:layout>
                <c:manualLayout>
                  <c:x val="-4.2513048209572225E-2"/>
                  <c:y val="4.588770749692701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3DC-4A88-9F26-BAB3F1C9B3A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'[БюджетБарда.xlsx]Социальная политика'!$A$2:$A$7</c:f>
              <c:strCache>
                <c:ptCount val="6"/>
                <c:pt idx="0">
                  <c:v>2011 год</c:v>
                </c:pt>
                <c:pt idx="1">
                  <c:v>2012 год</c:v>
                </c:pt>
                <c:pt idx="2">
                  <c:v>2013 год</c:v>
                </c:pt>
                <c:pt idx="3">
                  <c:v>2014 год</c:v>
                </c:pt>
                <c:pt idx="4">
                  <c:v>2015 год</c:v>
                </c:pt>
                <c:pt idx="5">
                  <c:v>2016 год</c:v>
                </c:pt>
              </c:strCache>
            </c:strRef>
          </c:cat>
          <c:val>
            <c:numRef>
              <c:f>'[БюджетБарда.xlsx]Социальная политика'!$C$2:$C$7</c:f>
              <c:numCache>
                <c:formatCode>General</c:formatCode>
                <c:ptCount val="6"/>
                <c:pt idx="0">
                  <c:v>106744</c:v>
                </c:pt>
                <c:pt idx="1">
                  <c:v>182034.9</c:v>
                </c:pt>
                <c:pt idx="2">
                  <c:v>154988.70000000001</c:v>
                </c:pt>
                <c:pt idx="3">
                  <c:v>37381.300000000003</c:v>
                </c:pt>
                <c:pt idx="4">
                  <c:v>45010.2</c:v>
                </c:pt>
                <c:pt idx="5">
                  <c:v>50555.6</c:v>
                </c:pt>
              </c:numCache>
            </c:numRef>
          </c:val>
          <c:extLst xmlns:c16r2="http://schemas.microsoft.com/office/drawing/2015/06/chart">
            <c:ext xmlns:c16="http://schemas.microsoft.com/office/drawing/2014/chart" uri="{C3380CC4-5D6E-409C-BE32-E72D297353CC}">
              <c16:uniqueId val="{0000000D-B3DC-4A88-9F26-BAB3F1C9B3AE}"/>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77624192"/>
        <c:axId val="177625728"/>
      </c:lineChart>
      <c:catAx>
        <c:axId val="177624192"/>
        <c:scaling>
          <c:orientation val="minMax"/>
        </c:scaling>
        <c:axPos val="b"/>
        <c:numFmt formatCode="General" sourceLinked="0"/>
        <c:tickLblPos val="nextTo"/>
        <c:crossAx val="177625728"/>
        <c:crosses val="autoZero"/>
        <c:auto val="1"/>
        <c:lblAlgn val="ctr"/>
        <c:lblOffset val="100"/>
      </c:catAx>
      <c:valAx>
        <c:axId val="177625728"/>
        <c:scaling>
          <c:orientation val="minMax"/>
        </c:scaling>
        <c:axPos val="l"/>
        <c:majorGridlines>
          <c:spPr>
            <a:ln w="0">
              <a:solidFill>
                <a:schemeClr val="bg1"/>
              </a:solidFill>
            </a:ln>
          </c:spPr>
        </c:majorGridlines>
        <c:numFmt formatCode="General" sourceLinked="1"/>
        <c:tickLblPos val="nextTo"/>
        <c:crossAx val="177624192"/>
        <c:crosses val="autoZero"/>
        <c:crossBetween val="between"/>
      </c:valAx>
      <c:spPr>
        <a:ln>
          <a:noFill/>
        </a:ln>
      </c:spPr>
    </c:plotArea>
    <c:legend>
      <c:legendPos val="b"/>
    </c:legend>
    <c:plotVisOnly val="1"/>
    <c:dispBlanksAs val="gap"/>
  </c:chart>
  <c:spPr>
    <a:ln>
      <a:noFill/>
    </a:ln>
  </c:sp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673840769903771"/>
          <c:y val="5.1400554097404488E-2"/>
          <c:w val="0.84270603674541356"/>
          <c:h val="0.68673009623797165"/>
        </c:manualLayout>
      </c:layout>
      <c:lineChart>
        <c:grouping val="standard"/>
        <c:ser>
          <c:idx val="0"/>
          <c:order val="0"/>
          <c:tx>
            <c:strRef>
              <c:f>'[БюджетБарда.xlsx]Спорт и ФК'!$B$1</c:f>
              <c:strCache>
                <c:ptCount val="1"/>
                <c:pt idx="0">
                  <c:v>План</c:v>
                </c:pt>
              </c:strCache>
            </c:strRef>
          </c:tx>
          <c:dLbls>
            <c:dLbl>
              <c:idx val="0"/>
              <c:layout>
                <c:manualLayout>
                  <c:x val="-6.1922596754057403E-2"/>
                  <c:y val="-4.166670969407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6A71-450B-80BE-8894974357D5}"/>
                </c:ext>
              </c:extLst>
            </c:dLbl>
            <c:dLbl>
              <c:idx val="1"/>
              <c:layout>
                <c:manualLayout>
                  <c:x val="-5.277777777777779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A71-450B-80BE-8894974357D5}"/>
                </c:ext>
              </c:extLst>
            </c:dLbl>
            <c:dLbl>
              <c:idx val="2"/>
              <c:layout>
                <c:manualLayout>
                  <c:x val="-6.5792759051187075E-2"/>
                  <c:y val="-5.0409879092982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A71-450B-80BE-8894974357D5}"/>
                </c:ext>
              </c:extLst>
            </c:dLbl>
            <c:dLbl>
              <c:idx val="3"/>
              <c:layout>
                <c:manualLayout>
                  <c:x val="-5.6647890923746912E-2"/>
                  <c:y val="-4.166670969407508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A71-450B-80BE-8894974357D5}"/>
                </c:ext>
              </c:extLst>
            </c:dLbl>
            <c:dLbl>
              <c:idx val="4"/>
              <c:layout>
                <c:manualLayout>
                  <c:x val="-6.6635406529240021E-2"/>
                  <c:y val="-3.7021814896088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A71-450B-80BE-8894974357D5}"/>
                </c:ext>
              </c:extLst>
            </c:dLbl>
            <c:dLbl>
              <c:idx val="5"/>
              <c:layout>
                <c:manualLayout>
                  <c:x val="-4.722222222222233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A71-450B-80BE-8894974357D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'[БюджетБарда.xlsx]Спорт и ФК'!$A$2:$A$7</c:f>
              <c:strCache>
                <c:ptCount val="6"/>
                <c:pt idx="0">
                  <c:v>2011 год</c:v>
                </c:pt>
                <c:pt idx="1">
                  <c:v>2012 год</c:v>
                </c:pt>
                <c:pt idx="2">
                  <c:v>2013 год</c:v>
                </c:pt>
                <c:pt idx="3">
                  <c:v>2014 год</c:v>
                </c:pt>
                <c:pt idx="4">
                  <c:v>2015 год</c:v>
                </c:pt>
                <c:pt idx="5">
                  <c:v>2016 год</c:v>
                </c:pt>
              </c:strCache>
            </c:strRef>
          </c:cat>
          <c:val>
            <c:numRef>
              <c:f>'[БюджетБарда.xlsx]Спорт и ФК'!$B$2:$B$7</c:f>
              <c:numCache>
                <c:formatCode>General</c:formatCode>
                <c:ptCount val="6"/>
                <c:pt idx="0">
                  <c:v>59972.6</c:v>
                </c:pt>
                <c:pt idx="1">
                  <c:v>47622.400000000001</c:v>
                </c:pt>
                <c:pt idx="2">
                  <c:v>36830.1</c:v>
                </c:pt>
                <c:pt idx="3">
                  <c:v>24482</c:v>
                </c:pt>
                <c:pt idx="4">
                  <c:v>17873.900000000001</c:v>
                </c:pt>
                <c:pt idx="5">
                  <c:v>29092.6</c:v>
                </c:pt>
              </c:numCache>
            </c:numRef>
          </c:val>
          <c:extLst xmlns:c16r2="http://schemas.microsoft.com/office/drawing/2015/06/chart">
            <c:ext xmlns:c16="http://schemas.microsoft.com/office/drawing/2014/chart" uri="{C3380CC4-5D6E-409C-BE32-E72D297353CC}">
              <c16:uniqueId val="{00000006-6A71-450B-80BE-8894974357D5}"/>
            </c:ext>
          </c:extLst>
        </c:ser>
        <c:ser>
          <c:idx val="1"/>
          <c:order val="1"/>
          <c:tx>
            <c:strRef>
              <c:f>'[БюджетБарда.xlsx]Спорт и ФК'!$C$1</c:f>
              <c:strCache>
                <c:ptCount val="1"/>
                <c:pt idx="0">
                  <c:v>Факт</c:v>
                </c:pt>
              </c:strCache>
            </c:strRef>
          </c:tx>
          <c:dLbls>
            <c:dLbl>
              <c:idx val="0"/>
              <c:layout>
                <c:manualLayout>
                  <c:x val="-5.2216029176128949E-2"/>
                  <c:y val="5.45081536939030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A71-450B-80BE-8894974357D5}"/>
                </c:ext>
              </c:extLst>
            </c:dLbl>
            <c:dLbl>
              <c:idx val="1"/>
              <c:layout>
                <c:manualLayout>
                  <c:x val="-5.524354399520285E-2"/>
                  <c:y val="3.70218148960888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A71-450B-80BE-8894974357D5}"/>
                </c:ext>
              </c:extLst>
            </c:dLbl>
            <c:dLbl>
              <c:idx val="2"/>
              <c:layout>
                <c:manualLayout>
                  <c:x val="-6.1360700698929502E-2"/>
                  <c:y val="5.3218019878662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6A71-450B-80BE-8894974357D5}"/>
                </c:ext>
              </c:extLst>
            </c:dLbl>
            <c:dLbl>
              <c:idx val="3"/>
              <c:layout>
                <c:manualLayout>
                  <c:x val="-5.5805243445692883E-2"/>
                  <c:y val="4.49908351619981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6A71-450B-80BE-8894974357D5}"/>
                </c:ext>
              </c:extLst>
            </c:dLbl>
            <c:dLbl>
              <c:idx val="4"/>
              <c:layout>
                <c:manualLayout>
                  <c:x val="-5.4151012022373622E-2"/>
                  <c:y val="4.884643517920916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A71-450B-80BE-8894974357D5}"/>
                </c:ext>
              </c:extLst>
            </c:dLbl>
            <c:dLbl>
              <c:idx val="5"/>
              <c:layout>
                <c:manualLayout>
                  <c:x val="-4.4163496416881116E-2"/>
                  <c:y val="4.139339959554240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6A71-450B-80BE-8894974357D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'[БюджетБарда.xlsx]Спорт и ФК'!$A$2:$A$7</c:f>
              <c:strCache>
                <c:ptCount val="6"/>
                <c:pt idx="0">
                  <c:v>2011 год</c:v>
                </c:pt>
                <c:pt idx="1">
                  <c:v>2012 год</c:v>
                </c:pt>
                <c:pt idx="2">
                  <c:v>2013 год</c:v>
                </c:pt>
                <c:pt idx="3">
                  <c:v>2014 год</c:v>
                </c:pt>
                <c:pt idx="4">
                  <c:v>2015 год</c:v>
                </c:pt>
                <c:pt idx="5">
                  <c:v>2016 год</c:v>
                </c:pt>
              </c:strCache>
            </c:strRef>
          </c:cat>
          <c:val>
            <c:numRef>
              <c:f>'[БюджетБарда.xlsx]Спорт и ФК'!$C$2:$C$7</c:f>
              <c:numCache>
                <c:formatCode>General</c:formatCode>
                <c:ptCount val="6"/>
                <c:pt idx="0">
                  <c:v>20701.2</c:v>
                </c:pt>
                <c:pt idx="1">
                  <c:v>29654.7</c:v>
                </c:pt>
                <c:pt idx="2">
                  <c:v>28695.8</c:v>
                </c:pt>
                <c:pt idx="3">
                  <c:v>15688.4</c:v>
                </c:pt>
                <c:pt idx="4">
                  <c:v>12449.7</c:v>
                </c:pt>
                <c:pt idx="5">
                  <c:v>25641</c:v>
                </c:pt>
              </c:numCache>
            </c:numRef>
          </c:val>
          <c:extLst xmlns:c16r2="http://schemas.microsoft.com/office/drawing/2015/06/chart">
            <c:ext xmlns:c16="http://schemas.microsoft.com/office/drawing/2014/chart" uri="{C3380CC4-5D6E-409C-BE32-E72D297353CC}">
              <c16:uniqueId val="{0000000D-6A71-450B-80BE-8894974357D5}"/>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c:spPr>
          </c:downBars>
        </c:upDownBars>
        <c:marker val="1"/>
        <c:axId val="177680768"/>
        <c:axId val="177682304"/>
      </c:lineChart>
      <c:catAx>
        <c:axId val="177680768"/>
        <c:scaling>
          <c:orientation val="minMax"/>
        </c:scaling>
        <c:axPos val="b"/>
        <c:numFmt formatCode="General" sourceLinked="0"/>
        <c:tickLblPos val="nextTo"/>
        <c:crossAx val="177682304"/>
        <c:crosses val="autoZero"/>
        <c:auto val="1"/>
        <c:lblAlgn val="ctr"/>
        <c:lblOffset val="100"/>
      </c:catAx>
      <c:valAx>
        <c:axId val="177682304"/>
        <c:scaling>
          <c:orientation val="minMax"/>
        </c:scaling>
        <c:axPos val="l"/>
        <c:majorGridlines>
          <c:spPr>
            <a:ln w="0">
              <a:solidFill>
                <a:schemeClr val="bg1"/>
              </a:solidFill>
            </a:ln>
          </c:spPr>
        </c:majorGridlines>
        <c:numFmt formatCode="General" sourceLinked="1"/>
        <c:tickLblPos val="nextTo"/>
        <c:crossAx val="177680768"/>
        <c:crosses val="autoZero"/>
        <c:crossBetween val="between"/>
      </c:valAx>
    </c:plotArea>
    <c:legend>
      <c:legendPos val="b"/>
    </c:legend>
    <c:plotVisOnly val="1"/>
    <c:dispBlanksAs val="gap"/>
  </c:chart>
  <c:spPr>
    <a:ln>
      <a:noFill/>
    </a:ln>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1265507436570428"/>
          <c:y val="4.5025840842059676E-2"/>
          <c:w val="0.85678937007874656"/>
          <c:h val="0.67680293963255245"/>
        </c:manualLayout>
      </c:layout>
      <c:lineChart>
        <c:grouping val="standard"/>
        <c:ser>
          <c:idx val="0"/>
          <c:order val="0"/>
          <c:tx>
            <c:strRef>
              <c:f>СМИ!$B$1</c:f>
              <c:strCache>
                <c:ptCount val="1"/>
                <c:pt idx="0">
                  <c:v>План</c:v>
                </c:pt>
              </c:strCache>
            </c:strRef>
          </c:tx>
          <c:dLbls>
            <c:dLbl>
              <c:idx val="0"/>
              <c:layout>
                <c:manualLayout>
                  <c:x val="-3.3333333333333312E-2"/>
                  <c:y val="5.063291139240513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BD1-43CB-AF63-F64998955DA5}"/>
                </c:ext>
              </c:extLst>
            </c:dLbl>
            <c:dLbl>
              <c:idx val="1"/>
              <c:layout>
                <c:manualLayout>
                  <c:x val="-6.666666666666668E-2"/>
                  <c:y val="-5.90717299578067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BD1-43CB-AF63-F64998955DA5}"/>
                </c:ext>
              </c:extLst>
            </c:dLbl>
            <c:dLbl>
              <c:idx val="2"/>
              <c:layout>
                <c:manualLayout>
                  <c:x val="-0.05"/>
                  <c:y val="5.4852320675105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BD1-43CB-AF63-F64998955DA5}"/>
                </c:ext>
              </c:extLst>
            </c:dLbl>
            <c:dLbl>
              <c:idx val="3"/>
              <c:layout>
                <c:manualLayout>
                  <c:x val="-4.7619047619047623E-2"/>
                  <c:y val="4.6413502109704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BD1-43CB-AF63-F64998955DA5}"/>
                </c:ext>
              </c:extLst>
            </c:dLbl>
            <c:dLbl>
              <c:idx val="4"/>
              <c:layout>
                <c:manualLayout>
                  <c:x val="-4.0476190476190478E-2"/>
                  <c:y val="-3.37552742616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7BD1-43CB-AF63-F64998955DA5}"/>
                </c:ext>
              </c:extLst>
            </c:dLbl>
            <c:dLbl>
              <c:idx val="5"/>
              <c:layout>
                <c:manualLayout>
                  <c:x val="-4.0476190476190478E-2"/>
                  <c:y val="3.79746835443038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7BD1-43CB-AF63-F64998955DA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СМИ!$A$2:$A$7</c:f>
              <c:strCache>
                <c:ptCount val="6"/>
                <c:pt idx="0">
                  <c:v>2011 год</c:v>
                </c:pt>
                <c:pt idx="1">
                  <c:v>2012 год</c:v>
                </c:pt>
                <c:pt idx="2">
                  <c:v>2013 год</c:v>
                </c:pt>
                <c:pt idx="3">
                  <c:v>2014 год</c:v>
                </c:pt>
                <c:pt idx="4">
                  <c:v>2015 год</c:v>
                </c:pt>
                <c:pt idx="5">
                  <c:v>2016 год</c:v>
                </c:pt>
              </c:strCache>
            </c:strRef>
          </c:cat>
          <c:val>
            <c:numRef>
              <c:f>СМИ!$B$2:$B$7</c:f>
              <c:numCache>
                <c:formatCode>General</c:formatCode>
                <c:ptCount val="6"/>
                <c:pt idx="0">
                  <c:v>5216.4000000000005</c:v>
                </c:pt>
                <c:pt idx="1">
                  <c:v>6793.3</c:v>
                </c:pt>
                <c:pt idx="2">
                  <c:v>8536.9</c:v>
                </c:pt>
                <c:pt idx="3">
                  <c:v>7949.8</c:v>
                </c:pt>
                <c:pt idx="4">
                  <c:v>7852.6</c:v>
                </c:pt>
                <c:pt idx="5">
                  <c:v>7725.1</c:v>
                </c:pt>
              </c:numCache>
            </c:numRef>
          </c:val>
          <c:extLst xmlns:c16r2="http://schemas.microsoft.com/office/drawing/2015/06/chart">
            <c:ext xmlns:c16="http://schemas.microsoft.com/office/drawing/2014/chart" uri="{C3380CC4-5D6E-409C-BE32-E72D297353CC}">
              <c16:uniqueId val="{00000006-7BD1-43CB-AF63-F64998955DA5}"/>
            </c:ext>
          </c:extLst>
        </c:ser>
        <c:ser>
          <c:idx val="1"/>
          <c:order val="1"/>
          <c:tx>
            <c:strRef>
              <c:f>СМИ!$C$1</c:f>
              <c:strCache>
                <c:ptCount val="1"/>
                <c:pt idx="0">
                  <c:v>Факт</c:v>
                </c:pt>
              </c:strCache>
            </c:strRef>
          </c:tx>
          <c:dLbls>
            <c:dLbl>
              <c:idx val="0"/>
              <c:layout>
                <c:manualLayout>
                  <c:x val="-5.7142857142857106E-2"/>
                  <c:y val="-5.485232067510550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BD1-43CB-AF63-F64998955DA5}"/>
                </c:ext>
              </c:extLst>
            </c:dLbl>
            <c:dLbl>
              <c:idx val="1"/>
              <c:layout>
                <c:manualLayout>
                  <c:x val="-4.7619047619047623E-2"/>
                  <c:y val="7.172995780590717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7BD1-43CB-AF63-F64998955DA5}"/>
                </c:ext>
              </c:extLst>
            </c:dLbl>
            <c:dLbl>
              <c:idx val="2"/>
              <c:layout>
                <c:manualLayout>
                  <c:x val="-5.7142857142857141E-2"/>
                  <c:y val="-3.3755274261603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BD1-43CB-AF63-F64998955DA5}"/>
                </c:ext>
              </c:extLst>
            </c:dLbl>
            <c:dLbl>
              <c:idx val="3"/>
              <c:layout>
                <c:manualLayout>
                  <c:x val="-3.0952380952380953E-2"/>
                  <c:y val="-6.3291139240506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7BD1-43CB-AF63-F64998955DA5}"/>
                </c:ext>
              </c:extLst>
            </c:dLbl>
            <c:dLbl>
              <c:idx val="4"/>
              <c:layout>
                <c:manualLayout>
                  <c:x val="-4.2857142857142913E-2"/>
                  <c:y val="6.32911392405063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7BD1-43CB-AF63-F64998955DA5}"/>
                </c:ext>
              </c:extLst>
            </c:dLbl>
            <c:dLbl>
              <c:idx val="5"/>
              <c:layout>
                <c:manualLayout>
                  <c:x val="-2.8571428571428591E-2"/>
                  <c:y val="-4.641350210970466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7BD1-43CB-AF63-F64998955DA5}"/>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СМИ!$A$2:$A$7</c:f>
              <c:strCache>
                <c:ptCount val="6"/>
                <c:pt idx="0">
                  <c:v>2011 год</c:v>
                </c:pt>
                <c:pt idx="1">
                  <c:v>2012 год</c:v>
                </c:pt>
                <c:pt idx="2">
                  <c:v>2013 год</c:v>
                </c:pt>
                <c:pt idx="3">
                  <c:v>2014 год</c:v>
                </c:pt>
                <c:pt idx="4">
                  <c:v>2015 год</c:v>
                </c:pt>
                <c:pt idx="5">
                  <c:v>2016 год</c:v>
                </c:pt>
              </c:strCache>
            </c:strRef>
          </c:cat>
          <c:val>
            <c:numRef>
              <c:f>СМИ!$C$2:$C$7</c:f>
              <c:numCache>
                <c:formatCode>General</c:formatCode>
                <c:ptCount val="6"/>
                <c:pt idx="0">
                  <c:v>5216.4000000000005</c:v>
                </c:pt>
                <c:pt idx="1">
                  <c:v>6699.3</c:v>
                </c:pt>
                <c:pt idx="2">
                  <c:v>8536.9</c:v>
                </c:pt>
                <c:pt idx="3">
                  <c:v>7949.8</c:v>
                </c:pt>
                <c:pt idx="4">
                  <c:v>7852.6</c:v>
                </c:pt>
                <c:pt idx="5">
                  <c:v>7725.1</c:v>
                </c:pt>
              </c:numCache>
            </c:numRef>
          </c:val>
          <c:extLst xmlns:c16r2="http://schemas.microsoft.com/office/drawing/2015/06/chart">
            <c:ext xmlns:c16="http://schemas.microsoft.com/office/drawing/2014/chart" uri="{C3380CC4-5D6E-409C-BE32-E72D297353CC}">
              <c16:uniqueId val="{0000000D-7BD1-43CB-AF63-F64998955DA5}"/>
            </c:ext>
          </c:extLst>
        </c:ser>
        <c:upDownBars>
          <c:gapWidth val="150"/>
          <c:upBars>
            <c:spPr>
              <a:gradFill>
                <a:gsLst>
                  <a:gs pos="0">
                    <a:srgbClr val="FFF200"/>
                  </a:gs>
                  <a:gs pos="45000">
                    <a:srgbClr val="FF7A00"/>
                  </a:gs>
                  <a:gs pos="70000">
                    <a:srgbClr val="FF0300"/>
                  </a:gs>
                  <a:gs pos="100000">
                    <a:srgbClr val="4D0808"/>
                  </a:gs>
                </a:gsLst>
                <a:lin ang="5400000" scaled="0"/>
              </a:gradFill>
            </c:spPr>
          </c:upBars>
          <c:downBars>
            <c:spPr>
              <a:solidFill>
                <a:srgbClr val="92D050"/>
              </a:solidFill>
            </c:spPr>
          </c:downBars>
        </c:upDownBars>
        <c:marker val="1"/>
        <c:axId val="191958400"/>
        <c:axId val="191984768"/>
      </c:lineChart>
      <c:catAx>
        <c:axId val="191958400"/>
        <c:scaling>
          <c:orientation val="minMax"/>
        </c:scaling>
        <c:axPos val="b"/>
        <c:numFmt formatCode="General" sourceLinked="0"/>
        <c:tickLblPos val="nextTo"/>
        <c:crossAx val="191984768"/>
        <c:crosses val="autoZero"/>
        <c:auto val="1"/>
        <c:lblAlgn val="ctr"/>
        <c:lblOffset val="100"/>
      </c:catAx>
      <c:valAx>
        <c:axId val="191984768"/>
        <c:scaling>
          <c:orientation val="minMax"/>
        </c:scaling>
        <c:axPos val="l"/>
        <c:majorGridlines>
          <c:spPr>
            <a:ln w="0">
              <a:solidFill>
                <a:schemeClr val="bg1"/>
              </a:solidFill>
            </a:ln>
          </c:spPr>
        </c:majorGridlines>
        <c:numFmt formatCode="General" sourceLinked="1"/>
        <c:tickLblPos val="nextTo"/>
        <c:crossAx val="191958400"/>
        <c:crosses val="autoZero"/>
        <c:crossBetween val="between"/>
      </c:valAx>
    </c:plotArea>
    <c:legend>
      <c:legendPos val="b"/>
    </c:legend>
    <c:plotVisOnly val="1"/>
    <c:dispBlanksAs val="gap"/>
  </c:chart>
  <c:spPr>
    <a:ln>
      <a:noFill/>
    </a:ln>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[БюджетБарда.xlsx]Трансферты!$B$1</c:f>
              <c:strCache>
                <c:ptCount val="1"/>
                <c:pt idx="0">
                  <c:v>План</c:v>
                </c:pt>
              </c:strCache>
            </c:strRef>
          </c:tx>
          <c:dLbls>
            <c:dLbl>
              <c:idx val="0"/>
              <c:layout>
                <c:manualLayout>
                  <c:x val="-6.6274719401389626E-2"/>
                  <c:y val="4.610951008645528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67-43E1-A72A-FD8EF373E62E}"/>
                </c:ext>
              </c:extLst>
            </c:dLbl>
            <c:dLbl>
              <c:idx val="1"/>
              <c:layout>
                <c:manualLayout>
                  <c:x val="-4.166666666666666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67-43E1-A72A-FD8EF373E62E}"/>
                </c:ext>
              </c:extLst>
            </c:dLbl>
            <c:dLbl>
              <c:idx val="2"/>
              <c:layout>
                <c:manualLayout>
                  <c:x val="-4.4444444444444502E-2"/>
                  <c:y val="6.0185185185185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E67-43E1-A72A-FD8EF373E62E}"/>
                </c:ext>
              </c:extLst>
            </c:dLbl>
            <c:dLbl>
              <c:idx val="3"/>
              <c:layout>
                <c:manualLayout>
                  <c:x val="-3.333333333333334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E67-43E1-A72A-FD8EF373E62E}"/>
                </c:ext>
              </c:extLst>
            </c:dLbl>
            <c:dLbl>
              <c:idx val="4"/>
              <c:layout>
                <c:manualLayout>
                  <c:x val="-2.7777777777778449E-2"/>
                  <c:y val="5.555555555555545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E67-43E1-A72A-FD8EF373E62E}"/>
                </c:ext>
              </c:extLst>
            </c:dLbl>
            <c:dLbl>
              <c:idx val="5"/>
              <c:layout>
                <c:manualLayout>
                  <c:x val="-4.8938417705803892E-2"/>
                  <c:y val="-3.8931675327327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E67-43E1-A72A-FD8EF373E62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[БюджетБарда.xlsx]Трансферты!$A$2:$A$7</c:f>
              <c:strCache>
                <c:ptCount val="6"/>
                <c:pt idx="0">
                  <c:v>2011 год</c:v>
                </c:pt>
                <c:pt idx="1">
                  <c:v>2012 год</c:v>
                </c:pt>
                <c:pt idx="2">
                  <c:v>2013 год</c:v>
                </c:pt>
                <c:pt idx="3">
                  <c:v>2014 год</c:v>
                </c:pt>
                <c:pt idx="4">
                  <c:v>2015 год</c:v>
                </c:pt>
                <c:pt idx="5">
                  <c:v>2016 год</c:v>
                </c:pt>
              </c:strCache>
            </c:strRef>
          </c:cat>
          <c:val>
            <c:numRef>
              <c:f>[БюджетБарда.xlsx]Трансферты!$B$2:$B$7</c:f>
              <c:numCache>
                <c:formatCode>General</c:formatCode>
                <c:ptCount val="6"/>
                <c:pt idx="0">
                  <c:v>54069.2</c:v>
                </c:pt>
                <c:pt idx="1">
                  <c:v>80598</c:v>
                </c:pt>
                <c:pt idx="2">
                  <c:v>100899</c:v>
                </c:pt>
                <c:pt idx="3">
                  <c:v>67090.2</c:v>
                </c:pt>
                <c:pt idx="4">
                  <c:v>53751.4</c:v>
                </c:pt>
                <c:pt idx="5">
                  <c:v>52480.4</c:v>
                </c:pt>
              </c:numCache>
            </c:numRef>
          </c:val>
          <c:extLst xmlns:c16r2="http://schemas.microsoft.com/office/drawing/2015/06/chart">
            <c:ext xmlns:c16="http://schemas.microsoft.com/office/drawing/2014/chart" uri="{C3380CC4-5D6E-409C-BE32-E72D297353CC}">
              <c16:uniqueId val="{00000006-BE67-43E1-A72A-FD8EF373E62E}"/>
            </c:ext>
          </c:extLst>
        </c:ser>
        <c:ser>
          <c:idx val="1"/>
          <c:order val="1"/>
          <c:tx>
            <c:strRef>
              <c:f>[БюджетБарда.xlsx]Трансферты!$C$1</c:f>
              <c:strCache>
                <c:ptCount val="1"/>
                <c:pt idx="0">
                  <c:v>Факт</c:v>
                </c:pt>
              </c:strCache>
            </c:strRef>
          </c:tx>
          <c:dLbls>
            <c:dLbl>
              <c:idx val="0"/>
              <c:layout>
                <c:manualLayout>
                  <c:x val="-6.9444444444444503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E67-43E1-A72A-FD8EF373E62E}"/>
                </c:ext>
              </c:extLst>
            </c:dLbl>
            <c:dLbl>
              <c:idx val="1"/>
              <c:layout>
                <c:manualLayout>
                  <c:x val="-5.2777777777777792E-2"/>
                  <c:y val="-7.40740740740740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BE67-43E1-A72A-FD8EF373E62E}"/>
                </c:ext>
              </c:extLst>
            </c:dLbl>
            <c:dLbl>
              <c:idx val="2"/>
              <c:layout>
                <c:manualLayout>
                  <c:x val="-4.0619989310529125E-2"/>
                  <c:y val="-3.4582132564841515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E67-43E1-A72A-FD8EF373E62E}"/>
                </c:ext>
              </c:extLst>
            </c:dLbl>
            <c:dLbl>
              <c:idx val="3"/>
              <c:layout>
                <c:manualLayout>
                  <c:x val="-3.333333333333334E-2"/>
                  <c:y val="-9.2592592592594378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BE67-43E1-A72A-FD8EF373E62E}"/>
                </c:ext>
              </c:extLst>
            </c:dLbl>
            <c:dLbl>
              <c:idx val="4"/>
              <c:layout>
                <c:manualLayout>
                  <c:x val="-4.1666666666666664E-2"/>
                  <c:y val="-9.25925925925944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E67-43E1-A72A-FD8EF373E62E}"/>
                </c:ext>
              </c:extLst>
            </c:dLbl>
            <c:dLbl>
              <c:idx val="5"/>
              <c:layout>
                <c:manualLayout>
                  <c:x val="-4.3804609939524834E-2"/>
                  <c:y val="6.356062840848067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BE67-43E1-A72A-FD8EF373E62E}"/>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[БюджетБарда.xlsx]Трансферты!$A$2:$A$7</c:f>
              <c:strCache>
                <c:ptCount val="6"/>
                <c:pt idx="0">
                  <c:v>2011 год</c:v>
                </c:pt>
                <c:pt idx="1">
                  <c:v>2012 год</c:v>
                </c:pt>
                <c:pt idx="2">
                  <c:v>2013 год</c:v>
                </c:pt>
                <c:pt idx="3">
                  <c:v>2014 год</c:v>
                </c:pt>
                <c:pt idx="4">
                  <c:v>2015 год</c:v>
                </c:pt>
                <c:pt idx="5">
                  <c:v>2016 год</c:v>
                </c:pt>
              </c:strCache>
            </c:strRef>
          </c:cat>
          <c:val>
            <c:numRef>
              <c:f>[БюджетБарда.xlsx]Трансферты!$C$2:$C$7</c:f>
              <c:numCache>
                <c:formatCode>General</c:formatCode>
                <c:ptCount val="6"/>
                <c:pt idx="0">
                  <c:v>54069.2</c:v>
                </c:pt>
                <c:pt idx="1">
                  <c:v>80598</c:v>
                </c:pt>
                <c:pt idx="2">
                  <c:v>100899</c:v>
                </c:pt>
                <c:pt idx="3">
                  <c:v>67090.2</c:v>
                </c:pt>
                <c:pt idx="4">
                  <c:v>53751.4</c:v>
                </c:pt>
                <c:pt idx="5">
                  <c:v>52446.2</c:v>
                </c:pt>
              </c:numCache>
            </c:numRef>
          </c:val>
          <c:extLst xmlns:c16r2="http://schemas.microsoft.com/office/drawing/2015/06/chart">
            <c:ext xmlns:c16="http://schemas.microsoft.com/office/drawing/2014/chart" uri="{C3380CC4-5D6E-409C-BE32-E72D297353CC}">
              <c16:uniqueId val="{0000000D-BE67-43E1-A72A-FD8EF373E62E}"/>
            </c:ext>
          </c:extLst>
        </c:ser>
        <c:upDownBars>
          <c:gapWidth val="150"/>
          <c:upBars>
            <c:spPr>
              <a:gradFill>
                <a:gsLst>
                  <a:gs pos="0">
                    <a:srgbClr val="FFFF00"/>
                  </a:gs>
                  <a:gs pos="45000">
                    <a:srgbClr val="FF7A00"/>
                  </a:gs>
                  <a:gs pos="70000">
                    <a:srgbClr val="FF0300"/>
                  </a:gs>
                  <a:gs pos="100000">
                    <a:srgbClr val="4D0808"/>
                  </a:gs>
                </a:gsLst>
                <a:lin ang="5400000" scaled="0"/>
              </a:gradFill>
            </c:spPr>
          </c:upBars>
          <c:downBars/>
        </c:upDownBars>
        <c:marker val="1"/>
        <c:axId val="192027264"/>
        <c:axId val="192049536"/>
      </c:lineChart>
      <c:catAx>
        <c:axId val="192027264"/>
        <c:scaling>
          <c:orientation val="minMax"/>
        </c:scaling>
        <c:axPos val="b"/>
        <c:numFmt formatCode="General" sourceLinked="0"/>
        <c:tickLblPos val="nextTo"/>
        <c:crossAx val="192049536"/>
        <c:crosses val="autoZero"/>
        <c:auto val="1"/>
        <c:lblAlgn val="ctr"/>
        <c:lblOffset val="100"/>
      </c:catAx>
      <c:valAx>
        <c:axId val="192049536"/>
        <c:scaling>
          <c:orientation val="minMax"/>
        </c:scaling>
        <c:axPos val="l"/>
        <c:majorGridlines>
          <c:spPr>
            <a:ln w="0">
              <a:solidFill>
                <a:schemeClr val="bg1"/>
              </a:solidFill>
            </a:ln>
          </c:spPr>
        </c:majorGridlines>
        <c:numFmt formatCode="General" sourceLinked="1"/>
        <c:tickLblPos val="nextTo"/>
        <c:crossAx val="192027264"/>
        <c:crosses val="autoZero"/>
        <c:crossBetween val="between"/>
      </c:valAx>
      <c:spPr>
        <a:ln>
          <a:noFill/>
        </a:ln>
      </c:spPr>
    </c:plotArea>
    <c:legend>
      <c:legendPos val="b"/>
    </c:legend>
    <c:plotVisOnly val="1"/>
    <c:dispBlanksAs val="gap"/>
  </c:chart>
  <c:spPr>
    <a:ln>
      <a:noFill/>
    </a:ln>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manualLayout>
          <c:layoutTarget val="inner"/>
          <c:xMode val="edge"/>
          <c:yMode val="edge"/>
          <c:x val="7.7119973249047347E-2"/>
          <c:y val="3.8218656402889399E-2"/>
          <c:w val="0.90063533514326888"/>
          <c:h val="0.52099258677002658"/>
        </c:manualLayout>
      </c:layout>
      <c:bar3DChart>
        <c:barDir val="col"/>
        <c:grouping val="stacked"/>
        <c:ser>
          <c:idx val="0"/>
          <c:order val="0"/>
          <c:tx>
            <c:strRef>
              <c:f>Доходы!$A$19</c:f>
              <c:strCache>
                <c:ptCount val="1"/>
                <c:pt idx="0">
                  <c:v>Бардымское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Доходы!$B$19:$H$19</c:f>
              <c:numCache>
                <c:formatCode>0%</c:formatCode>
                <c:ptCount val="7"/>
                <c:pt idx="0">
                  <c:v>0.21760663146433293</c:v>
                </c:pt>
                <c:pt idx="1">
                  <c:v>0.20462923274753544</c:v>
                </c:pt>
                <c:pt idx="2">
                  <c:v>0.26398158762445095</c:v>
                </c:pt>
                <c:pt idx="3">
                  <c:v>0.26272045048752379</c:v>
                </c:pt>
                <c:pt idx="4">
                  <c:v>0.3291937338738285</c:v>
                </c:pt>
                <c:pt idx="5">
                  <c:v>0.27323895662955711</c:v>
                </c:pt>
                <c:pt idx="6">
                  <c:v>0.27677695528158031</c:v>
                </c:pt>
              </c:numCache>
            </c:numRef>
          </c:val>
          <c:extLst xmlns:c16r2="http://schemas.microsoft.com/office/drawing/2015/06/chart">
            <c:ext xmlns:c16="http://schemas.microsoft.com/office/drawing/2014/chart" uri="{C3380CC4-5D6E-409C-BE32-E72D297353CC}">
              <c16:uniqueId val="{00000000-73F7-4EA4-A913-65EFB30D2043}"/>
            </c:ext>
          </c:extLst>
        </c:ser>
        <c:ser>
          <c:idx val="1"/>
          <c:order val="1"/>
          <c:tx>
            <c:strRef>
              <c:f>Доходы!$A$20</c:f>
              <c:strCache>
                <c:ptCount val="1"/>
                <c:pt idx="0">
                  <c:v>Сарашевское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Доходы!$B$20:$H$20</c:f>
              <c:numCache>
                <c:formatCode>0%</c:formatCode>
                <c:ptCount val="7"/>
                <c:pt idx="0">
                  <c:v>0.14231188020278421</c:v>
                </c:pt>
                <c:pt idx="1">
                  <c:v>0.16783028373255549</c:v>
                </c:pt>
                <c:pt idx="2">
                  <c:v>0.12315756649061042</c:v>
                </c:pt>
                <c:pt idx="3">
                  <c:v>0.16379943367958721</c:v>
                </c:pt>
                <c:pt idx="4">
                  <c:v>0.14195444196280207</c:v>
                </c:pt>
                <c:pt idx="5">
                  <c:v>0.11051029222094615</c:v>
                </c:pt>
                <c:pt idx="6">
                  <c:v>9.8426708746541525E-2</c:v>
                </c:pt>
              </c:numCache>
            </c:numRef>
          </c:val>
          <c:extLst xmlns:c16r2="http://schemas.microsoft.com/office/drawing/2015/06/chart">
            <c:ext xmlns:c16="http://schemas.microsoft.com/office/drawing/2014/chart" uri="{C3380CC4-5D6E-409C-BE32-E72D297353CC}">
              <c16:uniqueId val="{00000001-73F7-4EA4-A913-65EFB30D2043}"/>
            </c:ext>
          </c:extLst>
        </c:ser>
        <c:ser>
          <c:idx val="2"/>
          <c:order val="2"/>
          <c:tx>
            <c:strRef>
              <c:f>Доходы!$A$21</c:f>
              <c:strCache>
                <c:ptCount val="1"/>
                <c:pt idx="0">
                  <c:v>Печменское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Доходы!$B$21:$H$21</c:f>
              <c:numCache>
                <c:formatCode>0%</c:formatCode>
                <c:ptCount val="7"/>
                <c:pt idx="0">
                  <c:v>0.117760007493181</c:v>
                </c:pt>
                <c:pt idx="1">
                  <c:v>0.12410307223852145</c:v>
                </c:pt>
                <c:pt idx="2">
                  <c:v>9.7060079411342606E-2</c:v>
                </c:pt>
                <c:pt idx="3">
                  <c:v>0.10073439133230637</c:v>
                </c:pt>
                <c:pt idx="4">
                  <c:v>0.11466202944850333</c:v>
                </c:pt>
                <c:pt idx="5">
                  <c:v>7.3504340125930281E-2</c:v>
                </c:pt>
                <c:pt idx="6">
                  <c:v>7.8948516299536864E-2</c:v>
                </c:pt>
              </c:numCache>
            </c:numRef>
          </c:val>
          <c:extLst xmlns:c16r2="http://schemas.microsoft.com/office/drawing/2015/06/chart">
            <c:ext xmlns:c16="http://schemas.microsoft.com/office/drawing/2014/chart" uri="{C3380CC4-5D6E-409C-BE32-E72D297353CC}">
              <c16:uniqueId val="{00000002-73F7-4EA4-A913-65EFB30D2043}"/>
            </c:ext>
          </c:extLst>
        </c:ser>
        <c:ser>
          <c:idx val="3"/>
          <c:order val="3"/>
          <c:tx>
            <c:strRef>
              <c:f>Доходы!$A$22</c:f>
              <c:strCache>
                <c:ptCount val="1"/>
                <c:pt idx="0">
                  <c:v>Тюндюковское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Доходы!$B$22:$H$22</c:f>
              <c:numCache>
                <c:formatCode>0%</c:formatCode>
                <c:ptCount val="7"/>
                <c:pt idx="0">
                  <c:v>6.4488180679303633E-2</c:v>
                </c:pt>
                <c:pt idx="1">
                  <c:v>6.4055532979665E-2</c:v>
                </c:pt>
                <c:pt idx="2">
                  <c:v>5.6339176085173186E-2</c:v>
                </c:pt>
                <c:pt idx="3">
                  <c:v>6.0840151796178715E-2</c:v>
                </c:pt>
                <c:pt idx="4">
                  <c:v>5.4640545941118474E-2</c:v>
                </c:pt>
                <c:pt idx="5">
                  <c:v>7.3971117792023811E-2</c:v>
                </c:pt>
                <c:pt idx="6">
                  <c:v>7.8059023011362416E-2</c:v>
                </c:pt>
              </c:numCache>
            </c:numRef>
          </c:val>
          <c:extLst xmlns:c16r2="http://schemas.microsoft.com/office/drawing/2015/06/chart">
            <c:ext xmlns:c16="http://schemas.microsoft.com/office/drawing/2014/chart" uri="{C3380CC4-5D6E-409C-BE32-E72D297353CC}">
              <c16:uniqueId val="{00000003-73F7-4EA4-A913-65EFB30D2043}"/>
            </c:ext>
          </c:extLst>
        </c:ser>
        <c:ser>
          <c:idx val="4"/>
          <c:order val="4"/>
          <c:tx>
            <c:strRef>
              <c:f>Доходы!$A$23</c:f>
              <c:strCache>
                <c:ptCount val="1"/>
                <c:pt idx="0">
                  <c:v>Березниковское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Доходы!$B$23:$H$23</c:f>
              <c:numCache>
                <c:formatCode>0%</c:formatCode>
                <c:ptCount val="7"/>
                <c:pt idx="0">
                  <c:v>7.5962112608446514E-2</c:v>
                </c:pt>
                <c:pt idx="1">
                  <c:v>7.6812086327732232E-2</c:v>
                </c:pt>
                <c:pt idx="2">
                  <c:v>6.5318575556827324E-2</c:v>
                </c:pt>
                <c:pt idx="3">
                  <c:v>7.1645193754758377E-2</c:v>
                </c:pt>
                <c:pt idx="4">
                  <c:v>5.8991420527274623E-2</c:v>
                </c:pt>
                <c:pt idx="5">
                  <c:v>7.1334503751895428E-2</c:v>
                </c:pt>
                <c:pt idx="6">
                  <c:v>7.6055952548954156E-2</c:v>
                </c:pt>
              </c:numCache>
            </c:numRef>
          </c:val>
          <c:extLst xmlns:c16r2="http://schemas.microsoft.com/office/drawing/2015/06/chart">
            <c:ext xmlns:c16="http://schemas.microsoft.com/office/drawing/2014/chart" uri="{C3380CC4-5D6E-409C-BE32-E72D297353CC}">
              <c16:uniqueId val="{00000004-73F7-4EA4-A913-65EFB30D2043}"/>
            </c:ext>
          </c:extLst>
        </c:ser>
        <c:ser>
          <c:idx val="5"/>
          <c:order val="5"/>
          <c:tx>
            <c:strRef>
              <c:f>Доходы!$A$24</c:f>
              <c:strCache>
                <c:ptCount val="1"/>
                <c:pt idx="0">
                  <c:v>Елпачихинское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Доходы!$B$24:$H$24</c:f>
              <c:numCache>
                <c:formatCode>0%</c:formatCode>
                <c:ptCount val="7"/>
                <c:pt idx="0">
                  <c:v>6.4874547774876778E-2</c:v>
                </c:pt>
                <c:pt idx="1">
                  <c:v>6.4982938193397094E-2</c:v>
                </c:pt>
                <c:pt idx="2">
                  <c:v>6.6040577388851579E-2</c:v>
                </c:pt>
                <c:pt idx="3">
                  <c:v>6.3097152427395303E-2</c:v>
                </c:pt>
                <c:pt idx="4">
                  <c:v>4.1734189578022406E-2</c:v>
                </c:pt>
                <c:pt idx="5">
                  <c:v>6.7649226100756896E-2</c:v>
                </c:pt>
                <c:pt idx="6">
                  <c:v>7.4548090369096973E-2</c:v>
                </c:pt>
              </c:numCache>
            </c:numRef>
          </c:val>
          <c:extLst xmlns:c16r2="http://schemas.microsoft.com/office/drawing/2015/06/chart">
            <c:ext xmlns:c16="http://schemas.microsoft.com/office/drawing/2014/chart" uri="{C3380CC4-5D6E-409C-BE32-E72D297353CC}">
              <c16:uniqueId val="{00000005-73F7-4EA4-A913-65EFB30D2043}"/>
            </c:ext>
          </c:extLst>
        </c:ser>
        <c:ser>
          <c:idx val="6"/>
          <c:order val="6"/>
          <c:tx>
            <c:strRef>
              <c:f>Доходы!$A$25</c:f>
              <c:strCache>
                <c:ptCount val="1"/>
                <c:pt idx="0">
                  <c:v>Красноярское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Доходы!$B$25:$H$25</c:f>
              <c:numCache>
                <c:formatCode>0%</c:formatCode>
                <c:ptCount val="7"/>
                <c:pt idx="0">
                  <c:v>6.8164522134151334E-2</c:v>
                </c:pt>
                <c:pt idx="1">
                  <c:v>5.91334940241936E-2</c:v>
                </c:pt>
                <c:pt idx="2">
                  <c:v>5.6347149111539076E-2</c:v>
                </c:pt>
                <c:pt idx="3">
                  <c:v>4.8260605410210496E-2</c:v>
                </c:pt>
                <c:pt idx="4">
                  <c:v>5.8836640214711945E-2</c:v>
                </c:pt>
                <c:pt idx="5">
                  <c:v>7.5422207196714733E-2</c:v>
                </c:pt>
                <c:pt idx="6">
                  <c:v>7.4532695292955531E-2</c:v>
                </c:pt>
              </c:numCache>
            </c:numRef>
          </c:val>
          <c:extLst xmlns:c16r2="http://schemas.microsoft.com/office/drawing/2015/06/chart">
            <c:ext xmlns:c16="http://schemas.microsoft.com/office/drawing/2014/chart" uri="{C3380CC4-5D6E-409C-BE32-E72D297353CC}">
              <c16:uniqueId val="{00000006-73F7-4EA4-A913-65EFB30D2043}"/>
            </c:ext>
          </c:extLst>
        </c:ser>
        <c:ser>
          <c:idx val="7"/>
          <c:order val="7"/>
          <c:tx>
            <c:strRef>
              <c:f>Доходы!$A$26</c:f>
              <c:strCache>
                <c:ptCount val="1"/>
                <c:pt idx="0">
                  <c:v>Бичуринское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Доходы!$B$26:$H$26</c:f>
              <c:numCache>
                <c:formatCode>0%</c:formatCode>
                <c:ptCount val="7"/>
                <c:pt idx="0">
                  <c:v>6.6373183781948467E-2</c:v>
                </c:pt>
                <c:pt idx="1">
                  <c:v>5.8403148501733976E-2</c:v>
                </c:pt>
                <c:pt idx="2">
                  <c:v>5.0019223852460652E-2</c:v>
                </c:pt>
                <c:pt idx="3">
                  <c:v>5.6937087058032861E-2</c:v>
                </c:pt>
                <c:pt idx="4">
                  <c:v>5.033997495654649E-2</c:v>
                </c:pt>
                <c:pt idx="5">
                  <c:v>6.8987019955425707E-2</c:v>
                </c:pt>
                <c:pt idx="6">
                  <c:v>6.8620986054626923E-2</c:v>
                </c:pt>
              </c:numCache>
            </c:numRef>
          </c:val>
          <c:extLst xmlns:c16r2="http://schemas.microsoft.com/office/drawing/2015/06/chart">
            <c:ext xmlns:c16="http://schemas.microsoft.com/office/drawing/2014/chart" uri="{C3380CC4-5D6E-409C-BE32-E72D297353CC}">
              <c16:uniqueId val="{00000007-73F7-4EA4-A913-65EFB30D2043}"/>
            </c:ext>
          </c:extLst>
        </c:ser>
        <c:ser>
          <c:idx val="8"/>
          <c:order val="8"/>
          <c:tx>
            <c:strRef>
              <c:f>Доходы!$A$27</c:f>
              <c:strCache>
                <c:ptCount val="1"/>
                <c:pt idx="0">
                  <c:v>Федорковское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Доходы!$B$27:$H$27</c:f>
              <c:numCache>
                <c:formatCode>0%</c:formatCode>
                <c:ptCount val="7"/>
                <c:pt idx="0">
                  <c:v>5.0473592394422284E-2</c:v>
                </c:pt>
                <c:pt idx="1">
                  <c:v>5.3236176596656672E-2</c:v>
                </c:pt>
                <c:pt idx="2">
                  <c:v>5.0707561795383813E-2</c:v>
                </c:pt>
                <c:pt idx="3">
                  <c:v>4.9350658129892033E-2</c:v>
                </c:pt>
                <c:pt idx="4">
                  <c:v>4.3398851839642164E-2</c:v>
                </c:pt>
                <c:pt idx="5">
                  <c:v>6.2530079968531133E-2</c:v>
                </c:pt>
                <c:pt idx="6">
                  <c:v>5.414961448163496E-2</c:v>
                </c:pt>
              </c:numCache>
            </c:numRef>
          </c:val>
          <c:extLst xmlns:c16r2="http://schemas.microsoft.com/office/drawing/2015/06/chart">
            <c:ext xmlns:c16="http://schemas.microsoft.com/office/drawing/2014/chart" uri="{C3380CC4-5D6E-409C-BE32-E72D297353CC}">
              <c16:uniqueId val="{00000008-73F7-4EA4-A913-65EFB30D2043}"/>
            </c:ext>
          </c:extLst>
        </c:ser>
        <c:ser>
          <c:idx val="9"/>
          <c:order val="9"/>
          <c:tx>
            <c:strRef>
              <c:f>Доходы!$A$28</c:f>
              <c:strCache>
                <c:ptCount val="1"/>
                <c:pt idx="0">
                  <c:v>Брюзлинское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Доходы!$B$28:$H$28</c:f>
              <c:numCache>
                <c:formatCode>0%</c:formatCode>
                <c:ptCount val="7"/>
                <c:pt idx="0">
                  <c:v>4.0990036412171832E-2</c:v>
                </c:pt>
                <c:pt idx="1">
                  <c:v>4.3883077916512012E-2</c:v>
                </c:pt>
                <c:pt idx="2">
                  <c:v>8.4077334812182075E-2</c:v>
                </c:pt>
                <c:pt idx="3">
                  <c:v>4.3721254084528954E-2</c:v>
                </c:pt>
                <c:pt idx="4">
                  <c:v>4.1964038342179016E-2</c:v>
                </c:pt>
                <c:pt idx="5">
                  <c:v>4.4029369832023504E-2</c:v>
                </c:pt>
                <c:pt idx="6">
                  <c:v>4.2699098960404719E-2</c:v>
                </c:pt>
              </c:numCache>
            </c:numRef>
          </c:val>
          <c:extLst xmlns:c16r2="http://schemas.microsoft.com/office/drawing/2015/06/chart">
            <c:ext xmlns:c16="http://schemas.microsoft.com/office/drawing/2014/chart" uri="{C3380CC4-5D6E-409C-BE32-E72D297353CC}">
              <c16:uniqueId val="{00000009-73F7-4EA4-A913-65EFB30D2043}"/>
            </c:ext>
          </c:extLst>
        </c:ser>
        <c:ser>
          <c:idx val="10"/>
          <c:order val="10"/>
          <c:tx>
            <c:strRef>
              <c:f>Доходы!$A$29</c:f>
              <c:strCache>
                <c:ptCount val="1"/>
                <c:pt idx="0">
                  <c:v>Шермейское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Доходы!$B$29:$H$29</c:f>
              <c:numCache>
                <c:formatCode>0%</c:formatCode>
                <c:ptCount val="7"/>
                <c:pt idx="0">
                  <c:v>4.3729730362599674E-2</c:v>
                </c:pt>
                <c:pt idx="1">
                  <c:v>3.6321329763250046E-2</c:v>
                </c:pt>
                <c:pt idx="2">
                  <c:v>3.7560041317994411E-2</c:v>
                </c:pt>
                <c:pt idx="3">
                  <c:v>4.3278472979790067E-2</c:v>
                </c:pt>
                <c:pt idx="4">
                  <c:v>3.3755264465381074E-2</c:v>
                </c:pt>
                <c:pt idx="5">
                  <c:v>4.4759899538569889E-2</c:v>
                </c:pt>
                <c:pt idx="6">
                  <c:v>3.9112901501447569E-2</c:v>
                </c:pt>
              </c:numCache>
            </c:numRef>
          </c:val>
          <c:extLst xmlns:c16r2="http://schemas.microsoft.com/office/drawing/2015/06/chart">
            <c:ext xmlns:c16="http://schemas.microsoft.com/office/drawing/2014/chart" uri="{C3380CC4-5D6E-409C-BE32-E72D297353CC}">
              <c16:uniqueId val="{0000000A-73F7-4EA4-A913-65EFB30D2043}"/>
            </c:ext>
          </c:extLst>
        </c:ser>
        <c:ser>
          <c:idx val="11"/>
          <c:order val="11"/>
          <c:tx>
            <c:strRef>
              <c:f>Доходы!$A$30</c:f>
              <c:strCache>
                <c:ptCount val="1"/>
                <c:pt idx="0">
                  <c:v>Новоашапское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Доходы!$B$18:$H$18</c:f>
              <c:strCache>
                <c:ptCount val="7"/>
                <c:pt idx="0">
                  <c:v>2010 год</c:v>
                </c:pt>
                <c:pt idx="1">
                  <c:v>2011 год</c:v>
                </c:pt>
                <c:pt idx="2">
                  <c:v>2012 год</c:v>
                </c:pt>
                <c:pt idx="3">
                  <c:v>2013 год</c:v>
                </c:pt>
                <c:pt idx="4">
                  <c:v>2014 год</c:v>
                </c:pt>
                <c:pt idx="5">
                  <c:v>2015 год</c:v>
                </c:pt>
                <c:pt idx="6">
                  <c:v>2016 год</c:v>
                </c:pt>
              </c:strCache>
            </c:strRef>
          </c:cat>
          <c:val>
            <c:numRef>
              <c:f>Доходы!$B$30:$H$30</c:f>
              <c:numCache>
                <c:formatCode>0%</c:formatCode>
                <c:ptCount val="7"/>
                <c:pt idx="0">
                  <c:v>4.7265574691784405E-2</c:v>
                </c:pt>
                <c:pt idx="1">
                  <c:v>4.6609626978251072E-2</c:v>
                </c:pt>
                <c:pt idx="2">
                  <c:v>4.9391126553189904E-2</c:v>
                </c:pt>
                <c:pt idx="3">
                  <c:v>3.5615148859796456E-2</c:v>
                </c:pt>
                <c:pt idx="4">
                  <c:v>3.0528868849997743E-2</c:v>
                </c:pt>
                <c:pt idx="5">
                  <c:v>3.4062986887626226E-2</c:v>
                </c:pt>
                <c:pt idx="6">
                  <c:v>3.8069457451858302E-2</c:v>
                </c:pt>
              </c:numCache>
            </c:numRef>
          </c:val>
          <c:extLst xmlns:c16r2="http://schemas.microsoft.com/office/drawing/2015/06/chart">
            <c:ext xmlns:c16="http://schemas.microsoft.com/office/drawing/2014/chart" uri="{C3380CC4-5D6E-409C-BE32-E72D297353CC}">
              <c16:uniqueId val="{0000000B-73F7-4EA4-A913-65EFB30D2043}"/>
            </c:ext>
          </c:extLst>
        </c:ser>
        <c:shape val="box"/>
        <c:axId val="192804352"/>
        <c:axId val="192805888"/>
        <c:axId val="0"/>
      </c:bar3DChart>
      <c:catAx>
        <c:axId val="192804352"/>
        <c:scaling>
          <c:orientation val="minMax"/>
        </c:scaling>
        <c:axPos val="b"/>
        <c:numFmt formatCode="General" sourceLinked="0"/>
        <c:tickLblPos val="nextTo"/>
        <c:crossAx val="192805888"/>
        <c:crosses val="autoZero"/>
        <c:auto val="1"/>
        <c:lblAlgn val="ctr"/>
        <c:lblOffset val="100"/>
      </c:catAx>
      <c:valAx>
        <c:axId val="192805888"/>
        <c:scaling>
          <c:orientation val="minMax"/>
        </c:scaling>
        <c:axPos val="l"/>
        <c:majorGridlines/>
        <c:numFmt formatCode="0%" sourceLinked="1"/>
        <c:tickLblPos val="nextTo"/>
        <c:crossAx val="192804352"/>
        <c:crosses val="autoZero"/>
        <c:crossBetween val="between"/>
      </c:valAx>
    </c:plotArea>
    <c:legend>
      <c:legendPos val="b"/>
      <c:layout>
        <c:manualLayout>
          <c:xMode val="edge"/>
          <c:yMode val="edge"/>
          <c:x val="2.3752298910057867E-2"/>
          <c:y val="0.63956146629996613"/>
          <c:w val="0.95451764687149188"/>
          <c:h val="0.3041256589914213"/>
        </c:manualLayout>
      </c:layout>
    </c:legend>
    <c:plotVisOnly val="1"/>
    <c:dispBlanksAs val="gap"/>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демография!$G$149</c:f>
              <c:strCache>
                <c:ptCount val="1"/>
                <c:pt idx="0">
                  <c:v>Коэффициент миграционного прироста населения, промилле  </c:v>
                </c:pt>
              </c:strCache>
            </c:strRef>
          </c:tx>
          <c:spPr>
            <a:effectLst/>
          </c:spPr>
          <c:dLbls>
            <c:dLbl>
              <c:idx val="0"/>
              <c:layout>
                <c:manualLayout>
                  <c:x val="-3.333333333333334E-2"/>
                  <c:y val="6.481481481481604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145-4063-BD98-63AA723EC1B4}"/>
                </c:ext>
              </c:extLst>
            </c:dLbl>
            <c:dLbl>
              <c:idx val="1"/>
              <c:layout>
                <c:manualLayout>
                  <c:x val="-4.7222222222222332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145-4063-BD98-63AA723EC1B4}"/>
                </c:ext>
              </c:extLst>
            </c:dLbl>
            <c:dLbl>
              <c:idx val="2"/>
              <c:layout>
                <c:manualLayout>
                  <c:x val="-3.0555555555555582E-2"/>
                  <c:y val="4.62962962962965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145-4063-BD98-63AA723EC1B4}"/>
                </c:ext>
              </c:extLst>
            </c:dLbl>
            <c:dLbl>
              <c:idx val="5"/>
              <c:layout>
                <c:manualLayout>
                  <c:x val="-5.5555555555555558E-3"/>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145-4063-BD98-63AA723EC1B4}"/>
                </c:ext>
              </c:extLst>
            </c:dLbl>
            <c:dLbl>
              <c:idx val="6"/>
              <c:layout>
                <c:manualLayout>
                  <c:x val="-3.2454724409448819E-2"/>
                  <c:y val="-5.092592592592592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145-4063-BD98-63AA723EC1B4}"/>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95000"/>
                        <a:lumOff val="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демография!$F$150:$F$156</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демография!$G$150:$G$156</c:f>
              <c:numCache>
                <c:formatCode>General</c:formatCode>
                <c:ptCount val="7"/>
                <c:pt idx="0">
                  <c:v>-160</c:v>
                </c:pt>
                <c:pt idx="1">
                  <c:v>-169</c:v>
                </c:pt>
                <c:pt idx="2">
                  <c:v>-171</c:v>
                </c:pt>
                <c:pt idx="3">
                  <c:v>-149</c:v>
                </c:pt>
                <c:pt idx="4">
                  <c:v>61</c:v>
                </c:pt>
                <c:pt idx="5">
                  <c:v>-12</c:v>
                </c:pt>
                <c:pt idx="6">
                  <c:v>-15</c:v>
                </c:pt>
              </c:numCache>
            </c:numRef>
          </c:val>
          <c:extLst xmlns:c16r2="http://schemas.microsoft.com/office/drawing/2015/06/chart">
            <c:ext xmlns:c16="http://schemas.microsoft.com/office/drawing/2014/chart" uri="{C3380CC4-5D6E-409C-BE32-E72D297353CC}">
              <c16:uniqueId val="{00000005-D145-4063-BD98-63AA723EC1B4}"/>
            </c:ext>
          </c:extLst>
        </c:ser>
        <c:marker val="1"/>
        <c:axId val="196985984"/>
        <c:axId val="196987520"/>
      </c:lineChart>
      <c:catAx>
        <c:axId val="19698598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87520"/>
        <c:crosses val="autoZero"/>
        <c:auto val="1"/>
        <c:lblAlgn val="ctr"/>
        <c:lblOffset val="100"/>
      </c:catAx>
      <c:valAx>
        <c:axId val="196987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85984"/>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Лист7!$A$25</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Лист7!$B$25:$H$25</c:f>
              <c:numCache>
                <c:formatCode>0%</c:formatCode>
                <c:ptCount val="7"/>
                <c:pt idx="0">
                  <c:v>0.47794780531782066</c:v>
                </c:pt>
                <c:pt idx="1">
                  <c:v>0.43790003395661692</c:v>
                </c:pt>
                <c:pt idx="2">
                  <c:v>0.39532656630103469</c:v>
                </c:pt>
                <c:pt idx="3">
                  <c:v>0.51930787567314984</c:v>
                </c:pt>
                <c:pt idx="4">
                  <c:v>0.61831716652968605</c:v>
                </c:pt>
                <c:pt idx="5">
                  <c:v>0.50462563071632693</c:v>
                </c:pt>
                <c:pt idx="6">
                  <c:v>0.52307764677708368</c:v>
                </c:pt>
              </c:numCache>
            </c:numRef>
          </c:val>
          <c:extLst xmlns:c16r2="http://schemas.microsoft.com/office/drawing/2015/06/chart">
            <c:ext xmlns:c16="http://schemas.microsoft.com/office/drawing/2014/chart" uri="{C3380CC4-5D6E-409C-BE32-E72D297353CC}">
              <c16:uniqueId val="{00000000-434E-4E55-8A7A-42303F7354C0}"/>
            </c:ext>
          </c:extLst>
        </c:ser>
        <c:ser>
          <c:idx val="1"/>
          <c:order val="1"/>
          <c:tx>
            <c:strRef>
              <c:f>Лист7!$A$26</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Лист7!$B$26:$H$26</c:f>
              <c:numCache>
                <c:formatCode>0%</c:formatCode>
                <c:ptCount val="7"/>
                <c:pt idx="0">
                  <c:v>0.28278558967814482</c:v>
                </c:pt>
                <c:pt idx="1">
                  <c:v>0.35346830623299025</c:v>
                </c:pt>
                <c:pt idx="2">
                  <c:v>0.37471983671242032</c:v>
                </c:pt>
                <c:pt idx="3">
                  <c:v>0.37783508769854646</c:v>
                </c:pt>
                <c:pt idx="4">
                  <c:v>0.28670266856736898</c:v>
                </c:pt>
                <c:pt idx="5">
                  <c:v>0.43386485562975169</c:v>
                </c:pt>
                <c:pt idx="6">
                  <c:v>0.38335706740905662</c:v>
                </c:pt>
              </c:numCache>
            </c:numRef>
          </c:val>
          <c:extLst xmlns:c16r2="http://schemas.microsoft.com/office/drawing/2015/06/chart">
            <c:ext xmlns:c16="http://schemas.microsoft.com/office/drawing/2014/chart" uri="{C3380CC4-5D6E-409C-BE32-E72D297353CC}">
              <c16:uniqueId val="{00000001-434E-4E55-8A7A-42303F7354C0}"/>
            </c:ext>
          </c:extLst>
        </c:ser>
        <c:ser>
          <c:idx val="2"/>
          <c:order val="2"/>
          <c:tx>
            <c:strRef>
              <c:f>Лист7!$A$27</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Лист7!$B$24:$H$24</c:f>
              <c:numCache>
                <c:formatCode>General</c:formatCode>
                <c:ptCount val="7"/>
                <c:pt idx="0">
                  <c:v>2010</c:v>
                </c:pt>
                <c:pt idx="1">
                  <c:v>2011</c:v>
                </c:pt>
                <c:pt idx="2">
                  <c:v>2012</c:v>
                </c:pt>
                <c:pt idx="3">
                  <c:v>2013</c:v>
                </c:pt>
                <c:pt idx="4">
                  <c:v>2014</c:v>
                </c:pt>
                <c:pt idx="5">
                  <c:v>2015</c:v>
                </c:pt>
                <c:pt idx="6">
                  <c:v>2016</c:v>
                </c:pt>
              </c:numCache>
            </c:numRef>
          </c:cat>
          <c:val>
            <c:numRef>
              <c:f>Лист7!$B$27:$H$27</c:f>
              <c:numCache>
                <c:formatCode>0%</c:formatCode>
                <c:ptCount val="7"/>
                <c:pt idx="0">
                  <c:v>0.23926660500403929</c:v>
                </c:pt>
                <c:pt idx="1">
                  <c:v>0.20863165981039974</c:v>
                </c:pt>
                <c:pt idx="2">
                  <c:v>0.22995359698655038</c:v>
                </c:pt>
                <c:pt idx="3">
                  <c:v>0.10285703662830534</c:v>
                </c:pt>
                <c:pt idx="4">
                  <c:v>9.4980164902944988E-2</c:v>
                </c:pt>
                <c:pt idx="5">
                  <c:v>6.1509513653926512E-2</c:v>
                </c:pt>
                <c:pt idx="6">
                  <c:v>9.3565285813865265E-2</c:v>
                </c:pt>
              </c:numCache>
            </c:numRef>
          </c:val>
          <c:extLst xmlns:c16r2="http://schemas.microsoft.com/office/drawing/2015/06/chart">
            <c:ext xmlns:c16="http://schemas.microsoft.com/office/drawing/2014/chart" uri="{C3380CC4-5D6E-409C-BE32-E72D297353CC}">
              <c16:uniqueId val="{00000002-434E-4E55-8A7A-42303F7354C0}"/>
            </c:ext>
          </c:extLst>
        </c:ser>
        <c:shape val="box"/>
        <c:axId val="192136704"/>
        <c:axId val="192138240"/>
        <c:axId val="0"/>
      </c:bar3DChart>
      <c:catAx>
        <c:axId val="192136704"/>
        <c:scaling>
          <c:orientation val="minMax"/>
        </c:scaling>
        <c:axPos val="b"/>
        <c:numFmt formatCode="General" sourceLinked="1"/>
        <c:tickLblPos val="nextTo"/>
        <c:crossAx val="192138240"/>
        <c:crosses val="autoZero"/>
        <c:auto val="1"/>
        <c:lblAlgn val="ctr"/>
        <c:lblOffset val="100"/>
      </c:catAx>
      <c:valAx>
        <c:axId val="192138240"/>
        <c:scaling>
          <c:orientation val="minMax"/>
        </c:scaling>
        <c:axPos val="l"/>
        <c:majorGridlines/>
        <c:numFmt formatCode="0%" sourceLinked="1"/>
        <c:tickLblPos val="nextTo"/>
        <c:crossAx val="192136704"/>
        <c:crosses val="autoZero"/>
        <c:crossBetween val="between"/>
      </c:valAx>
    </c:plotArea>
    <c:legend>
      <c:legendPos val="b"/>
    </c:legend>
    <c:plotVisOnly val="1"/>
    <c:dispBlanksAs val="gap"/>
  </c:chart>
  <c:spPr>
    <a:ln>
      <a:noFill/>
    </a:ln>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Лист7!$A$19</c:f>
              <c:strCache>
                <c:ptCount val="1"/>
                <c:pt idx="0">
                  <c:v>собственные</c:v>
                </c:pt>
              </c:strCache>
            </c:strRef>
          </c:tx>
          <c:dLbls>
            <c:dLbl>
              <c:idx val="0"/>
              <c:layout>
                <c:manualLayout>
                  <c:x val="-2.1482277121375432E-2"/>
                  <c:y val="-3.7786766598283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BBC-434F-87DD-846591D2472D}"/>
                </c:ext>
              </c:extLst>
            </c:dLbl>
            <c:dLbl>
              <c:idx val="1"/>
              <c:layout>
                <c:manualLayout>
                  <c:x val="-1.4321518080916581E-2"/>
                  <c:y val="-5.668014989742528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DBBC-434F-87DD-846591D2472D}"/>
                </c:ext>
              </c:extLst>
            </c:dLbl>
            <c:dLbl>
              <c:idx val="2"/>
              <c:layout>
                <c:manualLayout>
                  <c:x val="-3.0075187969925268E-2"/>
                  <c:y val="-4.588393086934494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BBC-434F-87DD-846591D2472D}"/>
                </c:ext>
              </c:extLst>
            </c:dLbl>
            <c:dLbl>
              <c:idx val="5"/>
              <c:layout>
                <c:manualLayout>
                  <c:x val="-1.1457214464733263E-2"/>
                  <c:y val="-4.04858213553038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Лист7!$B$19:$H$19</c:f>
              <c:numCache>
                <c:formatCode>General</c:formatCode>
                <c:ptCount val="7"/>
                <c:pt idx="0">
                  <c:v>40822</c:v>
                </c:pt>
                <c:pt idx="1">
                  <c:v>39332.400000000001</c:v>
                </c:pt>
                <c:pt idx="2">
                  <c:v>44624.700000000004</c:v>
                </c:pt>
                <c:pt idx="3">
                  <c:v>61456.4</c:v>
                </c:pt>
                <c:pt idx="4">
                  <c:v>79896.100000000006</c:v>
                </c:pt>
                <c:pt idx="5">
                  <c:v>55675.799999999996</c:v>
                </c:pt>
                <c:pt idx="6">
                  <c:v>61158.5</c:v>
                </c:pt>
              </c:numCache>
            </c:numRef>
          </c:val>
          <c:extLst xmlns:c16r2="http://schemas.microsoft.com/office/drawing/2015/06/chart">
            <c:ext xmlns:c16="http://schemas.microsoft.com/office/drawing/2014/chart" uri="{C3380CC4-5D6E-409C-BE32-E72D297353CC}">
              <c16:uniqueId val="{00000004-DBBC-434F-87DD-846591D2472D}"/>
            </c:ext>
          </c:extLst>
        </c:ser>
        <c:ser>
          <c:idx val="1"/>
          <c:order val="1"/>
          <c:tx>
            <c:strRef>
              <c:f>Лист7!$A$20</c:f>
              <c:strCache>
                <c:ptCount val="1"/>
                <c:pt idx="0">
                  <c:v>дотация</c:v>
                </c:pt>
              </c:strCache>
            </c:strRef>
          </c:tx>
          <c:dLbls>
            <c:dLbl>
              <c:idx val="2"/>
              <c:layout>
                <c:manualLayout>
                  <c:x val="-7.1607590404582904E-3"/>
                  <c:y val="3.238865708424305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BBC-434F-87DD-846591D2472D}"/>
                </c:ext>
              </c:extLst>
            </c:dLbl>
            <c:dLbl>
              <c:idx val="5"/>
              <c:layout>
                <c:manualLayout>
                  <c:x val="-1.2889366272824896E-2"/>
                  <c:y val="3.778676659828358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Лист7!$B$20:$H$20</c:f>
              <c:numCache>
                <c:formatCode>General</c:formatCode>
                <c:ptCount val="7"/>
                <c:pt idx="0">
                  <c:v>24153</c:v>
                </c:pt>
                <c:pt idx="1">
                  <c:v>31748.699999999892</c:v>
                </c:pt>
                <c:pt idx="2">
                  <c:v>42298.600000000006</c:v>
                </c:pt>
                <c:pt idx="3">
                  <c:v>44714.1</c:v>
                </c:pt>
                <c:pt idx="4">
                  <c:v>37046.400000000009</c:v>
                </c:pt>
                <c:pt idx="5">
                  <c:v>47868.700000000004</c:v>
                </c:pt>
                <c:pt idx="6">
                  <c:v>44822.30000000001</c:v>
                </c:pt>
              </c:numCache>
            </c:numRef>
          </c:val>
          <c:extLst xmlns:c16r2="http://schemas.microsoft.com/office/drawing/2015/06/chart">
            <c:ext xmlns:c16="http://schemas.microsoft.com/office/drawing/2014/chart" uri="{C3380CC4-5D6E-409C-BE32-E72D297353CC}">
              <c16:uniqueId val="{00000007-DBBC-434F-87DD-846591D2472D}"/>
            </c:ext>
          </c:extLst>
        </c:ser>
        <c:ser>
          <c:idx val="2"/>
          <c:order val="2"/>
          <c:tx>
            <c:strRef>
              <c:f>Лист7!$A$21</c:f>
              <c:strCache>
                <c:ptCount val="1"/>
                <c:pt idx="0">
                  <c:v>иные межбюд.транс.</c:v>
                </c:pt>
              </c:strCache>
            </c:strRef>
          </c:tx>
          <c:dLbls>
            <c:dLbl>
              <c:idx val="0"/>
              <c:layout>
                <c:manualLayout>
                  <c:x val="-8.5929108485500068E-3"/>
                  <c:y val="4.5883930869344981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DBBC-434F-87DD-846591D2472D}"/>
                </c:ext>
              </c:extLst>
            </c:dLbl>
            <c:dLbl>
              <c:idx val="3"/>
              <c:layout>
                <c:manualLayout>
                  <c:x val="-1.8617973505191548E-2"/>
                  <c:y val="2.968960232722269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DBBC-434F-87DD-846591D2472D}"/>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numRef>
              <c:f>Лист7!$B$18:$H$18</c:f>
              <c:numCache>
                <c:formatCode>General</c:formatCode>
                <c:ptCount val="7"/>
                <c:pt idx="0">
                  <c:v>2010</c:v>
                </c:pt>
                <c:pt idx="1">
                  <c:v>2011</c:v>
                </c:pt>
                <c:pt idx="2">
                  <c:v>2012</c:v>
                </c:pt>
                <c:pt idx="3">
                  <c:v>2013</c:v>
                </c:pt>
                <c:pt idx="4">
                  <c:v>2014</c:v>
                </c:pt>
                <c:pt idx="5">
                  <c:v>2015</c:v>
                </c:pt>
                <c:pt idx="6">
                  <c:v>2016</c:v>
                </c:pt>
              </c:numCache>
            </c:numRef>
          </c:cat>
          <c:val>
            <c:numRef>
              <c:f>Лист7!$B$21:$H$21</c:f>
              <c:numCache>
                <c:formatCode>General</c:formatCode>
                <c:ptCount val="7"/>
                <c:pt idx="0">
                  <c:v>20436</c:v>
                </c:pt>
                <c:pt idx="1">
                  <c:v>18739.399999999896</c:v>
                </c:pt>
                <c:pt idx="2">
                  <c:v>25957.3</c:v>
                </c:pt>
                <c:pt idx="3">
                  <c:v>12172.4</c:v>
                </c:pt>
                <c:pt idx="4">
                  <c:v>12272.9</c:v>
                </c:pt>
                <c:pt idx="5">
                  <c:v>6786.4</c:v>
                </c:pt>
                <c:pt idx="6">
                  <c:v>10939.7</c:v>
                </c:pt>
              </c:numCache>
            </c:numRef>
          </c:val>
          <c:extLst xmlns:c16r2="http://schemas.microsoft.com/office/drawing/2015/06/chart">
            <c:ext xmlns:c16="http://schemas.microsoft.com/office/drawing/2014/chart" uri="{C3380CC4-5D6E-409C-BE32-E72D297353CC}">
              <c16:uniqueId val="{0000000A-DBBC-434F-87DD-846591D2472D}"/>
            </c:ext>
          </c:extLst>
        </c:ser>
        <c:marker val="1"/>
        <c:axId val="192963712"/>
        <c:axId val="192965248"/>
      </c:lineChart>
      <c:catAx>
        <c:axId val="192963712"/>
        <c:scaling>
          <c:orientation val="minMax"/>
        </c:scaling>
        <c:axPos val="b"/>
        <c:numFmt formatCode="General" sourceLinked="1"/>
        <c:tickLblPos val="nextTo"/>
        <c:crossAx val="192965248"/>
        <c:crosses val="autoZero"/>
        <c:auto val="1"/>
        <c:lblAlgn val="ctr"/>
        <c:lblOffset val="100"/>
      </c:catAx>
      <c:valAx>
        <c:axId val="192965248"/>
        <c:scaling>
          <c:orientation val="minMax"/>
        </c:scaling>
        <c:axPos val="l"/>
        <c:majorGridlines/>
        <c:numFmt formatCode="General" sourceLinked="1"/>
        <c:tickLblPos val="nextTo"/>
        <c:crossAx val="192963712"/>
        <c:crosses val="autoZero"/>
        <c:crossBetween val="between"/>
      </c:valAx>
    </c:plotArea>
    <c:legend>
      <c:legendPos val="b"/>
    </c:legend>
    <c:plotVisOnly val="1"/>
    <c:dispBlanksAs val="gap"/>
  </c:chart>
  <c:spPr>
    <a:ln>
      <a:noFill/>
    </a:ln>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Расходы!$A$18</c:f>
              <c:strCache>
                <c:ptCount val="1"/>
                <c:pt idx="0">
                  <c:v>Бардымское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Расходы!$B$18:$H$18</c:f>
              <c:numCache>
                <c:formatCode>0%</c:formatCode>
                <c:ptCount val="7"/>
                <c:pt idx="0">
                  <c:v>0.18619934915454844</c:v>
                </c:pt>
                <c:pt idx="1">
                  <c:v>0.21118973932328233</c:v>
                </c:pt>
                <c:pt idx="2">
                  <c:v>0.29666998285881352</c:v>
                </c:pt>
                <c:pt idx="3">
                  <c:v>0.27540905608711874</c:v>
                </c:pt>
                <c:pt idx="4">
                  <c:v>0.30307488192246501</c:v>
                </c:pt>
                <c:pt idx="5">
                  <c:v>0.30180678935542993</c:v>
                </c:pt>
                <c:pt idx="6" formatCode="0.0%">
                  <c:v>0.27707224494309401</c:v>
                </c:pt>
              </c:numCache>
            </c:numRef>
          </c:val>
          <c:extLst xmlns:c16r2="http://schemas.microsoft.com/office/drawing/2015/06/chart">
            <c:ext xmlns:c16="http://schemas.microsoft.com/office/drawing/2014/chart" uri="{C3380CC4-5D6E-409C-BE32-E72D297353CC}">
              <c16:uniqueId val="{00000000-F767-43EB-8178-7E0DD34106F2}"/>
            </c:ext>
          </c:extLst>
        </c:ser>
        <c:ser>
          <c:idx val="1"/>
          <c:order val="1"/>
          <c:tx>
            <c:strRef>
              <c:f>Расходы!$A$19</c:f>
              <c:strCache>
                <c:ptCount val="1"/>
                <c:pt idx="0">
                  <c:v>Сарашевское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Расходы!$B$19:$H$19</c:f>
              <c:numCache>
                <c:formatCode>0%</c:formatCode>
                <c:ptCount val="7"/>
                <c:pt idx="0">
                  <c:v>0.15138050422032595</c:v>
                </c:pt>
                <c:pt idx="1">
                  <c:v>0.14148198660324904</c:v>
                </c:pt>
                <c:pt idx="2">
                  <c:v>0.10822984916295519</c:v>
                </c:pt>
                <c:pt idx="3">
                  <c:v>0.13194434624640164</c:v>
                </c:pt>
                <c:pt idx="4">
                  <c:v>0.1608701082161208</c:v>
                </c:pt>
                <c:pt idx="5">
                  <c:v>0.10023874521346172</c:v>
                </c:pt>
                <c:pt idx="6" formatCode="0.0%">
                  <c:v>9.2487996893464888E-2</c:v>
                </c:pt>
              </c:numCache>
            </c:numRef>
          </c:val>
          <c:extLst xmlns:c16r2="http://schemas.microsoft.com/office/drawing/2015/06/chart">
            <c:ext xmlns:c16="http://schemas.microsoft.com/office/drawing/2014/chart" uri="{C3380CC4-5D6E-409C-BE32-E72D297353CC}">
              <c16:uniqueId val="{00000001-F767-43EB-8178-7E0DD34106F2}"/>
            </c:ext>
          </c:extLst>
        </c:ser>
        <c:ser>
          <c:idx val="2"/>
          <c:order val="2"/>
          <c:tx>
            <c:strRef>
              <c:f>Расходы!$A$20</c:f>
              <c:strCache>
                <c:ptCount val="1"/>
                <c:pt idx="0">
                  <c:v>Печменское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Расходы!$B$20:$H$20</c:f>
              <c:numCache>
                <c:formatCode>0%</c:formatCode>
                <c:ptCount val="7"/>
                <c:pt idx="0">
                  <c:v>0.16646712953118903</c:v>
                </c:pt>
                <c:pt idx="1">
                  <c:v>0.12491964023221772</c:v>
                </c:pt>
                <c:pt idx="2">
                  <c:v>0.10167698119890736</c:v>
                </c:pt>
                <c:pt idx="3">
                  <c:v>0.11164521605464563</c:v>
                </c:pt>
                <c:pt idx="4">
                  <c:v>0.10463324596460409</c:v>
                </c:pt>
                <c:pt idx="5">
                  <c:v>9.0712644364462747E-2</c:v>
                </c:pt>
                <c:pt idx="6" formatCode="0.0%">
                  <c:v>8.7264148921670767E-2</c:v>
                </c:pt>
              </c:numCache>
            </c:numRef>
          </c:val>
          <c:extLst xmlns:c16r2="http://schemas.microsoft.com/office/drawing/2015/06/chart">
            <c:ext xmlns:c16="http://schemas.microsoft.com/office/drawing/2014/chart" uri="{C3380CC4-5D6E-409C-BE32-E72D297353CC}">
              <c16:uniqueId val="{00000002-F767-43EB-8178-7E0DD34106F2}"/>
            </c:ext>
          </c:extLst>
        </c:ser>
        <c:ser>
          <c:idx val="3"/>
          <c:order val="3"/>
          <c:tx>
            <c:strRef>
              <c:f>Расходы!$A$21</c:f>
              <c:strCache>
                <c:ptCount val="1"/>
                <c:pt idx="0">
                  <c:v>Тюндюковское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Расходы!$B$21:$H$21</c:f>
              <c:numCache>
                <c:formatCode>0%</c:formatCode>
                <c:ptCount val="7"/>
                <c:pt idx="0">
                  <c:v>6.2566448177355377E-2</c:v>
                </c:pt>
                <c:pt idx="1">
                  <c:v>6.3543685826549803E-2</c:v>
                </c:pt>
                <c:pt idx="2">
                  <c:v>5.7354762982621717E-2</c:v>
                </c:pt>
                <c:pt idx="3">
                  <c:v>5.9052468809759423E-2</c:v>
                </c:pt>
                <c:pt idx="4">
                  <c:v>5.8224554938495883E-2</c:v>
                </c:pt>
                <c:pt idx="5">
                  <c:v>7.2021326383760756E-2</c:v>
                </c:pt>
                <c:pt idx="6" formatCode="0.0%">
                  <c:v>7.7282776131455136E-2</c:v>
                </c:pt>
              </c:numCache>
            </c:numRef>
          </c:val>
          <c:extLst xmlns:c16r2="http://schemas.microsoft.com/office/drawing/2015/06/chart">
            <c:ext xmlns:c16="http://schemas.microsoft.com/office/drawing/2014/chart" uri="{C3380CC4-5D6E-409C-BE32-E72D297353CC}">
              <c16:uniqueId val="{00000003-F767-43EB-8178-7E0DD34106F2}"/>
            </c:ext>
          </c:extLst>
        </c:ser>
        <c:ser>
          <c:idx val="4"/>
          <c:order val="4"/>
          <c:tx>
            <c:strRef>
              <c:f>Расходы!$A$22</c:f>
              <c:strCache>
                <c:ptCount val="1"/>
                <c:pt idx="0">
                  <c:v>Березниковское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Расходы!$B$22:$H$22</c:f>
              <c:numCache>
                <c:formatCode>0%</c:formatCode>
                <c:ptCount val="7"/>
                <c:pt idx="0">
                  <c:v>7.1790610814759334E-2</c:v>
                </c:pt>
                <c:pt idx="1">
                  <c:v>7.9160623164839683E-2</c:v>
                </c:pt>
                <c:pt idx="2">
                  <c:v>6.1282688663773364E-2</c:v>
                </c:pt>
                <c:pt idx="3">
                  <c:v>6.9261923160422512E-2</c:v>
                </c:pt>
                <c:pt idx="4">
                  <c:v>5.6352831265895104E-2</c:v>
                </c:pt>
                <c:pt idx="5">
                  <c:v>6.8390537646494123E-2</c:v>
                </c:pt>
                <c:pt idx="6" formatCode="0.0%">
                  <c:v>7.543977102161703E-2</c:v>
                </c:pt>
              </c:numCache>
            </c:numRef>
          </c:val>
          <c:extLst xmlns:c16r2="http://schemas.microsoft.com/office/drawing/2015/06/chart">
            <c:ext xmlns:c16="http://schemas.microsoft.com/office/drawing/2014/chart" uri="{C3380CC4-5D6E-409C-BE32-E72D297353CC}">
              <c16:uniqueId val="{00000004-F767-43EB-8178-7E0DD34106F2}"/>
            </c:ext>
          </c:extLst>
        </c:ser>
        <c:ser>
          <c:idx val="5"/>
          <c:order val="5"/>
          <c:tx>
            <c:strRef>
              <c:f>Расходы!$A$23</c:f>
              <c:strCache>
                <c:ptCount val="1"/>
                <c:pt idx="0">
                  <c:v>Красноярское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Расходы!$B$23:$H$23</c:f>
              <c:numCache>
                <c:formatCode>0%</c:formatCode>
                <c:ptCount val="7"/>
                <c:pt idx="0">
                  <c:v>6.0563757892887912E-2</c:v>
                </c:pt>
                <c:pt idx="1">
                  <c:v>6.2989859115755886E-2</c:v>
                </c:pt>
                <c:pt idx="2">
                  <c:v>5.0681716938151732E-2</c:v>
                </c:pt>
                <c:pt idx="3">
                  <c:v>5.242555640860775E-2</c:v>
                </c:pt>
                <c:pt idx="4">
                  <c:v>6.9041301188560736E-2</c:v>
                </c:pt>
                <c:pt idx="5">
                  <c:v>6.53594656462409E-2</c:v>
                </c:pt>
                <c:pt idx="6" formatCode="0.0%">
                  <c:v>7.4315109298775134E-2</c:v>
                </c:pt>
              </c:numCache>
            </c:numRef>
          </c:val>
          <c:extLst xmlns:c16r2="http://schemas.microsoft.com/office/drawing/2015/06/chart">
            <c:ext xmlns:c16="http://schemas.microsoft.com/office/drawing/2014/chart" uri="{C3380CC4-5D6E-409C-BE32-E72D297353CC}">
              <c16:uniqueId val="{00000005-F767-43EB-8178-7E0DD34106F2}"/>
            </c:ext>
          </c:extLst>
        </c:ser>
        <c:ser>
          <c:idx val="6"/>
          <c:order val="6"/>
          <c:tx>
            <c:strRef>
              <c:f>Расходы!$A$24</c:f>
              <c:strCache>
                <c:ptCount val="1"/>
                <c:pt idx="0">
                  <c:v>Елпачихинское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Расходы!$B$24:$H$24</c:f>
              <c:numCache>
                <c:formatCode>0%</c:formatCode>
                <c:ptCount val="7"/>
                <c:pt idx="0">
                  <c:v>6.3546414340787838E-2</c:v>
                </c:pt>
                <c:pt idx="1">
                  <c:v>6.7776678527992101E-2</c:v>
                </c:pt>
                <c:pt idx="2">
                  <c:v>6.2761873007009181E-2</c:v>
                </c:pt>
                <c:pt idx="3">
                  <c:v>6.5603687847223494E-2</c:v>
                </c:pt>
                <c:pt idx="4">
                  <c:v>4.388818965069808E-2</c:v>
                </c:pt>
                <c:pt idx="5">
                  <c:v>6.3775440765459657E-2</c:v>
                </c:pt>
                <c:pt idx="6" formatCode="0.0%">
                  <c:v>7.4307394393664183E-2</c:v>
                </c:pt>
              </c:numCache>
            </c:numRef>
          </c:val>
          <c:extLst xmlns:c16r2="http://schemas.microsoft.com/office/drawing/2015/06/chart">
            <c:ext xmlns:c16="http://schemas.microsoft.com/office/drawing/2014/chart" uri="{C3380CC4-5D6E-409C-BE32-E72D297353CC}">
              <c16:uniqueId val="{00000006-F767-43EB-8178-7E0DD34106F2}"/>
            </c:ext>
          </c:extLst>
        </c:ser>
        <c:ser>
          <c:idx val="7"/>
          <c:order val="7"/>
          <c:tx>
            <c:strRef>
              <c:f>Расходы!$A$25</c:f>
              <c:strCache>
                <c:ptCount val="1"/>
                <c:pt idx="0">
                  <c:v>Бичуринское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Расходы!$B$25:$H$25</c:f>
              <c:numCache>
                <c:formatCode>0%</c:formatCode>
                <c:ptCount val="7"/>
                <c:pt idx="0">
                  <c:v>6.0539489862897172E-2</c:v>
                </c:pt>
                <c:pt idx="1">
                  <c:v>5.5683982087243594E-2</c:v>
                </c:pt>
                <c:pt idx="2">
                  <c:v>5.0957313287990948E-2</c:v>
                </c:pt>
                <c:pt idx="3">
                  <c:v>5.5146358525360047E-2</c:v>
                </c:pt>
                <c:pt idx="4">
                  <c:v>5.2280129236518404E-2</c:v>
                </c:pt>
                <c:pt idx="5">
                  <c:v>5.8284037437075872E-2</c:v>
                </c:pt>
                <c:pt idx="6" formatCode="0.0%">
                  <c:v>6.5968439180402794E-2</c:v>
                </c:pt>
              </c:numCache>
            </c:numRef>
          </c:val>
          <c:extLst xmlns:c16r2="http://schemas.microsoft.com/office/drawing/2015/06/chart">
            <c:ext xmlns:c16="http://schemas.microsoft.com/office/drawing/2014/chart" uri="{C3380CC4-5D6E-409C-BE32-E72D297353CC}">
              <c16:uniqueId val="{00000007-F767-43EB-8178-7E0DD34106F2}"/>
            </c:ext>
          </c:extLst>
        </c:ser>
        <c:ser>
          <c:idx val="8"/>
          <c:order val="8"/>
          <c:tx>
            <c:strRef>
              <c:f>Расходы!$A$26</c:f>
              <c:strCache>
                <c:ptCount val="1"/>
                <c:pt idx="0">
                  <c:v>Федорковское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Расходы!$B$26:$H$26</c:f>
              <c:numCache>
                <c:formatCode>0%</c:formatCode>
                <c:ptCount val="7"/>
                <c:pt idx="0">
                  <c:v>4.9764484547044123E-2</c:v>
                </c:pt>
                <c:pt idx="1">
                  <c:v>5.795662341369575E-2</c:v>
                </c:pt>
                <c:pt idx="2">
                  <c:v>5.1419050123295479E-2</c:v>
                </c:pt>
                <c:pt idx="3">
                  <c:v>5.0120651894538945E-2</c:v>
                </c:pt>
                <c:pt idx="4">
                  <c:v>3.6654318264390209E-2</c:v>
                </c:pt>
                <c:pt idx="5">
                  <c:v>6.0273727226349813E-2</c:v>
                </c:pt>
                <c:pt idx="6" formatCode="0.0%">
                  <c:v>5.3703454477345661E-2</c:v>
                </c:pt>
              </c:numCache>
            </c:numRef>
          </c:val>
          <c:extLst xmlns:c16r2="http://schemas.microsoft.com/office/drawing/2015/06/chart">
            <c:ext xmlns:c16="http://schemas.microsoft.com/office/drawing/2014/chart" uri="{C3380CC4-5D6E-409C-BE32-E72D297353CC}">
              <c16:uniqueId val="{00000008-F767-43EB-8178-7E0DD34106F2}"/>
            </c:ext>
          </c:extLst>
        </c:ser>
        <c:ser>
          <c:idx val="9"/>
          <c:order val="9"/>
          <c:tx>
            <c:strRef>
              <c:f>Расходы!$A$27</c:f>
              <c:strCache>
                <c:ptCount val="1"/>
                <c:pt idx="0">
                  <c:v>Брюзлинское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Расходы!$B$27:$H$27</c:f>
              <c:numCache>
                <c:formatCode>0%</c:formatCode>
                <c:ptCount val="7"/>
                <c:pt idx="0">
                  <c:v>4.0023759556981384E-2</c:v>
                </c:pt>
                <c:pt idx="1">
                  <c:v>4.6505585232588895E-2</c:v>
                </c:pt>
                <c:pt idx="2">
                  <c:v>8.5171922424597327E-2</c:v>
                </c:pt>
                <c:pt idx="3">
                  <c:v>4.2226083600408922E-2</c:v>
                </c:pt>
                <c:pt idx="4">
                  <c:v>4.1507986453521932E-2</c:v>
                </c:pt>
                <c:pt idx="5">
                  <c:v>4.2399885500640562E-2</c:v>
                </c:pt>
                <c:pt idx="6" formatCode="0.0%">
                  <c:v>4.6706035541710933E-2</c:v>
                </c:pt>
              </c:numCache>
            </c:numRef>
          </c:val>
          <c:extLst xmlns:c16r2="http://schemas.microsoft.com/office/drawing/2015/06/chart">
            <c:ext xmlns:c16="http://schemas.microsoft.com/office/drawing/2014/chart" uri="{C3380CC4-5D6E-409C-BE32-E72D297353CC}">
              <c16:uniqueId val="{00000009-F767-43EB-8178-7E0DD34106F2}"/>
            </c:ext>
          </c:extLst>
        </c:ser>
        <c:ser>
          <c:idx val="10"/>
          <c:order val="10"/>
          <c:tx>
            <c:strRef>
              <c:f>Расходы!$A$28</c:f>
              <c:strCache>
                <c:ptCount val="1"/>
                <c:pt idx="0">
                  <c:v>Шермейское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Расходы!$B$28:$H$28</c:f>
              <c:numCache>
                <c:formatCode>0%</c:formatCode>
                <c:ptCount val="7"/>
                <c:pt idx="0">
                  <c:v>4.4030295746392174E-2</c:v>
                </c:pt>
                <c:pt idx="1">
                  <c:v>3.9197268438830819E-2</c:v>
                </c:pt>
                <c:pt idx="2">
                  <c:v>3.8231990682132642E-2</c:v>
                </c:pt>
                <c:pt idx="3">
                  <c:v>3.7404998590107291E-2</c:v>
                </c:pt>
                <c:pt idx="4">
                  <c:v>4.0939494991436898E-2</c:v>
                </c:pt>
                <c:pt idx="5">
                  <c:v>4.1907292397470826E-2</c:v>
                </c:pt>
                <c:pt idx="6" formatCode="0.0%">
                  <c:v>3.9172859306704354E-2</c:v>
                </c:pt>
              </c:numCache>
            </c:numRef>
          </c:val>
          <c:extLst xmlns:c16r2="http://schemas.microsoft.com/office/drawing/2015/06/chart">
            <c:ext xmlns:c16="http://schemas.microsoft.com/office/drawing/2014/chart" uri="{C3380CC4-5D6E-409C-BE32-E72D297353CC}">
              <c16:uniqueId val="{0000000A-F767-43EB-8178-7E0DD34106F2}"/>
            </c:ext>
          </c:extLst>
        </c:ser>
        <c:ser>
          <c:idx val="11"/>
          <c:order val="11"/>
          <c:tx>
            <c:strRef>
              <c:f>Расходы!$A$29</c:f>
              <c:strCache>
                <c:ptCount val="1"/>
                <c:pt idx="0">
                  <c:v>Новоашапское сельское поселение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Расходы!$B$17:$H$17</c:f>
              <c:strCache>
                <c:ptCount val="7"/>
                <c:pt idx="0">
                  <c:v>2010 год</c:v>
                </c:pt>
                <c:pt idx="1">
                  <c:v>2011 год</c:v>
                </c:pt>
                <c:pt idx="2">
                  <c:v>2012 год</c:v>
                </c:pt>
                <c:pt idx="3">
                  <c:v>2013 год</c:v>
                </c:pt>
                <c:pt idx="4">
                  <c:v>2014 год</c:v>
                </c:pt>
                <c:pt idx="5">
                  <c:v>2015 год</c:v>
                </c:pt>
                <c:pt idx="6">
                  <c:v>2016 год</c:v>
                </c:pt>
              </c:strCache>
            </c:strRef>
          </c:cat>
          <c:val>
            <c:numRef>
              <c:f>Расходы!$B$29:$H$29</c:f>
              <c:numCache>
                <c:formatCode>0%</c:formatCode>
                <c:ptCount val="7"/>
                <c:pt idx="0">
                  <c:v>4.3127756154834683E-2</c:v>
                </c:pt>
                <c:pt idx="1">
                  <c:v>4.9594328033756824E-2</c:v>
                </c:pt>
                <c:pt idx="2">
                  <c:v>3.5561868669755206E-2</c:v>
                </c:pt>
                <c:pt idx="3">
                  <c:v>4.9759652775409467E-2</c:v>
                </c:pt>
                <c:pt idx="4">
                  <c:v>3.2532957907302651E-2</c:v>
                </c:pt>
                <c:pt idx="5">
                  <c:v>3.4830108063161107E-2</c:v>
                </c:pt>
                <c:pt idx="6" formatCode="0.0%">
                  <c:v>3.6279769890096895E-2</c:v>
                </c:pt>
              </c:numCache>
            </c:numRef>
          </c:val>
          <c:extLst xmlns:c16r2="http://schemas.microsoft.com/office/drawing/2015/06/chart">
            <c:ext xmlns:c16="http://schemas.microsoft.com/office/drawing/2014/chart" uri="{C3380CC4-5D6E-409C-BE32-E72D297353CC}">
              <c16:uniqueId val="{0000000B-F767-43EB-8178-7E0DD34106F2}"/>
            </c:ext>
          </c:extLst>
        </c:ser>
        <c:shape val="box"/>
        <c:axId val="193024000"/>
        <c:axId val="193025536"/>
        <c:axId val="0"/>
      </c:bar3DChart>
      <c:catAx>
        <c:axId val="193024000"/>
        <c:scaling>
          <c:orientation val="minMax"/>
        </c:scaling>
        <c:axPos val="b"/>
        <c:numFmt formatCode="General" sourceLinked="0"/>
        <c:tickLblPos val="nextTo"/>
        <c:crossAx val="193025536"/>
        <c:crosses val="autoZero"/>
        <c:auto val="1"/>
        <c:lblAlgn val="ctr"/>
        <c:lblOffset val="100"/>
      </c:catAx>
      <c:valAx>
        <c:axId val="193025536"/>
        <c:scaling>
          <c:orientation val="minMax"/>
        </c:scaling>
        <c:axPos val="l"/>
        <c:majorGridlines/>
        <c:numFmt formatCode="0%" sourceLinked="1"/>
        <c:tickLblPos val="nextTo"/>
        <c:crossAx val="193024000"/>
        <c:crosses val="autoZero"/>
        <c:crossBetween val="between"/>
      </c:valAx>
    </c:plotArea>
    <c:legend>
      <c:legendPos val="b"/>
    </c:legend>
    <c:plotVisOnly val="1"/>
    <c:dispBlanksAs val="gap"/>
  </c:chart>
  <c:spPr>
    <a:ln>
      <a:noFill/>
    </a:ln>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bar"/>
        <c:grouping val="clustered"/>
        <c:ser>
          <c:idx val="0"/>
          <c:order val="0"/>
          <c:tx>
            <c:strRef>
              <c:f>Расходы!$F$34</c:f>
              <c:strCache>
                <c:ptCount val="1"/>
                <c:pt idx="0">
                  <c:v>Доходы бюджета в расчете на 1 жителя, тыс.руб.</c:v>
                </c:pt>
              </c:strCache>
            </c:strRef>
          </c:tx>
          <c:dLbls>
            <c:spPr>
              <a:noFill/>
              <a:ln>
                <a:noFill/>
              </a:ln>
              <a:effectLst/>
            </c:spPr>
            <c:txPr>
              <a:bodyPr/>
              <a:lstStyle/>
              <a:p>
                <a:pPr>
                  <a:defRPr sz="95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Расходы!$A$35:$A$46</c:f>
              <c:strCache>
                <c:ptCount val="12"/>
                <c:pt idx="0">
                  <c:v>Новоашапское сельское поселение</c:v>
                </c:pt>
                <c:pt idx="1">
                  <c:v>Шермейское сельское поселение</c:v>
                </c:pt>
                <c:pt idx="2">
                  <c:v>Тюндюковское сельское поселение</c:v>
                </c:pt>
                <c:pt idx="3">
                  <c:v>Березниковское сельское поселение</c:v>
                </c:pt>
                <c:pt idx="4">
                  <c:v>Брюзлинское сельское поселение</c:v>
                </c:pt>
                <c:pt idx="5">
                  <c:v>Печменское сельское поселение</c:v>
                </c:pt>
                <c:pt idx="6">
                  <c:v>Федорковское сельское поселение</c:v>
                </c:pt>
                <c:pt idx="7">
                  <c:v>Бичуринское сельское поселение</c:v>
                </c:pt>
                <c:pt idx="8">
                  <c:v>Сарашевское сельское поселение</c:v>
                </c:pt>
                <c:pt idx="9">
                  <c:v>Елпачихинское сельское поселение</c:v>
                </c:pt>
                <c:pt idx="10">
                  <c:v>Красноярское сельское поселение</c:v>
                </c:pt>
                <c:pt idx="11">
                  <c:v>Бардымское сельское поселение</c:v>
                </c:pt>
              </c:strCache>
            </c:strRef>
          </c:cat>
          <c:val>
            <c:numRef>
              <c:f>Расходы!$F$35:$F$46</c:f>
              <c:numCache>
                <c:formatCode>0.000</c:formatCode>
                <c:ptCount val="12"/>
                <c:pt idx="0">
                  <c:v>10.547630331753551</c:v>
                </c:pt>
                <c:pt idx="1">
                  <c:v>9.5471816283924689</c:v>
                </c:pt>
                <c:pt idx="2">
                  <c:v>6.9563262195121984</c:v>
                </c:pt>
                <c:pt idx="3">
                  <c:v>6.5194281524927034</c:v>
                </c:pt>
                <c:pt idx="4">
                  <c:v>6.3035353535353345</c:v>
                </c:pt>
                <c:pt idx="5">
                  <c:v>5.7440572495332765</c:v>
                </c:pt>
                <c:pt idx="6">
                  <c:v>5.3472972972972945</c:v>
                </c:pt>
                <c:pt idx="7">
                  <c:v>4.8566585956416972</c:v>
                </c:pt>
                <c:pt idx="8">
                  <c:v>4.6273019702452052</c:v>
                </c:pt>
                <c:pt idx="9">
                  <c:v>4.5491649269311072</c:v>
                </c:pt>
                <c:pt idx="10">
                  <c:v>3.8747887950200077</c:v>
                </c:pt>
                <c:pt idx="11">
                  <c:v>3.2930599369085169</c:v>
                </c:pt>
              </c:numCache>
            </c:numRef>
          </c:val>
          <c:extLst xmlns:c16r2="http://schemas.microsoft.com/office/drawing/2015/06/chart">
            <c:ext xmlns:c16="http://schemas.microsoft.com/office/drawing/2014/chart" uri="{C3380CC4-5D6E-409C-BE32-E72D297353CC}">
              <c16:uniqueId val="{00000000-75F2-462D-B518-9EB04B6E634F}"/>
            </c:ext>
          </c:extLst>
        </c:ser>
        <c:ser>
          <c:idx val="1"/>
          <c:order val="1"/>
          <c:tx>
            <c:strRef>
              <c:f>Расходы!$G$34</c:f>
              <c:strCache>
                <c:ptCount val="1"/>
                <c:pt idx="0">
                  <c:v>Расходы бюджета в расчете на 1 жителя, тыс.руб.</c:v>
                </c:pt>
              </c:strCache>
            </c:strRef>
          </c:tx>
          <c:dLbls>
            <c:spPr>
              <a:noFill/>
              <a:ln>
                <a:noFill/>
              </a:ln>
              <a:effectLst/>
            </c:spPr>
            <c:txPr>
              <a:bodyPr/>
              <a:lstStyle/>
              <a:p>
                <a:pPr>
                  <a:defRPr sz="90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Расходы!$A$35:$A$46</c:f>
              <c:strCache>
                <c:ptCount val="12"/>
                <c:pt idx="0">
                  <c:v>Новоашапское сельское поселение</c:v>
                </c:pt>
                <c:pt idx="1">
                  <c:v>Шермейское сельское поселение</c:v>
                </c:pt>
                <c:pt idx="2">
                  <c:v>Тюндюковское сельское поселение</c:v>
                </c:pt>
                <c:pt idx="3">
                  <c:v>Березниковское сельское поселение</c:v>
                </c:pt>
                <c:pt idx="4">
                  <c:v>Брюзлинское сельское поселение</c:v>
                </c:pt>
                <c:pt idx="5">
                  <c:v>Печменское сельское поселение</c:v>
                </c:pt>
                <c:pt idx="6">
                  <c:v>Федорковское сельское поселение</c:v>
                </c:pt>
                <c:pt idx="7">
                  <c:v>Бичуринское сельское поселение</c:v>
                </c:pt>
                <c:pt idx="8">
                  <c:v>Сарашевское сельское поселение</c:v>
                </c:pt>
                <c:pt idx="9">
                  <c:v>Елпачихинское сельское поселение</c:v>
                </c:pt>
                <c:pt idx="10">
                  <c:v>Красноярское сельское поселение</c:v>
                </c:pt>
                <c:pt idx="11">
                  <c:v>Бардымское сельское поселение</c:v>
                </c:pt>
              </c:strCache>
            </c:strRef>
          </c:cat>
          <c:val>
            <c:numRef>
              <c:f>Расходы!$G$35:$G$46</c:f>
              <c:numCache>
                <c:formatCode>0.000</c:formatCode>
                <c:ptCount val="12"/>
                <c:pt idx="0">
                  <c:v>10.029146919431366</c:v>
                </c:pt>
                <c:pt idx="1">
                  <c:v>9.5402922755741137</c:v>
                </c:pt>
                <c:pt idx="2">
                  <c:v>6.8716463414634434</c:v>
                </c:pt>
                <c:pt idx="3">
                  <c:v>6.4520527859238079</c:v>
                </c:pt>
                <c:pt idx="4">
                  <c:v>6.8795454545454549</c:v>
                </c:pt>
                <c:pt idx="5">
                  <c:v>6.3347853142501558</c:v>
                </c:pt>
                <c:pt idx="6">
                  <c:v>5.2913006756756804</c:v>
                </c:pt>
                <c:pt idx="7">
                  <c:v>4.6584140435835346</c:v>
                </c:pt>
                <c:pt idx="8">
                  <c:v>4.3383192601527947</c:v>
                </c:pt>
                <c:pt idx="9">
                  <c:v>4.5242693110647183</c:v>
                </c:pt>
                <c:pt idx="10">
                  <c:v>3.8547799021787377</c:v>
                </c:pt>
                <c:pt idx="11">
                  <c:v>3.2891523354024632</c:v>
                </c:pt>
              </c:numCache>
            </c:numRef>
          </c:val>
          <c:extLst xmlns:c16r2="http://schemas.microsoft.com/office/drawing/2015/06/chart">
            <c:ext xmlns:c16="http://schemas.microsoft.com/office/drawing/2014/chart" uri="{C3380CC4-5D6E-409C-BE32-E72D297353CC}">
              <c16:uniqueId val="{00000001-75F2-462D-B518-9EB04B6E634F}"/>
            </c:ext>
          </c:extLst>
        </c:ser>
        <c:shape val="box"/>
        <c:axId val="193134592"/>
        <c:axId val="193136128"/>
        <c:axId val="0"/>
      </c:bar3DChart>
      <c:catAx>
        <c:axId val="193134592"/>
        <c:scaling>
          <c:orientation val="minMax"/>
        </c:scaling>
        <c:axPos val="l"/>
        <c:numFmt formatCode="General" sourceLinked="0"/>
        <c:tickLblPos val="nextTo"/>
        <c:crossAx val="193136128"/>
        <c:crosses val="autoZero"/>
        <c:auto val="1"/>
        <c:lblAlgn val="ctr"/>
        <c:lblOffset val="100"/>
      </c:catAx>
      <c:valAx>
        <c:axId val="193136128"/>
        <c:scaling>
          <c:orientation val="minMax"/>
        </c:scaling>
        <c:axPos val="b"/>
        <c:majorGridlines/>
        <c:numFmt formatCode="0.000" sourceLinked="1"/>
        <c:tickLblPos val="nextTo"/>
        <c:crossAx val="193134592"/>
        <c:crosses val="autoZero"/>
        <c:crossBetween val="between"/>
      </c:valAx>
    </c:plotArea>
    <c:legend>
      <c:legendPos val="b"/>
    </c:legend>
    <c:plotVisOnly val="1"/>
    <c:dispBlanksAs val="gap"/>
  </c:chart>
  <c:spPr>
    <a:ln>
      <a:noFill/>
    </a:ln>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3861018386900743E-2"/>
          <c:y val="2.4580531148083978E-2"/>
          <c:w val="0.88007858044113652"/>
          <c:h val="0.45626159562903151"/>
        </c:manualLayout>
      </c:layout>
      <c:areaChart>
        <c:grouping val="stacked"/>
        <c:ser>
          <c:idx val="0"/>
          <c:order val="0"/>
          <c:tx>
            <c:strRef>
              <c:f>Лист3!$F$45</c:f>
              <c:strCache>
                <c:ptCount val="1"/>
                <c:pt idx="0">
                  <c:v>2015</c:v>
                </c:pt>
              </c:strCache>
            </c:strRef>
          </c:tx>
          <c:spPr>
            <a:solidFill>
              <a:schemeClr val="accent1"/>
            </a:solidFill>
            <a:ln>
              <a:noFill/>
            </a:ln>
            <a:effectLst/>
          </c:spPr>
          <c:cat>
            <c:strRef>
              <c:f>Лист3!$E$46:$E$79</c:f>
              <c:strCache>
                <c:ptCount val="34"/>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Соликамский </c:v>
                </c:pt>
                <c:pt idx="26">
                  <c:v>Суксунский </c:v>
                </c:pt>
                <c:pt idx="27">
                  <c:v>Уинский </c:v>
                </c:pt>
                <c:pt idx="28">
                  <c:v>Усольский </c:v>
                </c:pt>
                <c:pt idx="29">
                  <c:v>Чайковский </c:v>
                </c:pt>
                <c:pt idx="30">
                  <c:v>Частинский </c:v>
                </c:pt>
                <c:pt idx="31">
                  <c:v>Чердынский </c:v>
                </c:pt>
                <c:pt idx="32">
                  <c:v>Чернушинский </c:v>
                </c:pt>
                <c:pt idx="33">
                  <c:v>Чусовской </c:v>
                </c:pt>
              </c:strCache>
            </c:strRef>
          </c:cat>
          <c:val>
            <c:numRef>
              <c:f>Лист3!$F$46:$F$79</c:f>
              <c:numCache>
                <c:formatCode>General</c:formatCode>
                <c:ptCount val="34"/>
                <c:pt idx="0">
                  <c:v>10252.023800000004</c:v>
                </c:pt>
                <c:pt idx="1">
                  <c:v>10548.9532</c:v>
                </c:pt>
                <c:pt idx="2">
                  <c:v>448.47529999999864</c:v>
                </c:pt>
                <c:pt idx="3">
                  <c:v>200.5001</c:v>
                </c:pt>
                <c:pt idx="4">
                  <c:v>4468.5648000000001</c:v>
                </c:pt>
                <c:pt idx="5">
                  <c:v>6997.1844000000001</c:v>
                </c:pt>
                <c:pt idx="6">
                  <c:v>635.85619999999119</c:v>
                </c:pt>
                <c:pt idx="7">
                  <c:v>38529.370600000002</c:v>
                </c:pt>
                <c:pt idx="8">
                  <c:v>1206.3001999999999</c:v>
                </c:pt>
                <c:pt idx="9">
                  <c:v>1229.9504999999999</c:v>
                </c:pt>
                <c:pt idx="10">
                  <c:v>1133.6807999999999</c:v>
                </c:pt>
                <c:pt idx="11">
                  <c:v>1208.6448999999998</c:v>
                </c:pt>
                <c:pt idx="12">
                  <c:v>356.37970000000001</c:v>
                </c:pt>
                <c:pt idx="13">
                  <c:v>9899.3519999997734</c:v>
                </c:pt>
                <c:pt idx="14">
                  <c:v>19938.189300000002</c:v>
                </c:pt>
                <c:pt idx="15">
                  <c:v>39827.039100000002</c:v>
                </c:pt>
                <c:pt idx="16">
                  <c:v>8943.2916000000005</c:v>
                </c:pt>
                <c:pt idx="17">
                  <c:v>12273.8277</c:v>
                </c:pt>
                <c:pt idx="18">
                  <c:v>17590.063200000001</c:v>
                </c:pt>
                <c:pt idx="19">
                  <c:v>6119.5962000000054</c:v>
                </c:pt>
                <c:pt idx="20">
                  <c:v>15796.2901</c:v>
                </c:pt>
                <c:pt idx="21">
                  <c:v>534.37840000000051</c:v>
                </c:pt>
                <c:pt idx="22">
                  <c:v>1816.6517999999999</c:v>
                </c:pt>
                <c:pt idx="23">
                  <c:v>16903.0229</c:v>
                </c:pt>
                <c:pt idx="24">
                  <c:v>580.71780000000001</c:v>
                </c:pt>
                <c:pt idx="25">
                  <c:v>10004.0906</c:v>
                </c:pt>
                <c:pt idx="26">
                  <c:v>1877.7977000000001</c:v>
                </c:pt>
                <c:pt idx="27">
                  <c:v>7115.5630999999994</c:v>
                </c:pt>
                <c:pt idx="28">
                  <c:v>41392.159800000001</c:v>
                </c:pt>
                <c:pt idx="29">
                  <c:v>84160.052899999908</c:v>
                </c:pt>
                <c:pt idx="30">
                  <c:v>11995.967799999891</c:v>
                </c:pt>
                <c:pt idx="31">
                  <c:v>261.33339999999669</c:v>
                </c:pt>
                <c:pt idx="32">
                  <c:v>27098.000600000003</c:v>
                </c:pt>
                <c:pt idx="33">
                  <c:v>8893.4600999998693</c:v>
                </c:pt>
              </c:numCache>
            </c:numRef>
          </c:val>
          <c:extLst xmlns:c16r2="http://schemas.microsoft.com/office/drawing/2015/06/chart">
            <c:ext xmlns:c16="http://schemas.microsoft.com/office/drawing/2014/chart" uri="{C3380CC4-5D6E-409C-BE32-E72D297353CC}">
              <c16:uniqueId val="{00000000-8EEA-432B-ABA3-C28BDC137A8D}"/>
            </c:ext>
          </c:extLst>
        </c:ser>
        <c:ser>
          <c:idx val="1"/>
          <c:order val="1"/>
          <c:tx>
            <c:strRef>
              <c:f>Лист3!$G$45</c:f>
              <c:strCache>
                <c:ptCount val="1"/>
                <c:pt idx="0">
                  <c:v>2016</c:v>
                </c:pt>
              </c:strCache>
            </c:strRef>
          </c:tx>
          <c:spPr>
            <a:solidFill>
              <a:schemeClr val="accent2"/>
            </a:solidFill>
            <a:ln>
              <a:noFill/>
            </a:ln>
            <a:effectLst/>
          </c:spPr>
          <c:cat>
            <c:strRef>
              <c:f>Лист3!$E$46:$E$79</c:f>
              <c:strCache>
                <c:ptCount val="34"/>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Соликамский </c:v>
                </c:pt>
                <c:pt idx="26">
                  <c:v>Суксунский </c:v>
                </c:pt>
                <c:pt idx="27">
                  <c:v>Уинский </c:v>
                </c:pt>
                <c:pt idx="28">
                  <c:v>Усольский </c:v>
                </c:pt>
                <c:pt idx="29">
                  <c:v>Чайковский </c:v>
                </c:pt>
                <c:pt idx="30">
                  <c:v>Частинский </c:v>
                </c:pt>
                <c:pt idx="31">
                  <c:v>Чердынский </c:v>
                </c:pt>
                <c:pt idx="32">
                  <c:v>Чернушинский </c:v>
                </c:pt>
                <c:pt idx="33">
                  <c:v>Чусовской </c:v>
                </c:pt>
              </c:strCache>
            </c:strRef>
          </c:cat>
          <c:val>
            <c:numRef>
              <c:f>Лист3!$G$46:$G$79</c:f>
              <c:numCache>
                <c:formatCode>General</c:formatCode>
                <c:ptCount val="34"/>
                <c:pt idx="0">
                  <c:v>10388.4882</c:v>
                </c:pt>
                <c:pt idx="1">
                  <c:v>10713.121400000016</c:v>
                </c:pt>
                <c:pt idx="2">
                  <c:v>609.14659999999947</c:v>
                </c:pt>
                <c:pt idx="3">
                  <c:v>167.45040000000168</c:v>
                </c:pt>
                <c:pt idx="4">
                  <c:v>4787.9852000000001</c:v>
                </c:pt>
                <c:pt idx="5">
                  <c:v>8044.7735999999995</c:v>
                </c:pt>
                <c:pt idx="6">
                  <c:v>529.17540000000054</c:v>
                </c:pt>
                <c:pt idx="7">
                  <c:v>36643.310000000012</c:v>
                </c:pt>
                <c:pt idx="8">
                  <c:v>1143.2918999999999</c:v>
                </c:pt>
                <c:pt idx="9">
                  <c:v>1149.5311999999999</c:v>
                </c:pt>
                <c:pt idx="10">
                  <c:v>1355.5600999999999</c:v>
                </c:pt>
                <c:pt idx="11">
                  <c:v>735.63209999999947</c:v>
                </c:pt>
                <c:pt idx="12">
                  <c:v>495.88420000000002</c:v>
                </c:pt>
                <c:pt idx="13">
                  <c:v>9017.1398000000008</c:v>
                </c:pt>
                <c:pt idx="14">
                  <c:v>20584.468300000121</c:v>
                </c:pt>
                <c:pt idx="15">
                  <c:v>38199.482800000013</c:v>
                </c:pt>
                <c:pt idx="16">
                  <c:v>8757.6603000000014</c:v>
                </c:pt>
                <c:pt idx="17">
                  <c:v>13378.802699999882</c:v>
                </c:pt>
                <c:pt idx="18">
                  <c:v>17398.372600000002</c:v>
                </c:pt>
                <c:pt idx="19">
                  <c:v>6732.8239000000003</c:v>
                </c:pt>
                <c:pt idx="20">
                  <c:v>15794.750099999987</c:v>
                </c:pt>
                <c:pt idx="21">
                  <c:v>471.76309999999899</c:v>
                </c:pt>
                <c:pt idx="22">
                  <c:v>1784.6768</c:v>
                </c:pt>
                <c:pt idx="23">
                  <c:v>23144.479899999998</c:v>
                </c:pt>
                <c:pt idx="24">
                  <c:v>513.13259999999946</c:v>
                </c:pt>
                <c:pt idx="25">
                  <c:v>10777.268599999989</c:v>
                </c:pt>
                <c:pt idx="26">
                  <c:v>2068.6271000000002</c:v>
                </c:pt>
                <c:pt idx="27">
                  <c:v>8252.4862999998841</c:v>
                </c:pt>
                <c:pt idx="28">
                  <c:v>37810.002100000005</c:v>
                </c:pt>
                <c:pt idx="29">
                  <c:v>86776.730100000001</c:v>
                </c:pt>
                <c:pt idx="30">
                  <c:v>12361.2739</c:v>
                </c:pt>
                <c:pt idx="31">
                  <c:v>224.68929999999997</c:v>
                </c:pt>
                <c:pt idx="32">
                  <c:v>27875.0452</c:v>
                </c:pt>
                <c:pt idx="33">
                  <c:v>9019.8316999998824</c:v>
                </c:pt>
              </c:numCache>
            </c:numRef>
          </c:val>
          <c:extLst xmlns:c16r2="http://schemas.microsoft.com/office/drawing/2015/06/chart">
            <c:ext xmlns:c16="http://schemas.microsoft.com/office/drawing/2014/chart" uri="{C3380CC4-5D6E-409C-BE32-E72D297353CC}">
              <c16:uniqueId val="{00000001-8EEA-432B-ABA3-C28BDC137A8D}"/>
            </c:ext>
          </c:extLst>
        </c:ser>
        <c:axId val="193177088"/>
        <c:axId val="193178624"/>
      </c:areaChart>
      <c:catAx>
        <c:axId val="19317708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78624"/>
        <c:crosses val="autoZero"/>
        <c:auto val="1"/>
        <c:lblAlgn val="ctr"/>
        <c:lblOffset val="100"/>
      </c:catAx>
      <c:valAx>
        <c:axId val="1931786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177088"/>
        <c:crosses val="autoZero"/>
        <c:crossBetween val="midCat"/>
      </c:valAx>
      <c:spPr>
        <a:noFill/>
        <a:ln w="25400">
          <a:noFill/>
        </a:ln>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chart>
  <c:spPr>
    <a:solidFill>
      <a:schemeClr val="bg1"/>
    </a:solidFill>
    <a:ln w="9525" cap="flat" cmpd="sng" algn="ctr">
      <a:noFill/>
      <a:round/>
    </a:ln>
    <a:effectLst/>
  </c:spPr>
  <c:txPr>
    <a:bodyPr/>
    <a:lstStyle/>
    <a:p>
      <a:pPr>
        <a:defRPr/>
      </a:pPr>
      <a:endParaRPr lang="ru-RU"/>
    </a:p>
  </c:tx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4206306787814583E-2"/>
                  <c:y val="-4.3247493611165706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4A-497E-ADB9-DF0096640EBF}"/>
                </c:ext>
              </c:extLst>
            </c:dLbl>
            <c:dLbl>
              <c:idx val="1"/>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4A-497E-ADB9-DF0096640EBF}"/>
                </c:ext>
              </c:extLst>
            </c:dLbl>
            <c:dLbl>
              <c:idx val="2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4A-497E-ADB9-DF0096640EBF}"/>
                </c:ext>
              </c:extLst>
            </c:dLbl>
            <c:dLbl>
              <c:idx val="28"/>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4A-497E-ADB9-DF0096640EBF}"/>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Лист6!$K$2:$K$33</c:f>
              <c:strCache>
                <c:ptCount val="32"/>
                <c:pt idx="0">
                  <c:v>Бардымский </c:v>
                </c:pt>
                <c:pt idx="1">
                  <c:v>Александровский </c:v>
                </c:pt>
                <c:pt idx="2">
                  <c:v>Березовский </c:v>
                </c:pt>
                <c:pt idx="3">
                  <c:v>Большесосновский </c:v>
                </c:pt>
                <c:pt idx="4">
                  <c:v>Верещагинский </c:v>
                </c:pt>
                <c:pt idx="5">
                  <c:v>Горнозаводский </c:v>
                </c:pt>
                <c:pt idx="6">
                  <c:v>Гремячинский </c:v>
                </c:pt>
                <c:pt idx="7">
                  <c:v>Добрянский </c:v>
                </c:pt>
                <c:pt idx="8">
                  <c:v>Еловский </c:v>
                </c:pt>
                <c:pt idx="9">
                  <c:v>Ильинский </c:v>
                </c:pt>
                <c:pt idx="10">
                  <c:v>Карагайский </c:v>
                </c:pt>
                <c:pt idx="11">
                  <c:v>Кизеловский </c:v>
                </c:pt>
                <c:pt idx="12">
                  <c:v>Кишертский </c:v>
                </c:pt>
                <c:pt idx="13">
                  <c:v>Красновишерский </c:v>
                </c:pt>
                <c:pt idx="14">
                  <c:v>Краснокамский </c:v>
                </c:pt>
                <c:pt idx="15">
                  <c:v>Куединский </c:v>
                </c:pt>
                <c:pt idx="16">
                  <c:v>Кунгурский </c:v>
                </c:pt>
                <c:pt idx="17">
                  <c:v>Нытвенский </c:v>
                </c:pt>
                <c:pt idx="18">
                  <c:v>Октябрьский</c:v>
                </c:pt>
                <c:pt idx="19">
                  <c:v>Ординский </c:v>
                </c:pt>
                <c:pt idx="20">
                  <c:v>Осинский </c:v>
                </c:pt>
                <c:pt idx="21">
                  <c:v>Оханский </c:v>
                </c:pt>
                <c:pt idx="22">
                  <c:v>Очерский </c:v>
                </c:pt>
                <c:pt idx="23">
                  <c:v>Пермский </c:v>
                </c:pt>
                <c:pt idx="24">
                  <c:v>Сивинский </c:v>
                </c:pt>
                <c:pt idx="25">
                  <c:v>Суксунский </c:v>
                </c:pt>
                <c:pt idx="26">
                  <c:v>Уинский </c:v>
                </c:pt>
                <c:pt idx="27">
                  <c:v>Усольский </c:v>
                </c:pt>
                <c:pt idx="28">
                  <c:v>Чайковский </c:v>
                </c:pt>
                <c:pt idx="29">
                  <c:v>Чердынский </c:v>
                </c:pt>
                <c:pt idx="30">
                  <c:v>Чернушинский </c:v>
                </c:pt>
                <c:pt idx="31">
                  <c:v>Чусовской </c:v>
                </c:pt>
              </c:strCache>
            </c:strRef>
          </c:cat>
          <c:val>
            <c:numRef>
              <c:f>Лист6!$L$2:$L$33</c:f>
              <c:numCache>
                <c:formatCode>General</c:formatCode>
                <c:ptCount val="32"/>
                <c:pt idx="0">
                  <c:v>424.61180000000002</c:v>
                </c:pt>
                <c:pt idx="1">
                  <c:v>10722.234600000014</c:v>
                </c:pt>
                <c:pt idx="2">
                  <c:v>232.55520000000001</c:v>
                </c:pt>
                <c:pt idx="3">
                  <c:v>136.63399999999999</c:v>
                </c:pt>
                <c:pt idx="4">
                  <c:v>776.64289999999949</c:v>
                </c:pt>
                <c:pt idx="5">
                  <c:v>516.17520000000002</c:v>
                </c:pt>
                <c:pt idx="6">
                  <c:v>243.83940000000001</c:v>
                </c:pt>
                <c:pt idx="7">
                  <c:v>2938.9677999999999</c:v>
                </c:pt>
                <c:pt idx="8">
                  <c:v>176.34900000000002</c:v>
                </c:pt>
                <c:pt idx="9">
                  <c:v>172.309</c:v>
                </c:pt>
                <c:pt idx="10">
                  <c:v>333.96099999999899</c:v>
                </c:pt>
                <c:pt idx="11">
                  <c:v>422.16429999999997</c:v>
                </c:pt>
                <c:pt idx="12">
                  <c:v>32.139500000000012</c:v>
                </c:pt>
                <c:pt idx="13">
                  <c:v>242.084</c:v>
                </c:pt>
                <c:pt idx="14">
                  <c:v>2591.2036000000003</c:v>
                </c:pt>
                <c:pt idx="15">
                  <c:v>380.54050000000001</c:v>
                </c:pt>
                <c:pt idx="16">
                  <c:v>40.270400000000002</c:v>
                </c:pt>
                <c:pt idx="17">
                  <c:v>2033.4301</c:v>
                </c:pt>
                <c:pt idx="18">
                  <c:v>434.17990000000032</c:v>
                </c:pt>
                <c:pt idx="19">
                  <c:v>295.19940000000008</c:v>
                </c:pt>
                <c:pt idx="20">
                  <c:v>756.18390000000352</c:v>
                </c:pt>
                <c:pt idx="21">
                  <c:v>282.02679999999663</c:v>
                </c:pt>
                <c:pt idx="22">
                  <c:v>1620.6751000000002</c:v>
                </c:pt>
                <c:pt idx="23">
                  <c:v>9177.2774000000009</c:v>
                </c:pt>
                <c:pt idx="24">
                  <c:v>376.96229999999969</c:v>
                </c:pt>
                <c:pt idx="25">
                  <c:v>416.88259999999963</c:v>
                </c:pt>
                <c:pt idx="26">
                  <c:v>165.0309</c:v>
                </c:pt>
                <c:pt idx="27">
                  <c:v>133.89950000000002</c:v>
                </c:pt>
                <c:pt idx="28">
                  <c:v>11155.759800000002</c:v>
                </c:pt>
                <c:pt idx="29">
                  <c:v>106.8994</c:v>
                </c:pt>
                <c:pt idx="30">
                  <c:v>1417.7623999999998</c:v>
                </c:pt>
                <c:pt idx="31">
                  <c:v>2355.0316000000012</c:v>
                </c:pt>
              </c:numCache>
            </c:numRef>
          </c:val>
          <c:extLst xmlns:c16r2="http://schemas.microsoft.com/office/drawing/2015/06/chart">
            <c:ext xmlns:c16="http://schemas.microsoft.com/office/drawing/2014/chart" uri="{C3380CC4-5D6E-409C-BE32-E72D297353CC}">
              <c16:uniqueId val="{00000004-F24A-497E-ADB9-DF0096640EBF}"/>
            </c:ext>
          </c:extLst>
        </c:ser>
        <c:marker val="1"/>
        <c:axId val="193211392"/>
        <c:axId val="193217280"/>
      </c:lineChart>
      <c:catAx>
        <c:axId val="1932113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17280"/>
        <c:crosses val="autoZero"/>
        <c:auto val="1"/>
        <c:lblAlgn val="ctr"/>
        <c:lblOffset val="100"/>
      </c:catAx>
      <c:valAx>
        <c:axId val="19321728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11392"/>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Лист12!$B$2</c:f>
              <c:strCache>
                <c:ptCount val="1"/>
                <c:pt idx="0">
                  <c:v>2015</c:v>
                </c:pt>
              </c:strCache>
            </c:strRef>
          </c:tx>
          <c:spPr>
            <a:solidFill>
              <a:schemeClr val="accent1"/>
            </a:solidFill>
            <a:ln>
              <a:noFill/>
            </a:ln>
            <a:effectLst/>
          </c:spPr>
          <c:dLbls>
            <c:dLbl>
              <c:idx val="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DF5-4F86-BE66-8AA127328C6B}"/>
                </c:ext>
              </c:extLst>
            </c:dLbl>
            <c:dLbl>
              <c:idx val="1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DF5-4F86-BE66-8AA127328C6B}"/>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Лист12!$A$3:$A$36</c:f>
              <c:strCache>
                <c:ptCount val="34"/>
                <c:pt idx="0">
                  <c:v>Пермский </c:v>
                </c:pt>
                <c:pt idx="1">
                  <c:v>Добрянский </c:v>
                </c:pt>
                <c:pt idx="2">
                  <c:v>Чернушинский </c:v>
                </c:pt>
                <c:pt idx="3">
                  <c:v>Чайковский </c:v>
                </c:pt>
                <c:pt idx="4">
                  <c:v>Краснокамский </c:v>
                </c:pt>
                <c:pt idx="5">
                  <c:v>Красновишерский </c:v>
                </c:pt>
                <c:pt idx="6">
                  <c:v>Октябрьский</c:v>
                </c:pt>
                <c:pt idx="7">
                  <c:v>Очерский </c:v>
                </c:pt>
                <c:pt idx="8">
                  <c:v>Березовский </c:v>
                </c:pt>
                <c:pt idx="9">
                  <c:v>Ординский </c:v>
                </c:pt>
                <c:pt idx="10">
                  <c:v>Бардымский </c:v>
                </c:pt>
                <c:pt idx="11">
                  <c:v>Кунгурский </c:v>
                </c:pt>
                <c:pt idx="12">
                  <c:v>Усольский </c:v>
                </c:pt>
                <c:pt idx="13">
                  <c:v>Куединский </c:v>
                </c:pt>
                <c:pt idx="14">
                  <c:v>Осинский </c:v>
                </c:pt>
                <c:pt idx="15">
                  <c:v>Суксунский </c:v>
                </c:pt>
                <c:pt idx="16">
                  <c:v>Чусовской </c:v>
                </c:pt>
                <c:pt idx="17">
                  <c:v>Уинский </c:v>
                </c:pt>
                <c:pt idx="18">
                  <c:v>Верещагинский </c:v>
                </c:pt>
                <c:pt idx="19">
                  <c:v>Нытвенский </c:v>
                </c:pt>
                <c:pt idx="20">
                  <c:v>Ильинский </c:v>
                </c:pt>
                <c:pt idx="21">
                  <c:v>Александровский </c:v>
                </c:pt>
                <c:pt idx="22">
                  <c:v>Карагайский </c:v>
                </c:pt>
                <c:pt idx="23">
                  <c:v>Соликамский </c:v>
                </c:pt>
                <c:pt idx="24">
                  <c:v>Чердынский </c:v>
                </c:pt>
                <c:pt idx="25">
                  <c:v>Оханский </c:v>
                </c:pt>
                <c:pt idx="26">
                  <c:v>Кишертский </c:v>
                </c:pt>
                <c:pt idx="27">
                  <c:v>Горнозаводский </c:v>
                </c:pt>
                <c:pt idx="28">
                  <c:v>Сивинский </c:v>
                </c:pt>
                <c:pt idx="29">
                  <c:v>Большесосновский </c:v>
                </c:pt>
                <c:pt idx="30">
                  <c:v>Кизеловский </c:v>
                </c:pt>
                <c:pt idx="31">
                  <c:v>Гремячинский </c:v>
                </c:pt>
                <c:pt idx="32">
                  <c:v>Частинский </c:v>
                </c:pt>
                <c:pt idx="33">
                  <c:v>Еловский </c:v>
                </c:pt>
              </c:strCache>
            </c:strRef>
          </c:cat>
          <c:val>
            <c:numRef>
              <c:f>Лист12!$B$3:$B$36</c:f>
              <c:numCache>
                <c:formatCode>0.0</c:formatCode>
                <c:ptCount val="34"/>
                <c:pt idx="0">
                  <c:v>129.56</c:v>
                </c:pt>
                <c:pt idx="1">
                  <c:v>88.289000000000001</c:v>
                </c:pt>
                <c:pt idx="2">
                  <c:v>76.191000000000003</c:v>
                </c:pt>
                <c:pt idx="3">
                  <c:v>53.053800000000003</c:v>
                </c:pt>
                <c:pt idx="4">
                  <c:v>52.373000000000005</c:v>
                </c:pt>
                <c:pt idx="5">
                  <c:v>43.612000000000002</c:v>
                </c:pt>
                <c:pt idx="6">
                  <c:v>42.422000000000011</c:v>
                </c:pt>
                <c:pt idx="7">
                  <c:v>39.601000000000006</c:v>
                </c:pt>
                <c:pt idx="8">
                  <c:v>36.772000000000013</c:v>
                </c:pt>
                <c:pt idx="9">
                  <c:v>36.221400000000003</c:v>
                </c:pt>
                <c:pt idx="10">
                  <c:v>33.870000000000005</c:v>
                </c:pt>
                <c:pt idx="11">
                  <c:v>30.737400000000001</c:v>
                </c:pt>
                <c:pt idx="12">
                  <c:v>29.131700000000031</c:v>
                </c:pt>
                <c:pt idx="13">
                  <c:v>28.998999999999889</c:v>
                </c:pt>
                <c:pt idx="14">
                  <c:v>28.487999999999989</c:v>
                </c:pt>
                <c:pt idx="15">
                  <c:v>26.7</c:v>
                </c:pt>
                <c:pt idx="16">
                  <c:v>25.856999999999999</c:v>
                </c:pt>
                <c:pt idx="17">
                  <c:v>21.552</c:v>
                </c:pt>
                <c:pt idx="18">
                  <c:v>17.464999999999989</c:v>
                </c:pt>
                <c:pt idx="19">
                  <c:v>14.688000000000001</c:v>
                </c:pt>
                <c:pt idx="20">
                  <c:v>12.917</c:v>
                </c:pt>
                <c:pt idx="21">
                  <c:v>11.363700000000026</c:v>
                </c:pt>
                <c:pt idx="22">
                  <c:v>11.041</c:v>
                </c:pt>
                <c:pt idx="23">
                  <c:v>10.98982</c:v>
                </c:pt>
                <c:pt idx="24">
                  <c:v>7.7809999999999997</c:v>
                </c:pt>
                <c:pt idx="25">
                  <c:v>7.1849999999999845</c:v>
                </c:pt>
                <c:pt idx="26">
                  <c:v>5.0739999999999998</c:v>
                </c:pt>
                <c:pt idx="27">
                  <c:v>4.1449999999999845</c:v>
                </c:pt>
                <c:pt idx="28">
                  <c:v>3.3779999999999997</c:v>
                </c:pt>
                <c:pt idx="29">
                  <c:v>2.7746999999999997</c:v>
                </c:pt>
                <c:pt idx="30">
                  <c:v>1.4669999999999837</c:v>
                </c:pt>
                <c:pt idx="31">
                  <c:v>1.4604999999999855</c:v>
                </c:pt>
                <c:pt idx="32">
                  <c:v>0.995</c:v>
                </c:pt>
                <c:pt idx="33">
                  <c:v>0.14470000000000041</c:v>
                </c:pt>
              </c:numCache>
            </c:numRef>
          </c:val>
          <c:extLst xmlns:c16r2="http://schemas.microsoft.com/office/drawing/2015/06/chart">
            <c:ext xmlns:c16="http://schemas.microsoft.com/office/drawing/2014/chart" uri="{C3380CC4-5D6E-409C-BE32-E72D297353CC}">
              <c16:uniqueId val="{00000002-3DF5-4F86-BE66-8AA127328C6B}"/>
            </c:ext>
          </c:extLst>
        </c:ser>
        <c:gapWidth val="219"/>
        <c:overlap val="-27"/>
        <c:axId val="193240448"/>
        <c:axId val="192873600"/>
      </c:barChart>
      <c:catAx>
        <c:axId val="1932404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873600"/>
        <c:crosses val="autoZero"/>
        <c:auto val="1"/>
        <c:lblAlgn val="ctr"/>
        <c:lblOffset val="100"/>
      </c:catAx>
      <c:valAx>
        <c:axId val="192873600"/>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240448"/>
        <c:crosses val="autoZero"/>
        <c:crossBetween val="between"/>
      </c:valAx>
      <c:spPr>
        <a:noFill/>
        <a:ln w="25400">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clustered"/>
        <c:ser>
          <c:idx val="0"/>
          <c:order val="0"/>
          <c:spPr>
            <a:solidFill>
              <a:srgbClr val="5B9BD5"/>
            </a:solidFill>
            <a:ln w="25400">
              <a:noFill/>
            </a:ln>
          </c:spPr>
          <c:dLbls>
            <c:spPr>
              <a:noFill/>
              <a:ln w="25400">
                <a:noFill/>
              </a:ln>
            </c:spPr>
            <c:showVal val="1"/>
            <c:extLst xmlns:c16r2="http://schemas.microsoft.com/office/drawing/2015/06/chart">
              <c:ext xmlns:c15="http://schemas.microsoft.com/office/drawing/2012/chart" uri="{CE6537A1-D6FC-4f65-9D91-7224C49458BB}">
                <c15:showLeaderLines val="0"/>
              </c:ext>
            </c:extLst>
          </c:dLbls>
          <c:cat>
            <c:strRef>
              <c:f>Лист14!$D$1:$D$34</c:f>
              <c:strCache>
                <c:ptCount val="34"/>
                <c:pt idx="0">
                  <c:v>Гремячинский </c:v>
                </c:pt>
                <c:pt idx="1">
                  <c:v>Еловский </c:v>
                </c:pt>
                <c:pt idx="2">
                  <c:v>Уинский </c:v>
                </c:pt>
                <c:pt idx="3">
                  <c:v>Оханский </c:v>
                </c:pt>
                <c:pt idx="4">
                  <c:v>Березовский </c:v>
                </c:pt>
                <c:pt idx="5">
                  <c:v>Кишертский </c:v>
                </c:pt>
                <c:pt idx="6">
                  <c:v>Большесосновский </c:v>
                </c:pt>
                <c:pt idx="7">
                  <c:v>Соликамский </c:v>
                </c:pt>
                <c:pt idx="8">
                  <c:v>Усольский </c:v>
                </c:pt>
                <c:pt idx="9">
                  <c:v>Кизеловский </c:v>
                </c:pt>
                <c:pt idx="10">
                  <c:v>Частинский </c:v>
                </c:pt>
                <c:pt idx="11">
                  <c:v>Ординский </c:v>
                </c:pt>
                <c:pt idx="12">
                  <c:v>Чердынский </c:v>
                </c:pt>
                <c:pt idx="13">
                  <c:v>Сивинский </c:v>
                </c:pt>
                <c:pt idx="14">
                  <c:v>Очерский </c:v>
                </c:pt>
                <c:pt idx="15">
                  <c:v>Ильинский </c:v>
                </c:pt>
                <c:pt idx="16">
                  <c:v>Суксунский </c:v>
                </c:pt>
                <c:pt idx="17">
                  <c:v>Горнозаводский </c:v>
                </c:pt>
                <c:pt idx="18">
                  <c:v>Красновишерский </c:v>
                </c:pt>
                <c:pt idx="19">
                  <c:v>Карагайский </c:v>
                </c:pt>
                <c:pt idx="20">
                  <c:v>Бардымский </c:v>
                </c:pt>
                <c:pt idx="21">
                  <c:v>Александровский </c:v>
                </c:pt>
                <c:pt idx="22">
                  <c:v>Осинский </c:v>
                </c:pt>
                <c:pt idx="23">
                  <c:v>Октябрьский </c:v>
                </c:pt>
                <c:pt idx="24">
                  <c:v>Куединский </c:v>
                </c:pt>
                <c:pt idx="25">
                  <c:v>Нытвенский </c:v>
                </c:pt>
                <c:pt idx="26">
                  <c:v>Верещагинский </c:v>
                </c:pt>
                <c:pt idx="27">
                  <c:v>Кунгурский </c:v>
                </c:pt>
                <c:pt idx="28">
                  <c:v>Добрянский </c:v>
                </c:pt>
                <c:pt idx="29">
                  <c:v>Чернушинский </c:v>
                </c:pt>
                <c:pt idx="30">
                  <c:v>Краснокамский </c:v>
                </c:pt>
                <c:pt idx="31">
                  <c:v>Чусовской </c:v>
                </c:pt>
                <c:pt idx="32">
                  <c:v>Чайковский </c:v>
                </c:pt>
                <c:pt idx="33">
                  <c:v>Пермский </c:v>
                </c:pt>
              </c:strCache>
            </c:strRef>
          </c:cat>
          <c:val>
            <c:numRef>
              <c:f>Лист14!$E$1:$E$34</c:f>
              <c:numCache>
                <c:formatCode>0.00</c:formatCode>
                <c:ptCount val="34"/>
                <c:pt idx="0">
                  <c:v>238.93350000000001</c:v>
                </c:pt>
                <c:pt idx="1">
                  <c:v>315.55940000000032</c:v>
                </c:pt>
                <c:pt idx="2">
                  <c:v>333.85419999999999</c:v>
                </c:pt>
                <c:pt idx="3">
                  <c:v>381.94840000000005</c:v>
                </c:pt>
                <c:pt idx="4">
                  <c:v>408.60040000000032</c:v>
                </c:pt>
                <c:pt idx="5">
                  <c:v>417.07400000000001</c:v>
                </c:pt>
                <c:pt idx="6">
                  <c:v>420.767</c:v>
                </c:pt>
                <c:pt idx="7">
                  <c:v>429.20699999999869</c:v>
                </c:pt>
                <c:pt idx="8">
                  <c:v>463.70590000000004</c:v>
                </c:pt>
                <c:pt idx="9">
                  <c:v>470.06400000000002</c:v>
                </c:pt>
                <c:pt idx="10">
                  <c:v>477.72389999999899</c:v>
                </c:pt>
                <c:pt idx="11">
                  <c:v>484.08149999999893</c:v>
                </c:pt>
                <c:pt idx="12">
                  <c:v>497.7</c:v>
                </c:pt>
                <c:pt idx="13">
                  <c:v>517.2971</c:v>
                </c:pt>
                <c:pt idx="14">
                  <c:v>530.04859999999996</c:v>
                </c:pt>
                <c:pt idx="15">
                  <c:v>537.70769999999948</c:v>
                </c:pt>
                <c:pt idx="16">
                  <c:v>542.17360000000053</c:v>
                </c:pt>
                <c:pt idx="17">
                  <c:v>553.07100000000003</c:v>
                </c:pt>
                <c:pt idx="18">
                  <c:v>628.49919999999997</c:v>
                </c:pt>
                <c:pt idx="19">
                  <c:v>684.90699999999947</c:v>
                </c:pt>
                <c:pt idx="20">
                  <c:v>688.12189999999998</c:v>
                </c:pt>
                <c:pt idx="21">
                  <c:v>720.85569999999746</c:v>
                </c:pt>
                <c:pt idx="22">
                  <c:v>758.23050000000001</c:v>
                </c:pt>
                <c:pt idx="23">
                  <c:v>807.45279999999946</c:v>
                </c:pt>
                <c:pt idx="24">
                  <c:v>899.93639999999948</c:v>
                </c:pt>
                <c:pt idx="25">
                  <c:v>929.65</c:v>
                </c:pt>
                <c:pt idx="26">
                  <c:v>965.41239999999948</c:v>
                </c:pt>
                <c:pt idx="27">
                  <c:v>1081.5890999999999</c:v>
                </c:pt>
                <c:pt idx="28">
                  <c:v>1189.9853000000001</c:v>
                </c:pt>
                <c:pt idx="29">
                  <c:v>1337.1941999999826</c:v>
                </c:pt>
                <c:pt idx="30">
                  <c:v>1445.3</c:v>
                </c:pt>
                <c:pt idx="31">
                  <c:v>1531.5391000000002</c:v>
                </c:pt>
                <c:pt idx="32">
                  <c:v>1977.8729999999998</c:v>
                </c:pt>
                <c:pt idx="33">
                  <c:v>2780.1465999999987</c:v>
                </c:pt>
              </c:numCache>
            </c:numRef>
          </c:val>
          <c:extLst xmlns:c16r2="http://schemas.microsoft.com/office/drawing/2015/06/chart">
            <c:ext xmlns:c16="http://schemas.microsoft.com/office/drawing/2014/chart" uri="{C3380CC4-5D6E-409C-BE32-E72D297353CC}">
              <c16:uniqueId val="{00000000-BD5A-4716-8384-0728DD011D29}"/>
            </c:ext>
          </c:extLst>
        </c:ser>
        <c:gapWidth val="182"/>
        <c:axId val="192913792"/>
        <c:axId val="192915328"/>
      </c:barChart>
      <c:catAx>
        <c:axId val="192913792"/>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15328"/>
        <c:crosses val="autoZero"/>
        <c:auto val="1"/>
        <c:lblAlgn val="ctr"/>
        <c:lblOffset val="100"/>
      </c:catAx>
      <c:valAx>
        <c:axId val="192915328"/>
        <c:scaling>
          <c:orientation val="minMax"/>
        </c:scaling>
        <c:axPos val="b"/>
        <c:majorGridlines>
          <c:spPr>
            <a:ln w="9525" cap="flat" cmpd="sng" algn="ctr">
              <a:solidFill>
                <a:schemeClr val="tx1">
                  <a:lumMod val="15000"/>
                  <a:lumOff val="85000"/>
                </a:schemeClr>
              </a:solidFill>
              <a:round/>
            </a:ln>
            <a:effectLst/>
          </c:spPr>
        </c:majorGridlines>
        <c:numFmt formatCode="0.00" sourceLinked="1"/>
        <c:maj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913792"/>
        <c:crosses val="autoZero"/>
        <c:crossBetween val="between"/>
      </c:valAx>
      <c:spPr>
        <a:noFill/>
        <a:ln w="25400">
          <a:noFill/>
        </a:ln>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dLbl>
              <c:idx val="20"/>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4D5-4EE0-A3F1-A79514CDC1FD}"/>
                </c:ext>
              </c:extLst>
            </c:dLbl>
            <c:dLbl>
              <c:idx val="33"/>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4D5-4EE0-A3F1-A79514CDC1FD}"/>
                </c:ext>
              </c:extLst>
            </c:dLbl>
            <c:delete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Лист8!$E$1:$E$34</c:f>
              <c:strCache>
                <c:ptCount val="34"/>
                <c:pt idx="0">
                  <c:v>Гремячинский муниципальный район</c:v>
                </c:pt>
                <c:pt idx="1">
                  <c:v>Еловский муниципальный район</c:v>
                </c:pt>
                <c:pt idx="2">
                  <c:v>Уинский муниципальный район</c:v>
                </c:pt>
                <c:pt idx="3">
                  <c:v>Оханский муниципальный район</c:v>
                </c:pt>
                <c:pt idx="4">
                  <c:v>Березовский муниципальный район</c:v>
                </c:pt>
                <c:pt idx="5">
                  <c:v>Большесосновский муниципальный район</c:v>
                </c:pt>
                <c:pt idx="6">
                  <c:v>Кишертский муниципальный район</c:v>
                </c:pt>
                <c:pt idx="7">
                  <c:v>Усольский муниципальный район</c:v>
                </c:pt>
                <c:pt idx="8">
                  <c:v>Кизеловский муниципальный район</c:v>
                </c:pt>
                <c:pt idx="9">
                  <c:v>Соликамский муниципальный район</c:v>
                </c:pt>
                <c:pt idx="10">
                  <c:v>Частинский муниципальный район</c:v>
                </c:pt>
                <c:pt idx="11">
                  <c:v>Очерский муниципальный район</c:v>
                </c:pt>
                <c:pt idx="12">
                  <c:v>Ординский муниципальный район</c:v>
                </c:pt>
                <c:pt idx="13">
                  <c:v>Чердынский муниципальный район</c:v>
                </c:pt>
                <c:pt idx="14">
                  <c:v>Сивинский муниципальный район</c:v>
                </c:pt>
                <c:pt idx="15">
                  <c:v>Суксунский муниципальный район</c:v>
                </c:pt>
                <c:pt idx="16">
                  <c:v>Ильинский муниципальный район</c:v>
                </c:pt>
                <c:pt idx="17">
                  <c:v>Горнозаводский муниципальный район</c:v>
                </c:pt>
                <c:pt idx="18">
                  <c:v>Красновишерский муниципальный район</c:v>
                </c:pt>
                <c:pt idx="19">
                  <c:v>Карагайский муниципальный  район</c:v>
                </c:pt>
                <c:pt idx="20">
                  <c:v>Бардымский муниципальный район</c:v>
                </c:pt>
                <c:pt idx="21">
                  <c:v>Александровский муниципальный район</c:v>
                </c:pt>
                <c:pt idx="22">
                  <c:v>Осинский муниципальный  район</c:v>
                </c:pt>
                <c:pt idx="23">
                  <c:v>Октябрьский муниципальный  район</c:v>
                </c:pt>
                <c:pt idx="24">
                  <c:v>Куединский муниципальный район</c:v>
                </c:pt>
                <c:pt idx="25">
                  <c:v>Нытвенский муниципальный район</c:v>
                </c:pt>
                <c:pt idx="26">
                  <c:v>Верещагинский муниципальный район</c:v>
                </c:pt>
                <c:pt idx="27">
                  <c:v>Кунгурский муниципальный район</c:v>
                </c:pt>
                <c:pt idx="28">
                  <c:v>Добрянский муниципальный район</c:v>
                </c:pt>
                <c:pt idx="29">
                  <c:v>Чернушинский муниципальный район</c:v>
                </c:pt>
                <c:pt idx="30">
                  <c:v>Краснокамский муниципальный район</c:v>
                </c:pt>
                <c:pt idx="31">
                  <c:v>Чусовской муниципальный район</c:v>
                </c:pt>
                <c:pt idx="32">
                  <c:v>Чайковский муниципальный район</c:v>
                </c:pt>
                <c:pt idx="33">
                  <c:v>Пермский муниципальный район</c:v>
                </c:pt>
              </c:strCache>
            </c:strRef>
          </c:cat>
          <c:val>
            <c:numRef>
              <c:f>Лист8!$F$1:$F$34</c:f>
              <c:numCache>
                <c:formatCode>General</c:formatCode>
                <c:ptCount val="34"/>
                <c:pt idx="0">
                  <c:v>223.24489999999992</c:v>
                </c:pt>
                <c:pt idx="1">
                  <c:v>317.50220000000002</c:v>
                </c:pt>
                <c:pt idx="2">
                  <c:v>331.45619999999553</c:v>
                </c:pt>
                <c:pt idx="3">
                  <c:v>378.6782</c:v>
                </c:pt>
                <c:pt idx="4">
                  <c:v>406.59549999999899</c:v>
                </c:pt>
                <c:pt idx="5">
                  <c:v>417.70599999999899</c:v>
                </c:pt>
                <c:pt idx="6">
                  <c:v>422.28509999999869</c:v>
                </c:pt>
                <c:pt idx="7">
                  <c:v>464.07400000000001</c:v>
                </c:pt>
                <c:pt idx="8">
                  <c:v>466.73599999999863</c:v>
                </c:pt>
                <c:pt idx="9">
                  <c:v>470.48509999999823</c:v>
                </c:pt>
                <c:pt idx="10">
                  <c:v>478.40479999999963</c:v>
                </c:pt>
                <c:pt idx="11">
                  <c:v>499.77099999999899</c:v>
                </c:pt>
                <c:pt idx="12">
                  <c:v>509.26849999999899</c:v>
                </c:pt>
                <c:pt idx="13">
                  <c:v>520.82239999999797</c:v>
                </c:pt>
                <c:pt idx="14">
                  <c:v>525.16719999999748</c:v>
                </c:pt>
                <c:pt idx="15">
                  <c:v>528.33109999999749</c:v>
                </c:pt>
                <c:pt idx="16">
                  <c:v>539.77010000000053</c:v>
                </c:pt>
                <c:pt idx="17">
                  <c:v>550.06199999999797</c:v>
                </c:pt>
                <c:pt idx="18">
                  <c:v>613.67640000000051</c:v>
                </c:pt>
                <c:pt idx="19">
                  <c:v>680.66849999999999</c:v>
                </c:pt>
                <c:pt idx="20">
                  <c:v>696.56899999999996</c:v>
                </c:pt>
                <c:pt idx="21">
                  <c:v>716.48109999999997</c:v>
                </c:pt>
                <c:pt idx="22">
                  <c:v>752.17969999999991</c:v>
                </c:pt>
                <c:pt idx="23">
                  <c:v>828.42630000000008</c:v>
                </c:pt>
                <c:pt idx="24">
                  <c:v>911.91949999999997</c:v>
                </c:pt>
                <c:pt idx="25">
                  <c:v>939.24669999999946</c:v>
                </c:pt>
                <c:pt idx="26">
                  <c:v>972.07940000000053</c:v>
                </c:pt>
                <c:pt idx="27">
                  <c:v>1089.4484</c:v>
                </c:pt>
                <c:pt idx="28">
                  <c:v>1213.5552</c:v>
                </c:pt>
                <c:pt idx="29">
                  <c:v>1334.6515999999999</c:v>
                </c:pt>
                <c:pt idx="30">
                  <c:v>1444.3810999999998</c:v>
                </c:pt>
                <c:pt idx="31">
                  <c:v>1576.3402999999998</c:v>
                </c:pt>
                <c:pt idx="32">
                  <c:v>2007.9949999999999</c:v>
                </c:pt>
                <c:pt idx="33">
                  <c:v>2773.2247999999709</c:v>
                </c:pt>
              </c:numCache>
            </c:numRef>
          </c:val>
          <c:extLst xmlns:c16r2="http://schemas.microsoft.com/office/drawing/2015/06/chart">
            <c:ext xmlns:c16="http://schemas.microsoft.com/office/drawing/2014/chart" uri="{C3380CC4-5D6E-409C-BE32-E72D297353CC}">
              <c16:uniqueId val="{00000002-54D5-4EE0-A3F1-A79514CDC1FD}"/>
            </c:ext>
          </c:extLst>
        </c:ser>
        <c:gapWidth val="219"/>
        <c:overlap val="-27"/>
        <c:axId val="193397888"/>
        <c:axId val="193399424"/>
      </c:barChart>
      <c:catAx>
        <c:axId val="1933978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99424"/>
        <c:crosses val="autoZero"/>
        <c:auto val="1"/>
        <c:lblAlgn val="ctr"/>
        <c:lblOffset val="100"/>
      </c:catAx>
      <c:valAx>
        <c:axId val="1933994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3397888"/>
        <c:crosses val="autoZero"/>
        <c:crossBetween val="between"/>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u-RU"/>
  <c:chart>
    <c:view3D>
      <c:rotX val="30"/>
      <c:rotY val="200"/>
      <c:perspective val="30"/>
    </c:view3D>
    <c:plotArea>
      <c:layout/>
      <c:pie3DChart>
        <c:varyColors val="1"/>
        <c:ser>
          <c:idx val="0"/>
          <c:order val="0"/>
          <c:dLbls>
            <c:dLbl>
              <c:idx val="0"/>
              <c:layout>
                <c:manualLayout>
                  <c:x val="-2.6250345351568016E-2"/>
                  <c:y val="-7.5127467072658534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918-4FE6-9C6F-59A27A5AA1B6}"/>
                </c:ext>
              </c:extLst>
            </c:dLbl>
            <c:dLbl>
              <c:idx val="1"/>
              <c:layout>
                <c:manualLayout>
                  <c:x val="3.564028180687999E-4"/>
                  <c:y val="-9.1290054000047582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918-4FE6-9C6F-59A27A5AA1B6}"/>
                </c:ext>
              </c:extLst>
            </c:dLbl>
            <c:spPr>
              <a:noFill/>
              <a:ln>
                <a:noFill/>
              </a:ln>
              <a:effectLst/>
            </c:spPr>
            <c:txPr>
              <a:bodyPr/>
              <a:lstStyle/>
              <a:p>
                <a:pPr>
                  <a:defRPr baseline="0">
                    <a:latin typeface="Times New Roman" pitchFamily="18" charset="0"/>
                  </a:defRPr>
                </a:pPr>
                <a:endParaRPr lang="ru-RU"/>
              </a:p>
            </c:txPr>
            <c:showVal val="1"/>
            <c:showCatName val="1"/>
            <c:showLeaderLines val="1"/>
            <c:extLst xmlns:c16r2="http://schemas.microsoft.com/office/drawing/2015/06/chart">
              <c:ext xmlns:c15="http://schemas.microsoft.com/office/drawing/2012/chart" uri="{CE6537A1-D6FC-4f65-9D91-7224C49458BB}"/>
            </c:extLst>
          </c:dLbls>
          <c:cat>
            <c:strRef>
              <c:f>Лист10!$A$2:$A$10</c:f>
              <c:strCache>
                <c:ptCount val="9"/>
                <c:pt idx="0">
                  <c:v>Месторождение добычи нефти и газа</c:v>
                </c:pt>
                <c:pt idx="1">
                  <c:v>Месторождение красной глины</c:v>
                </c:pt>
                <c:pt idx="2">
                  <c:v>Месторождение ПГС</c:v>
                </c:pt>
                <c:pt idx="3">
                  <c:v>Месторождение строительного песка</c:v>
                </c:pt>
                <c:pt idx="4">
                  <c:v>Месторождение торфа</c:v>
                </c:pt>
                <c:pt idx="5">
                  <c:v>Пищевое производство</c:v>
                </c:pt>
                <c:pt idx="6">
                  <c:v>Сельское хозяйство</c:v>
                </c:pt>
                <c:pt idx="7">
                  <c:v>Торговля</c:v>
                </c:pt>
                <c:pt idx="8">
                  <c:v>Производство строительных материалов</c:v>
                </c:pt>
              </c:strCache>
            </c:strRef>
          </c:cat>
          <c:val>
            <c:numRef>
              <c:f>Лист10!$E$2:$E$10</c:f>
              <c:numCache>
                <c:formatCode>General</c:formatCode>
                <c:ptCount val="9"/>
                <c:pt idx="0">
                  <c:v>4</c:v>
                </c:pt>
                <c:pt idx="1">
                  <c:v>3</c:v>
                </c:pt>
                <c:pt idx="2">
                  <c:v>7</c:v>
                </c:pt>
                <c:pt idx="3">
                  <c:v>2</c:v>
                </c:pt>
                <c:pt idx="4">
                  <c:v>2</c:v>
                </c:pt>
                <c:pt idx="5">
                  <c:v>2</c:v>
                </c:pt>
                <c:pt idx="6">
                  <c:v>12</c:v>
                </c:pt>
                <c:pt idx="7">
                  <c:v>12</c:v>
                </c:pt>
                <c:pt idx="8">
                  <c:v>5</c:v>
                </c:pt>
              </c:numCache>
            </c:numRef>
          </c:val>
          <c:extLst xmlns:c16r2="http://schemas.microsoft.com/office/drawing/2015/06/chart">
            <c:ext xmlns:c16="http://schemas.microsoft.com/office/drawing/2014/chart" uri="{C3380CC4-5D6E-409C-BE32-E72D297353CC}">
              <c16:uniqueId val="{00000002-5918-4FE6-9C6F-59A27A5AA1B6}"/>
            </c:ext>
          </c:extLst>
        </c:ser>
      </c:pie3DChart>
    </c:plotArea>
    <c:plotVisOnly val="1"/>
    <c:dispBlanksAs val="zero"/>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демография!$G$234</c:f>
              <c:strCache>
                <c:ptCount val="1"/>
                <c:pt idx="0">
                  <c:v>Прибыло, человек</c:v>
                </c:pt>
              </c:strCache>
            </c:strRef>
          </c:tx>
          <c:spPr>
            <a:solidFill>
              <a:schemeClr val="accent1"/>
            </a:solidFill>
            <a:ln>
              <a:noFill/>
            </a:ln>
            <a:effectLst/>
          </c:spPr>
          <c:dLbls>
            <c:dLbl>
              <c:idx val="4"/>
              <c:layout>
                <c:manualLayout>
                  <c:x val="-8.3333333333333367E-3"/>
                  <c:y val="-4.6296296296297014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D46-4837-B81F-886D296A24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демография!$F$235:$F$241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демография!$G$235:$G$241</c:f>
              <c:numCache>
                <c:formatCode>General</c:formatCode>
                <c:ptCount val="7"/>
                <c:pt idx="0">
                  <c:v>533</c:v>
                </c:pt>
                <c:pt idx="1">
                  <c:v>1532</c:v>
                </c:pt>
                <c:pt idx="2">
                  <c:v>1764</c:v>
                </c:pt>
                <c:pt idx="3">
                  <c:v>1926</c:v>
                </c:pt>
                <c:pt idx="4">
                  <c:v>1640</c:v>
                </c:pt>
                <c:pt idx="5">
                  <c:v>1798</c:v>
                </c:pt>
                <c:pt idx="6">
                  <c:v>2006</c:v>
                </c:pt>
              </c:numCache>
            </c:numRef>
          </c:val>
          <c:extLst xmlns:c16r2="http://schemas.microsoft.com/office/drawing/2015/06/chart">
            <c:ext xmlns:c16="http://schemas.microsoft.com/office/drawing/2014/chart" uri="{C3380CC4-5D6E-409C-BE32-E72D297353CC}">
              <c16:uniqueId val="{00000001-9D46-4837-B81F-886D296A246A}"/>
            </c:ext>
          </c:extLst>
        </c:ser>
        <c:ser>
          <c:idx val="1"/>
          <c:order val="1"/>
          <c:tx>
            <c:strRef>
              <c:f>демография!$H$234</c:f>
              <c:strCache>
                <c:ptCount val="1"/>
                <c:pt idx="0">
                  <c:v>Убыло, человек</c:v>
                </c:pt>
              </c:strCache>
            </c:strRef>
          </c:tx>
          <c:spPr>
            <a:solidFill>
              <a:schemeClr val="accent2"/>
            </a:solidFill>
            <a:ln>
              <a:noFill/>
            </a:ln>
            <a:effectLst/>
          </c:spPr>
          <c:dLbls>
            <c:dLbl>
              <c:idx val="3"/>
              <c:layout>
                <c:manualLayout>
                  <c:x val="1.6666666666666701E-2"/>
                  <c:y val="-1.851851851851858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D46-4837-B81F-886D296A246A}"/>
                </c:ext>
              </c:extLst>
            </c:dLbl>
            <c:dLbl>
              <c:idx val="5"/>
              <c:layout>
                <c:manualLayout>
                  <c:x val="1.9444444444444361E-2"/>
                  <c:y val="9.2592592592594877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D46-4837-B81F-886D296A246A}"/>
                </c:ext>
              </c:extLst>
            </c:dLbl>
            <c:dLbl>
              <c:idx val="6"/>
              <c:layout>
                <c:manualLayout>
                  <c:x val="2.4999999999999897E-2"/>
                  <c:y val="-4.2437781360069483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D46-4837-B81F-886D296A246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демография!$F$235:$F$241</c:f>
              <c:strCache>
                <c:ptCount val="7"/>
                <c:pt idx="0">
                  <c:v>01.01.2011 г.</c:v>
                </c:pt>
                <c:pt idx="1">
                  <c:v>01.01.2012 г.</c:v>
                </c:pt>
                <c:pt idx="2">
                  <c:v>01.01.2013 г.</c:v>
                </c:pt>
                <c:pt idx="3">
                  <c:v>01.01.2014 г.</c:v>
                </c:pt>
                <c:pt idx="4">
                  <c:v>01.01.2015 г.</c:v>
                </c:pt>
                <c:pt idx="5">
                  <c:v>01.01.2016 г.</c:v>
                </c:pt>
                <c:pt idx="6">
                  <c:v>01.01.2017 г.</c:v>
                </c:pt>
              </c:strCache>
            </c:strRef>
          </c:cat>
          <c:val>
            <c:numRef>
              <c:f>демография!$H$235:$H$241</c:f>
              <c:numCache>
                <c:formatCode>General</c:formatCode>
                <c:ptCount val="7"/>
                <c:pt idx="0">
                  <c:v>301</c:v>
                </c:pt>
                <c:pt idx="1">
                  <c:v>1701</c:v>
                </c:pt>
                <c:pt idx="2">
                  <c:v>1935</c:v>
                </c:pt>
                <c:pt idx="3">
                  <c:v>2021</c:v>
                </c:pt>
                <c:pt idx="4">
                  <c:v>2076</c:v>
                </c:pt>
                <c:pt idx="5">
                  <c:v>1737</c:v>
                </c:pt>
                <c:pt idx="6">
                  <c:v>2038</c:v>
                </c:pt>
              </c:numCache>
            </c:numRef>
          </c:val>
          <c:extLst xmlns:c16r2="http://schemas.microsoft.com/office/drawing/2015/06/chart">
            <c:ext xmlns:c16="http://schemas.microsoft.com/office/drawing/2014/chart" uri="{C3380CC4-5D6E-409C-BE32-E72D297353CC}">
              <c16:uniqueId val="{00000005-9D46-4837-B81F-886D296A246A}"/>
            </c:ext>
          </c:extLst>
        </c:ser>
        <c:gapWidth val="219"/>
        <c:overlap val="-27"/>
        <c:axId val="201731072"/>
        <c:axId val="201749248"/>
      </c:barChart>
      <c:catAx>
        <c:axId val="201731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749248"/>
        <c:crosses val="autoZero"/>
        <c:auto val="1"/>
        <c:lblAlgn val="ctr"/>
        <c:lblOffset val="100"/>
      </c:catAx>
      <c:valAx>
        <c:axId val="2017492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01731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bar3DChart>
        <c:barDir val="col"/>
        <c:grouping val="clustered"/>
        <c:ser>
          <c:idx val="0"/>
          <c:order val="0"/>
          <c:tx>
            <c:strRef>
              <c:f>Оптимистический!$B$3</c:f>
              <c:strCache>
                <c:ptCount val="1"/>
                <c:pt idx="0">
                  <c:v>Численность постоянного населения, тыс.чел.</c:v>
                </c:pt>
              </c:strCache>
            </c:strRef>
          </c:tx>
          <c:dLbls>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Оптимистический!$C$3:$I$3</c:f>
              <c:numCache>
                <c:formatCode>General</c:formatCode>
                <c:ptCount val="7"/>
                <c:pt idx="0">
                  <c:v>25291</c:v>
                </c:pt>
                <c:pt idx="1">
                  <c:v>25202</c:v>
                </c:pt>
                <c:pt idx="2">
                  <c:v>25232</c:v>
                </c:pt>
                <c:pt idx="3">
                  <c:v>25133</c:v>
                </c:pt>
                <c:pt idx="4">
                  <c:v>24989</c:v>
                </c:pt>
                <c:pt idx="5">
                  <c:v>24800</c:v>
                </c:pt>
                <c:pt idx="6">
                  <c:v>24568</c:v>
                </c:pt>
              </c:numCache>
            </c:numRef>
          </c:val>
        </c:ser>
        <c:shape val="box"/>
        <c:axId val="193576320"/>
        <c:axId val="193578112"/>
        <c:axId val="0"/>
      </c:bar3DChart>
      <c:catAx>
        <c:axId val="193576320"/>
        <c:scaling>
          <c:orientation val="minMax"/>
        </c:scaling>
        <c:axPos val="b"/>
        <c:numFmt formatCode="General" sourceLinked="1"/>
        <c:tickLblPos val="nextTo"/>
        <c:crossAx val="193578112"/>
        <c:crosses val="autoZero"/>
        <c:auto val="1"/>
        <c:lblAlgn val="ctr"/>
        <c:lblOffset val="100"/>
      </c:catAx>
      <c:valAx>
        <c:axId val="193578112"/>
        <c:scaling>
          <c:orientation val="minMax"/>
        </c:scaling>
        <c:axPos val="l"/>
        <c:majorGridlines/>
        <c:numFmt formatCode="General" sourceLinked="1"/>
        <c:tickLblPos val="nextTo"/>
        <c:crossAx val="193576320"/>
        <c:crosses val="autoZero"/>
        <c:crossBetween val="between"/>
      </c:valAx>
    </c:plotArea>
    <c:plotVisOnly val="1"/>
  </c:chart>
  <c:spPr>
    <a:ln>
      <a:noFill/>
    </a:ln>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Оптимистический!$B$5</c:f>
              <c:strCache>
                <c:ptCount val="1"/>
                <c:pt idx="0">
                  <c:v>Индекс промышленного производства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Оптимистический!$C$5:$I$5</c:f>
              <c:numCache>
                <c:formatCode>General</c:formatCode>
                <c:ptCount val="7"/>
                <c:pt idx="0">
                  <c:v>101.26</c:v>
                </c:pt>
                <c:pt idx="1">
                  <c:v>135.22</c:v>
                </c:pt>
                <c:pt idx="2">
                  <c:v>130.97</c:v>
                </c:pt>
                <c:pt idx="3">
                  <c:v>135.87</c:v>
                </c:pt>
                <c:pt idx="4">
                  <c:v>143.03</c:v>
                </c:pt>
                <c:pt idx="5">
                  <c:v>152.41999999999999</c:v>
                </c:pt>
                <c:pt idx="6">
                  <c:v>163.97</c:v>
                </c:pt>
              </c:numCache>
            </c:numRef>
          </c:val>
        </c:ser>
        <c:marker val="1"/>
        <c:axId val="193601920"/>
        <c:axId val="193603456"/>
      </c:lineChart>
      <c:catAx>
        <c:axId val="193601920"/>
        <c:scaling>
          <c:orientation val="minMax"/>
        </c:scaling>
        <c:axPos val="b"/>
        <c:numFmt formatCode="General" sourceLinked="1"/>
        <c:tickLblPos val="nextTo"/>
        <c:crossAx val="193603456"/>
        <c:crosses val="autoZero"/>
        <c:auto val="1"/>
        <c:lblAlgn val="ctr"/>
        <c:lblOffset val="100"/>
      </c:catAx>
      <c:valAx>
        <c:axId val="193603456"/>
        <c:scaling>
          <c:orientation val="minMax"/>
        </c:scaling>
        <c:axPos val="l"/>
        <c:majorGridlines/>
        <c:numFmt formatCode="General" sourceLinked="1"/>
        <c:tickLblPos val="nextTo"/>
        <c:crossAx val="193601920"/>
        <c:crosses val="autoZero"/>
        <c:crossBetween val="between"/>
      </c:valAx>
    </c:plotArea>
    <c:plotVisOnly val="1"/>
  </c:chart>
  <c:spPr>
    <a:ln>
      <a:noFill/>
    </a:ln>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Оптимистический!$B$19</c:f>
              <c:strCache>
                <c:ptCount val="1"/>
                <c:pt idx="0">
                  <c:v>Динамика начисленной заработной платы работников предприятий и организаций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Оптимистический!$C$19:$I$19</c:f>
              <c:numCache>
                <c:formatCode>General</c:formatCode>
                <c:ptCount val="7"/>
                <c:pt idx="0">
                  <c:v>108.9</c:v>
                </c:pt>
                <c:pt idx="1">
                  <c:v>108.36</c:v>
                </c:pt>
                <c:pt idx="2">
                  <c:v>108.17999999999998</c:v>
                </c:pt>
                <c:pt idx="3">
                  <c:v>109.56</c:v>
                </c:pt>
                <c:pt idx="4">
                  <c:v>111.58</c:v>
                </c:pt>
                <c:pt idx="5">
                  <c:v>114.21000000000002</c:v>
                </c:pt>
                <c:pt idx="6">
                  <c:v>117.46000000000002</c:v>
                </c:pt>
              </c:numCache>
            </c:numRef>
          </c:val>
        </c:ser>
        <c:marker val="1"/>
        <c:axId val="193623168"/>
        <c:axId val="193624704"/>
      </c:lineChart>
      <c:catAx>
        <c:axId val="193623168"/>
        <c:scaling>
          <c:orientation val="minMax"/>
        </c:scaling>
        <c:axPos val="b"/>
        <c:numFmt formatCode="General" sourceLinked="1"/>
        <c:tickLblPos val="nextTo"/>
        <c:crossAx val="193624704"/>
        <c:crosses val="autoZero"/>
        <c:auto val="1"/>
        <c:lblAlgn val="ctr"/>
        <c:lblOffset val="100"/>
      </c:catAx>
      <c:valAx>
        <c:axId val="193624704"/>
        <c:scaling>
          <c:orientation val="minMax"/>
        </c:scaling>
        <c:axPos val="l"/>
        <c:majorGridlines/>
        <c:numFmt formatCode="General" sourceLinked="1"/>
        <c:tickLblPos val="nextTo"/>
        <c:crossAx val="193623168"/>
        <c:crosses val="autoZero"/>
        <c:crossBetween val="between"/>
      </c:valAx>
    </c:plotArea>
    <c:plotVisOnly val="1"/>
  </c:chart>
  <c:spPr>
    <a:ln>
      <a:noFill/>
    </a:ln>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Оптимистический!$B$27</c:f>
              <c:strCache>
                <c:ptCount val="1"/>
                <c:pt idx="0">
                  <c:v>Темп роста налоговых и неналоговых доходов консолидированного бюджета Бардымского МР (за период с начала года в % к соответствующему периоду прошлого года)</c:v>
                </c:pt>
              </c:strCache>
            </c:strRef>
          </c:tx>
          <c:dLbls>
            <c:dLblPos val="t"/>
            <c:showVal val="1"/>
          </c:dLbls>
          <c:cat>
            <c:numRef>
              <c:f>Оптимистический!$C$2:$I$2</c:f>
              <c:numCache>
                <c:formatCode>General</c:formatCode>
                <c:ptCount val="7"/>
                <c:pt idx="0">
                  <c:v>2016</c:v>
                </c:pt>
                <c:pt idx="1">
                  <c:v>2017</c:v>
                </c:pt>
                <c:pt idx="2">
                  <c:v>2018</c:v>
                </c:pt>
                <c:pt idx="3">
                  <c:v>2019</c:v>
                </c:pt>
                <c:pt idx="4">
                  <c:v>2020</c:v>
                </c:pt>
                <c:pt idx="5">
                  <c:v>2025</c:v>
                </c:pt>
                <c:pt idx="6">
                  <c:v>2030</c:v>
                </c:pt>
              </c:numCache>
            </c:numRef>
          </c:cat>
          <c:val>
            <c:numRef>
              <c:f>Оптимистический!$C$27:$I$27</c:f>
              <c:numCache>
                <c:formatCode>General</c:formatCode>
                <c:ptCount val="7"/>
                <c:pt idx="0">
                  <c:v>113.3</c:v>
                </c:pt>
                <c:pt idx="1">
                  <c:v>98.28</c:v>
                </c:pt>
                <c:pt idx="2">
                  <c:v>99.210000000000022</c:v>
                </c:pt>
                <c:pt idx="3">
                  <c:v>91.85</c:v>
                </c:pt>
                <c:pt idx="4">
                  <c:v>81.099999999999994</c:v>
                </c:pt>
                <c:pt idx="5">
                  <c:v>107.2</c:v>
                </c:pt>
                <c:pt idx="6">
                  <c:v>100.05</c:v>
                </c:pt>
              </c:numCache>
            </c:numRef>
          </c:val>
        </c:ser>
        <c:marker val="1"/>
        <c:axId val="193648512"/>
        <c:axId val="193650048"/>
      </c:lineChart>
      <c:catAx>
        <c:axId val="193648512"/>
        <c:scaling>
          <c:orientation val="minMax"/>
        </c:scaling>
        <c:axPos val="b"/>
        <c:numFmt formatCode="General" sourceLinked="1"/>
        <c:tickLblPos val="nextTo"/>
        <c:crossAx val="193650048"/>
        <c:crosses val="autoZero"/>
        <c:auto val="1"/>
        <c:lblAlgn val="ctr"/>
        <c:lblOffset val="100"/>
      </c:catAx>
      <c:valAx>
        <c:axId val="193650048"/>
        <c:scaling>
          <c:orientation val="minMax"/>
        </c:scaling>
        <c:axPos val="l"/>
        <c:majorGridlines/>
        <c:numFmt formatCode="General" sourceLinked="1"/>
        <c:tickLblPos val="nextTo"/>
        <c:crossAx val="193648512"/>
        <c:crosses val="autoZero"/>
        <c:crossBetween val="between"/>
      </c:valAx>
    </c:plotArea>
    <c:plotVisOnly val="1"/>
  </c:chart>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доходов'!$A$41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доходов'!$B$41:$M$41</c:f>
              <c:numCache>
                <c:formatCode>0%</c:formatCode>
                <c:ptCount val="12"/>
                <c:pt idx="0">
                  <c:v>0.67679974174109891</c:v>
                </c:pt>
                <c:pt idx="1">
                  <c:v>0.16476572133168918</c:v>
                </c:pt>
                <c:pt idx="2">
                  <c:v>0.13176927147645179</c:v>
                </c:pt>
                <c:pt idx="3">
                  <c:v>0.52870608397600649</c:v>
                </c:pt>
                <c:pt idx="4">
                  <c:v>0.42790110088431732</c:v>
                </c:pt>
                <c:pt idx="5">
                  <c:v>0.26777739608382001</c:v>
                </c:pt>
                <c:pt idx="6">
                  <c:v>8.1991577904384438E-2</c:v>
                </c:pt>
                <c:pt idx="7">
                  <c:v>0.9224497912109767</c:v>
                </c:pt>
                <c:pt idx="8">
                  <c:v>0.75162484574249544</c:v>
                </c:pt>
                <c:pt idx="9">
                  <c:v>0.14342774146695741</c:v>
                </c:pt>
                <c:pt idx="10">
                  <c:v>0.1660867548132684</c:v>
                </c:pt>
                <c:pt idx="11">
                  <c:v>0.10575635876840712</c:v>
                </c:pt>
              </c:numCache>
            </c:numRef>
          </c:val>
          <c:extLst xmlns:c16r2="http://schemas.microsoft.com/office/drawing/2015/06/chart">
            <c:ext xmlns:c16="http://schemas.microsoft.com/office/drawing/2014/chart" uri="{C3380CC4-5D6E-409C-BE32-E72D297353CC}">
              <c16:uniqueId val="{00000000-3557-4566-AB54-02081CB5A1E2}"/>
            </c:ext>
          </c:extLst>
        </c:ser>
        <c:ser>
          <c:idx val="1"/>
          <c:order val="1"/>
          <c:tx>
            <c:strRef>
              <c:f>'Структура доходов'!$A$42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доходов'!$B$42:$M$42</c:f>
              <c:numCache>
                <c:formatCode>0%</c:formatCode>
                <c:ptCount val="12"/>
                <c:pt idx="0">
                  <c:v>0.10341116969762185</c:v>
                </c:pt>
                <c:pt idx="1">
                  <c:v>0.37207151664611593</c:v>
                </c:pt>
                <c:pt idx="2">
                  <c:v>0.42529546657258777</c:v>
                </c:pt>
                <c:pt idx="3">
                  <c:v>0.41673807483576131</c:v>
                </c:pt>
                <c:pt idx="4">
                  <c:v>0.36617939000180488</c:v>
                </c:pt>
                <c:pt idx="5">
                  <c:v>0.45087598763311582</c:v>
                </c:pt>
                <c:pt idx="6">
                  <c:v>0.34629675501610074</c:v>
                </c:pt>
                <c:pt idx="7">
                  <c:v>3.3704513819844899E-2</c:v>
                </c:pt>
                <c:pt idx="8">
                  <c:v>0.20633484162895918</c:v>
                </c:pt>
                <c:pt idx="9">
                  <c:v>0.46477850399419196</c:v>
                </c:pt>
                <c:pt idx="10">
                  <c:v>0.5933658083971235</c:v>
                </c:pt>
                <c:pt idx="11">
                  <c:v>0.51673360107094957</c:v>
                </c:pt>
              </c:numCache>
            </c:numRef>
          </c:val>
          <c:extLst xmlns:c16r2="http://schemas.microsoft.com/office/drawing/2015/06/chart">
            <c:ext xmlns:c16="http://schemas.microsoft.com/office/drawing/2014/chart" uri="{C3380CC4-5D6E-409C-BE32-E72D297353CC}">
              <c16:uniqueId val="{00000001-3557-4566-AB54-02081CB5A1E2}"/>
            </c:ext>
          </c:extLst>
        </c:ser>
        <c:ser>
          <c:idx val="2"/>
          <c:order val="2"/>
          <c:tx>
            <c:strRef>
              <c:f>'Структура доходов'!$A$43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доходов'!$B$43:$M$43</c:f>
              <c:numCache>
                <c:formatCode>0%</c:formatCode>
                <c:ptCount val="12"/>
                <c:pt idx="0">
                  <c:v>0.21978908856128429</c:v>
                </c:pt>
                <c:pt idx="1">
                  <c:v>0.46316276202219481</c:v>
                </c:pt>
                <c:pt idx="2">
                  <c:v>0.44293526195096272</c:v>
                </c:pt>
                <c:pt idx="3">
                  <c:v>5.4555841188231931E-2</c:v>
                </c:pt>
                <c:pt idx="4">
                  <c:v>0.20591950911387841</c:v>
                </c:pt>
                <c:pt idx="5">
                  <c:v>0.28134661628306573</c:v>
                </c:pt>
                <c:pt idx="6">
                  <c:v>0.57171166707951793</c:v>
                </c:pt>
                <c:pt idx="7">
                  <c:v>4.3845694969178804E-2</c:v>
                </c:pt>
                <c:pt idx="8">
                  <c:v>4.2040312628547925E-2</c:v>
                </c:pt>
                <c:pt idx="9">
                  <c:v>0.39179375453885257</c:v>
                </c:pt>
                <c:pt idx="10">
                  <c:v>0.24054743678960913</c:v>
                </c:pt>
                <c:pt idx="11">
                  <c:v>0.37751004016064493</c:v>
                </c:pt>
              </c:numCache>
            </c:numRef>
          </c:val>
          <c:extLst xmlns:c16r2="http://schemas.microsoft.com/office/drawing/2015/06/chart">
            <c:ext xmlns:c16="http://schemas.microsoft.com/office/drawing/2014/chart" uri="{C3380CC4-5D6E-409C-BE32-E72D297353CC}">
              <c16:uniqueId val="{00000002-3557-4566-AB54-02081CB5A1E2}"/>
            </c:ext>
          </c:extLst>
        </c:ser>
        <c:shape val="box"/>
        <c:axId val="194409984"/>
        <c:axId val="194411520"/>
        <c:axId val="0"/>
      </c:bar3DChart>
      <c:catAx>
        <c:axId val="194409984"/>
        <c:scaling>
          <c:orientation val="minMax"/>
        </c:scaling>
        <c:axPos val="b"/>
        <c:numFmt formatCode="General" sourceLinked="0"/>
        <c:tickLblPos val="nextTo"/>
        <c:crossAx val="194411520"/>
        <c:crosses val="autoZero"/>
        <c:auto val="1"/>
        <c:lblAlgn val="ctr"/>
        <c:lblOffset val="100"/>
      </c:catAx>
      <c:valAx>
        <c:axId val="194411520"/>
        <c:scaling>
          <c:orientation val="minMax"/>
        </c:scaling>
        <c:axPos val="l"/>
        <c:majorGridlines/>
        <c:numFmt formatCode="0%" sourceLinked="1"/>
        <c:tickLblPos val="nextTo"/>
        <c:crossAx val="194409984"/>
        <c:crosses val="autoZero"/>
        <c:crossBetween val="between"/>
      </c:valAx>
    </c:plotArea>
    <c:legend>
      <c:legendPos val="b"/>
    </c:legend>
    <c:plotVisOnly val="1"/>
    <c:dispBlanksAs val="gap"/>
  </c:chart>
  <c:spPr>
    <a:ln>
      <a:noFill/>
    </a:ln>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доходов'!$A$46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доходов'!$B$46:$M$46</c:f>
              <c:numCache>
                <c:formatCode>0%</c:formatCode>
                <c:ptCount val="12"/>
                <c:pt idx="0">
                  <c:v>0.51162411112138861</c:v>
                </c:pt>
                <c:pt idx="1">
                  <c:v>8.6588494484947751E-2</c:v>
                </c:pt>
                <c:pt idx="2">
                  <c:v>9.4761523504518025E-2</c:v>
                </c:pt>
                <c:pt idx="3">
                  <c:v>0.40305967119951475</c:v>
                </c:pt>
                <c:pt idx="4">
                  <c:v>0.33874725877192979</c:v>
                </c:pt>
                <c:pt idx="5">
                  <c:v>0.1781639492412547</c:v>
                </c:pt>
                <c:pt idx="6">
                  <c:v>8.3625940523110967E-2</c:v>
                </c:pt>
                <c:pt idx="7">
                  <c:v>0.90444065667893037</c:v>
                </c:pt>
                <c:pt idx="8">
                  <c:v>0.83489445822774999</c:v>
                </c:pt>
                <c:pt idx="9">
                  <c:v>0.10000869036238808</c:v>
                </c:pt>
                <c:pt idx="10">
                  <c:v>9.0679047200786345E-2</c:v>
                </c:pt>
                <c:pt idx="11">
                  <c:v>9.0577488965179739E-2</c:v>
                </c:pt>
              </c:numCache>
            </c:numRef>
          </c:val>
          <c:extLst xmlns:c16r2="http://schemas.microsoft.com/office/drawing/2015/06/chart">
            <c:ext xmlns:c16="http://schemas.microsoft.com/office/drawing/2014/chart" uri="{C3380CC4-5D6E-409C-BE32-E72D297353CC}">
              <c16:uniqueId val="{00000000-BA91-4D86-B3C1-84C9E83140EB}"/>
            </c:ext>
          </c:extLst>
        </c:ser>
        <c:ser>
          <c:idx val="1"/>
          <c:order val="1"/>
          <c:tx>
            <c:strRef>
              <c:f>'Структура доходов'!$A$47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доходов'!$B$47:$M$47</c:f>
              <c:numCache>
                <c:formatCode>0%</c:formatCode>
                <c:ptCount val="12"/>
                <c:pt idx="0">
                  <c:v>0.30454463843655294</c:v>
                </c:pt>
                <c:pt idx="1">
                  <c:v>0.41340425840302625</c:v>
                </c:pt>
                <c:pt idx="2">
                  <c:v>0.51410652331388962</c:v>
                </c:pt>
                <c:pt idx="3">
                  <c:v>0.40884412421351735</c:v>
                </c:pt>
                <c:pt idx="4">
                  <c:v>0.52833744517543857</c:v>
                </c:pt>
                <c:pt idx="5">
                  <c:v>0.57446247693640096</c:v>
                </c:pt>
                <c:pt idx="6">
                  <c:v>0.42293084915800788</c:v>
                </c:pt>
                <c:pt idx="7">
                  <c:v>3.3336323674531265E-2</c:v>
                </c:pt>
                <c:pt idx="8">
                  <c:v>0.1598118689716477</c:v>
                </c:pt>
                <c:pt idx="9">
                  <c:v>0.53433562179542859</c:v>
                </c:pt>
                <c:pt idx="10">
                  <c:v>0.67291967291967891</c:v>
                </c:pt>
                <c:pt idx="11">
                  <c:v>0.61681584109858356</c:v>
                </c:pt>
              </c:numCache>
            </c:numRef>
          </c:val>
          <c:extLst xmlns:c16r2="http://schemas.microsoft.com/office/drawing/2015/06/chart">
            <c:ext xmlns:c16="http://schemas.microsoft.com/office/drawing/2014/chart" uri="{C3380CC4-5D6E-409C-BE32-E72D297353CC}">
              <c16:uniqueId val="{00000001-BA91-4D86-B3C1-84C9E83140EB}"/>
            </c:ext>
          </c:extLst>
        </c:ser>
        <c:ser>
          <c:idx val="2"/>
          <c:order val="2"/>
          <c:tx>
            <c:strRef>
              <c:f>'Структура доходов'!$A$48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доходов'!$B$48:$M$48</c:f>
              <c:numCache>
                <c:formatCode>0%</c:formatCode>
                <c:ptCount val="12"/>
                <c:pt idx="0">
                  <c:v>0.18383125044205967</c:v>
                </c:pt>
                <c:pt idx="1">
                  <c:v>0.50000724711202549</c:v>
                </c:pt>
                <c:pt idx="2">
                  <c:v>0.39113195318159294</c:v>
                </c:pt>
                <c:pt idx="3">
                  <c:v>0.18809620458697149</c:v>
                </c:pt>
                <c:pt idx="4">
                  <c:v>0.1329152960526328</c:v>
                </c:pt>
                <c:pt idx="5">
                  <c:v>0.24737357382234443</c:v>
                </c:pt>
                <c:pt idx="6">
                  <c:v>0.4934432103188835</c:v>
                </c:pt>
                <c:pt idx="7">
                  <c:v>6.2223019646541956E-2</c:v>
                </c:pt>
                <c:pt idx="8">
                  <c:v>5.2936728006050034E-3</c:v>
                </c:pt>
                <c:pt idx="9">
                  <c:v>0.36565568784218438</c:v>
                </c:pt>
                <c:pt idx="10">
                  <c:v>0.23640127987954079</c:v>
                </c:pt>
                <c:pt idx="11">
                  <c:v>0.29260666993624623</c:v>
                </c:pt>
              </c:numCache>
            </c:numRef>
          </c:val>
          <c:extLst xmlns:c16r2="http://schemas.microsoft.com/office/drawing/2015/06/chart">
            <c:ext xmlns:c16="http://schemas.microsoft.com/office/drawing/2014/chart" uri="{C3380CC4-5D6E-409C-BE32-E72D297353CC}">
              <c16:uniqueId val="{00000002-BA91-4D86-B3C1-84C9E83140EB}"/>
            </c:ext>
          </c:extLst>
        </c:ser>
        <c:shape val="box"/>
        <c:axId val="194799104"/>
        <c:axId val="194800640"/>
        <c:axId val="0"/>
      </c:bar3DChart>
      <c:catAx>
        <c:axId val="194799104"/>
        <c:scaling>
          <c:orientation val="minMax"/>
        </c:scaling>
        <c:axPos val="b"/>
        <c:numFmt formatCode="General" sourceLinked="0"/>
        <c:tickLblPos val="nextTo"/>
        <c:crossAx val="194800640"/>
        <c:crosses val="autoZero"/>
        <c:auto val="1"/>
        <c:lblAlgn val="ctr"/>
        <c:lblOffset val="100"/>
      </c:catAx>
      <c:valAx>
        <c:axId val="194800640"/>
        <c:scaling>
          <c:orientation val="minMax"/>
        </c:scaling>
        <c:axPos val="l"/>
        <c:majorGridlines/>
        <c:numFmt formatCode="0%" sourceLinked="1"/>
        <c:tickLblPos val="nextTo"/>
        <c:crossAx val="194799104"/>
        <c:crosses val="autoZero"/>
        <c:crossBetween val="between"/>
      </c:valAx>
    </c:plotArea>
    <c:legend>
      <c:legendPos val="b"/>
    </c:legend>
    <c:plotVisOnly val="1"/>
    <c:dispBlanksAs val="gap"/>
  </c:chart>
  <c:spPr>
    <a:ln>
      <a:noFill/>
    </a:ln>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доходов'!$A$51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доходов'!$B$51:$M$51</c:f>
              <c:numCache>
                <c:formatCode>0%</c:formatCode>
                <c:ptCount val="12"/>
                <c:pt idx="0">
                  <c:v>0.43737918814433158</c:v>
                </c:pt>
                <c:pt idx="1">
                  <c:v>0.1986654369880107</c:v>
                </c:pt>
                <c:pt idx="2">
                  <c:v>0.19055293825936026</c:v>
                </c:pt>
                <c:pt idx="3">
                  <c:v>0.23203767899101219</c:v>
                </c:pt>
                <c:pt idx="4">
                  <c:v>0.3088521335533288</c:v>
                </c:pt>
                <c:pt idx="5">
                  <c:v>0.26032544611272695</c:v>
                </c:pt>
                <c:pt idx="6">
                  <c:v>5.4849066417950607E-2</c:v>
                </c:pt>
                <c:pt idx="7">
                  <c:v>0.9300213577700297</c:v>
                </c:pt>
                <c:pt idx="8">
                  <c:v>0.73629163939261244</c:v>
                </c:pt>
                <c:pt idx="9">
                  <c:v>0.1457324360022659</c:v>
                </c:pt>
                <c:pt idx="10">
                  <c:v>0.13503031150090045</c:v>
                </c:pt>
                <c:pt idx="11">
                  <c:v>0.10835416764941741</c:v>
                </c:pt>
              </c:numCache>
            </c:numRef>
          </c:val>
          <c:extLst xmlns:c16r2="http://schemas.microsoft.com/office/drawing/2015/06/chart">
            <c:ext xmlns:c16="http://schemas.microsoft.com/office/drawing/2014/chart" uri="{C3380CC4-5D6E-409C-BE32-E72D297353CC}">
              <c16:uniqueId val="{00000000-93CA-4FDA-B675-68599B761230}"/>
            </c:ext>
          </c:extLst>
        </c:ser>
        <c:ser>
          <c:idx val="1"/>
          <c:order val="1"/>
          <c:tx>
            <c:strRef>
              <c:f>'Структура доходов'!$A$52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доходов'!$B$52:$M$52</c:f>
              <c:numCache>
                <c:formatCode>0%</c:formatCode>
                <c:ptCount val="12"/>
                <c:pt idx="0">
                  <c:v>0.21790767289518972</c:v>
                </c:pt>
                <c:pt idx="1">
                  <c:v>0.60473064612380556</c:v>
                </c:pt>
                <c:pt idx="2">
                  <c:v>0.6171053097658602</c:v>
                </c:pt>
                <c:pt idx="3">
                  <c:v>0.28624864340881068</c:v>
                </c:pt>
                <c:pt idx="4">
                  <c:v>0.50101278388130432</c:v>
                </c:pt>
                <c:pt idx="5">
                  <c:v>0.53764641144564163</c:v>
                </c:pt>
                <c:pt idx="6">
                  <c:v>0.41820171111868432</c:v>
                </c:pt>
                <c:pt idx="7">
                  <c:v>6.9978642229970273E-2</c:v>
                </c:pt>
                <c:pt idx="8">
                  <c:v>0.25741434747268432</c:v>
                </c:pt>
                <c:pt idx="9">
                  <c:v>0.74834895276432778</c:v>
                </c:pt>
                <c:pt idx="10">
                  <c:v>0.70118276000628643</c:v>
                </c:pt>
                <c:pt idx="11">
                  <c:v>0.59939148073022019</c:v>
                </c:pt>
              </c:numCache>
            </c:numRef>
          </c:val>
          <c:extLst xmlns:c16r2="http://schemas.microsoft.com/office/drawing/2015/06/chart">
            <c:ext xmlns:c16="http://schemas.microsoft.com/office/drawing/2014/chart" uri="{C3380CC4-5D6E-409C-BE32-E72D297353CC}">
              <c16:uniqueId val="{00000001-93CA-4FDA-B675-68599B761230}"/>
            </c:ext>
          </c:extLst>
        </c:ser>
        <c:ser>
          <c:idx val="2"/>
          <c:order val="2"/>
          <c:tx>
            <c:strRef>
              <c:f>'Структура доходов'!$A$53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доходов'!$B$53:$M$53</c:f>
              <c:numCache>
                <c:formatCode>0%</c:formatCode>
                <c:ptCount val="12"/>
                <c:pt idx="0">
                  <c:v>0.34471313896048106</c:v>
                </c:pt>
                <c:pt idx="1">
                  <c:v>0.19660391688818962</c:v>
                </c:pt>
                <c:pt idx="2">
                  <c:v>0.19234175197477937</c:v>
                </c:pt>
                <c:pt idx="3">
                  <c:v>0.48171367760017697</c:v>
                </c:pt>
                <c:pt idx="4">
                  <c:v>0.19013508256536249</c:v>
                </c:pt>
                <c:pt idx="5">
                  <c:v>0.20202814244163264</c:v>
                </c:pt>
                <c:pt idx="6">
                  <c:v>0.52694922246336906</c:v>
                </c:pt>
                <c:pt idx="7">
                  <c:v>0</c:v>
                </c:pt>
                <c:pt idx="8">
                  <c:v>6.2940131347062724E-3</c:v>
                </c:pt>
                <c:pt idx="9">
                  <c:v>0.10591861123341099</c:v>
                </c:pt>
                <c:pt idx="10">
                  <c:v>0.1637869284928109</c:v>
                </c:pt>
                <c:pt idx="11">
                  <c:v>0.2922543516203594</c:v>
                </c:pt>
              </c:numCache>
            </c:numRef>
          </c:val>
          <c:extLst xmlns:c16r2="http://schemas.microsoft.com/office/drawing/2015/06/chart">
            <c:ext xmlns:c16="http://schemas.microsoft.com/office/drawing/2014/chart" uri="{C3380CC4-5D6E-409C-BE32-E72D297353CC}">
              <c16:uniqueId val="{00000002-93CA-4FDA-B675-68599B761230}"/>
            </c:ext>
          </c:extLst>
        </c:ser>
        <c:shape val="box"/>
        <c:axId val="194536960"/>
        <c:axId val="194538496"/>
        <c:axId val="0"/>
      </c:bar3DChart>
      <c:catAx>
        <c:axId val="194536960"/>
        <c:scaling>
          <c:orientation val="minMax"/>
        </c:scaling>
        <c:axPos val="b"/>
        <c:numFmt formatCode="General" sourceLinked="0"/>
        <c:tickLblPos val="nextTo"/>
        <c:crossAx val="194538496"/>
        <c:crosses val="autoZero"/>
        <c:auto val="1"/>
        <c:lblAlgn val="ctr"/>
        <c:lblOffset val="100"/>
      </c:catAx>
      <c:valAx>
        <c:axId val="194538496"/>
        <c:scaling>
          <c:orientation val="minMax"/>
        </c:scaling>
        <c:axPos val="l"/>
        <c:majorGridlines/>
        <c:numFmt formatCode="0%" sourceLinked="1"/>
        <c:tickLblPos val="nextTo"/>
        <c:crossAx val="194536960"/>
        <c:crosses val="autoZero"/>
        <c:crossBetween val="between"/>
      </c:valAx>
    </c:plotArea>
    <c:legend>
      <c:legendPos val="b"/>
    </c:legend>
    <c:plotVisOnly val="1"/>
    <c:dispBlanksAs val="gap"/>
  </c:chart>
  <c:spPr>
    <a:ln>
      <a:noFill/>
    </a:ln>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доходов'!$A$56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доходов'!$B$56:$M$56</c:f>
              <c:numCache>
                <c:formatCode>0%</c:formatCode>
                <c:ptCount val="12"/>
                <c:pt idx="0">
                  <c:v>0.63462534294380657</c:v>
                </c:pt>
                <c:pt idx="1">
                  <c:v>0.22285255994433087</c:v>
                </c:pt>
                <c:pt idx="2">
                  <c:v>0.22000267137620397</c:v>
                </c:pt>
                <c:pt idx="3">
                  <c:v>0.47302912583831008</c:v>
                </c:pt>
                <c:pt idx="4">
                  <c:v>0.4496926517657458</c:v>
                </c:pt>
                <c:pt idx="5">
                  <c:v>0.31376394165951732</c:v>
                </c:pt>
                <c:pt idx="6">
                  <c:v>0.10700389105058369</c:v>
                </c:pt>
                <c:pt idx="7">
                  <c:v>0.97048954803207732</c:v>
                </c:pt>
                <c:pt idx="8">
                  <c:v>0.81359333488095853</c:v>
                </c:pt>
                <c:pt idx="9">
                  <c:v>0.16948611111111186</c:v>
                </c:pt>
                <c:pt idx="10">
                  <c:v>0.20807150317620673</c:v>
                </c:pt>
                <c:pt idx="11">
                  <c:v>0.10326649354706446</c:v>
                </c:pt>
              </c:numCache>
            </c:numRef>
          </c:val>
          <c:extLst xmlns:c16r2="http://schemas.microsoft.com/office/drawing/2015/06/chart">
            <c:ext xmlns:c16="http://schemas.microsoft.com/office/drawing/2014/chart" uri="{C3380CC4-5D6E-409C-BE32-E72D297353CC}">
              <c16:uniqueId val="{00000000-0FB1-4A14-8241-CBCB83A66041}"/>
            </c:ext>
          </c:extLst>
        </c:ser>
        <c:ser>
          <c:idx val="1"/>
          <c:order val="1"/>
          <c:tx>
            <c:strRef>
              <c:f>'Структура доходов'!$A$57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доходов'!$B$57:$M$57</c:f>
              <c:numCache>
                <c:formatCode>0%</c:formatCode>
                <c:ptCount val="12"/>
                <c:pt idx="0">
                  <c:v>0.24476136257643064</c:v>
                </c:pt>
                <c:pt idx="1">
                  <c:v>0.52260370103907461</c:v>
                </c:pt>
                <c:pt idx="2">
                  <c:v>0.56615366349564422</c:v>
                </c:pt>
                <c:pt idx="3">
                  <c:v>0.52697087416169064</c:v>
                </c:pt>
                <c:pt idx="4">
                  <c:v>0.50608670032542757</c:v>
                </c:pt>
                <c:pt idx="5">
                  <c:v>0.68623605834048362</c:v>
                </c:pt>
                <c:pt idx="6">
                  <c:v>0.56977792540571315</c:v>
                </c:pt>
                <c:pt idx="7">
                  <c:v>2.9510451967922572E-2</c:v>
                </c:pt>
                <c:pt idx="8">
                  <c:v>0.18640666511903844</c:v>
                </c:pt>
                <c:pt idx="9">
                  <c:v>0.67577777777778114</c:v>
                </c:pt>
                <c:pt idx="10">
                  <c:v>0.75384826121946125</c:v>
                </c:pt>
                <c:pt idx="11">
                  <c:v>0.54640060917273559</c:v>
                </c:pt>
              </c:numCache>
            </c:numRef>
          </c:val>
          <c:extLst xmlns:c16r2="http://schemas.microsoft.com/office/drawing/2015/06/chart">
            <c:ext xmlns:c16="http://schemas.microsoft.com/office/drawing/2014/chart" uri="{C3380CC4-5D6E-409C-BE32-E72D297353CC}">
              <c16:uniqueId val="{00000001-0FB1-4A14-8241-CBCB83A66041}"/>
            </c:ext>
          </c:extLst>
        </c:ser>
        <c:ser>
          <c:idx val="2"/>
          <c:order val="2"/>
          <c:tx>
            <c:strRef>
              <c:f>'Структура доходов'!$A$58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доходов'!$B$58:$M$58</c:f>
              <c:numCache>
                <c:formatCode>0%</c:formatCode>
                <c:ptCount val="12"/>
                <c:pt idx="0">
                  <c:v>0.12061329447977076</c:v>
                </c:pt>
                <c:pt idx="1">
                  <c:v>0.254543739016593</c:v>
                </c:pt>
                <c:pt idx="2">
                  <c:v>0.21384366512815189</c:v>
                </c:pt>
                <c:pt idx="3">
                  <c:v>0</c:v>
                </c:pt>
                <c:pt idx="4">
                  <c:v>4.4220647908827036E-2</c:v>
                </c:pt>
                <c:pt idx="5">
                  <c:v>0</c:v>
                </c:pt>
                <c:pt idx="6">
                  <c:v>0.32321818354370491</c:v>
                </c:pt>
                <c:pt idx="7">
                  <c:v>0</c:v>
                </c:pt>
                <c:pt idx="8">
                  <c:v>0</c:v>
                </c:pt>
                <c:pt idx="9">
                  <c:v>0.15473611111111218</c:v>
                </c:pt>
                <c:pt idx="10">
                  <c:v>3.8080235604335405E-2</c:v>
                </c:pt>
                <c:pt idx="11">
                  <c:v>0.35033289728020289</c:v>
                </c:pt>
              </c:numCache>
            </c:numRef>
          </c:val>
          <c:extLst xmlns:c16r2="http://schemas.microsoft.com/office/drawing/2015/06/chart">
            <c:ext xmlns:c16="http://schemas.microsoft.com/office/drawing/2014/chart" uri="{C3380CC4-5D6E-409C-BE32-E72D297353CC}">
              <c16:uniqueId val="{00000002-0FB1-4A14-8241-CBCB83A66041}"/>
            </c:ext>
          </c:extLst>
        </c:ser>
        <c:shape val="box"/>
        <c:axId val="194569344"/>
        <c:axId val="194570880"/>
        <c:axId val="0"/>
      </c:bar3DChart>
      <c:catAx>
        <c:axId val="194569344"/>
        <c:scaling>
          <c:orientation val="minMax"/>
        </c:scaling>
        <c:axPos val="b"/>
        <c:numFmt formatCode="General" sourceLinked="0"/>
        <c:tickLblPos val="nextTo"/>
        <c:crossAx val="194570880"/>
        <c:crosses val="autoZero"/>
        <c:auto val="1"/>
        <c:lblAlgn val="ctr"/>
        <c:lblOffset val="100"/>
      </c:catAx>
      <c:valAx>
        <c:axId val="194570880"/>
        <c:scaling>
          <c:orientation val="minMax"/>
        </c:scaling>
        <c:axPos val="l"/>
        <c:majorGridlines/>
        <c:numFmt formatCode="0%" sourceLinked="1"/>
        <c:tickLblPos val="nextTo"/>
        <c:crossAx val="194569344"/>
        <c:crosses val="autoZero"/>
        <c:crossBetween val="between"/>
      </c:valAx>
    </c:plotArea>
    <c:legend>
      <c:legendPos val="b"/>
    </c:legend>
    <c:plotVisOnly val="1"/>
    <c:dispBlanksAs val="gap"/>
  </c:chart>
  <c:spPr>
    <a:ln>
      <a:noFill/>
    </a:ln>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доходов'!$A$61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доходов'!$B$61:$M$61</c:f>
              <c:numCache>
                <c:formatCode>0%</c:formatCode>
                <c:ptCount val="12"/>
                <c:pt idx="0">
                  <c:v>0.70591886103594759</c:v>
                </c:pt>
                <c:pt idx="1">
                  <c:v>0.41605226563115083</c:v>
                </c:pt>
                <c:pt idx="2">
                  <c:v>0.40878134272141675</c:v>
                </c:pt>
                <c:pt idx="3">
                  <c:v>0.50687887282384525</c:v>
                </c:pt>
                <c:pt idx="4">
                  <c:v>0.48365382832347431</c:v>
                </c:pt>
                <c:pt idx="5">
                  <c:v>0.46672191092520982</c:v>
                </c:pt>
                <c:pt idx="6">
                  <c:v>0.20452240924761711</c:v>
                </c:pt>
                <c:pt idx="7">
                  <c:v>0.97395400948968014</c:v>
                </c:pt>
                <c:pt idx="8">
                  <c:v>0.80071636127723322</c:v>
                </c:pt>
                <c:pt idx="9">
                  <c:v>0.33182255962835233</c:v>
                </c:pt>
                <c:pt idx="10">
                  <c:v>0.3153821462962319</c:v>
                </c:pt>
                <c:pt idx="11">
                  <c:v>0.25159914712153314</c:v>
                </c:pt>
              </c:numCache>
            </c:numRef>
          </c:val>
          <c:extLst xmlns:c16r2="http://schemas.microsoft.com/office/drawing/2015/06/chart">
            <c:ext xmlns:c16="http://schemas.microsoft.com/office/drawing/2014/chart" uri="{C3380CC4-5D6E-409C-BE32-E72D297353CC}">
              <c16:uniqueId val="{00000000-7495-412E-A830-7D85B618BDAC}"/>
            </c:ext>
          </c:extLst>
        </c:ser>
        <c:ser>
          <c:idx val="1"/>
          <c:order val="1"/>
          <c:tx>
            <c:strRef>
              <c:f>'Структура доходов'!$A$62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доходов'!$B$62:$M$62</c:f>
              <c:numCache>
                <c:formatCode>0%</c:formatCode>
                <c:ptCount val="12"/>
                <c:pt idx="0">
                  <c:v>0.11420437314425827</c:v>
                </c:pt>
                <c:pt idx="1">
                  <c:v>0.3212814525227613</c:v>
                </c:pt>
                <c:pt idx="2">
                  <c:v>0.57590665211309322</c:v>
                </c:pt>
                <c:pt idx="3">
                  <c:v>0.4931211271761583</c:v>
                </c:pt>
                <c:pt idx="4">
                  <c:v>0.51634617167652552</c:v>
                </c:pt>
                <c:pt idx="5">
                  <c:v>0.53327808907479024</c:v>
                </c:pt>
                <c:pt idx="6">
                  <c:v>0.58319813425268707</c:v>
                </c:pt>
                <c:pt idx="7">
                  <c:v>2.6045990510323542E-2</c:v>
                </c:pt>
                <c:pt idx="8">
                  <c:v>0.19928363872276236</c:v>
                </c:pt>
                <c:pt idx="9">
                  <c:v>0.60847827318565562</c:v>
                </c:pt>
                <c:pt idx="10">
                  <c:v>0.58951817111879856</c:v>
                </c:pt>
                <c:pt idx="11">
                  <c:v>0.58160808858931168</c:v>
                </c:pt>
              </c:numCache>
            </c:numRef>
          </c:val>
          <c:extLst xmlns:c16r2="http://schemas.microsoft.com/office/drawing/2015/06/chart">
            <c:ext xmlns:c16="http://schemas.microsoft.com/office/drawing/2014/chart" uri="{C3380CC4-5D6E-409C-BE32-E72D297353CC}">
              <c16:uniqueId val="{00000001-7495-412E-A830-7D85B618BDAC}"/>
            </c:ext>
          </c:extLst>
        </c:ser>
        <c:ser>
          <c:idx val="2"/>
          <c:order val="2"/>
          <c:tx>
            <c:strRef>
              <c:f>'Структура доходов'!$A$63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доходов'!$B$63:$M$63</c:f>
              <c:numCache>
                <c:formatCode>0%</c:formatCode>
                <c:ptCount val="12"/>
                <c:pt idx="0">
                  <c:v>0.17987676581979409</c:v>
                </c:pt>
                <c:pt idx="1">
                  <c:v>0.26266628184608931</c:v>
                </c:pt>
                <c:pt idx="2">
                  <c:v>1.5312005165495721E-2</c:v>
                </c:pt>
                <c:pt idx="3">
                  <c:v>0</c:v>
                </c:pt>
                <c:pt idx="4">
                  <c:v>0</c:v>
                </c:pt>
                <c:pt idx="5">
                  <c:v>0</c:v>
                </c:pt>
                <c:pt idx="6">
                  <c:v>0.21227945649969676</c:v>
                </c:pt>
                <c:pt idx="7">
                  <c:v>0</c:v>
                </c:pt>
                <c:pt idx="8">
                  <c:v>0</c:v>
                </c:pt>
                <c:pt idx="9">
                  <c:v>5.9699167185995126E-2</c:v>
                </c:pt>
                <c:pt idx="10">
                  <c:v>9.5099682584971007E-2</c:v>
                </c:pt>
                <c:pt idx="11">
                  <c:v>0.16679276428915327</c:v>
                </c:pt>
              </c:numCache>
            </c:numRef>
          </c:val>
          <c:extLst xmlns:c16r2="http://schemas.microsoft.com/office/drawing/2015/06/chart">
            <c:ext xmlns:c16="http://schemas.microsoft.com/office/drawing/2014/chart" uri="{C3380CC4-5D6E-409C-BE32-E72D297353CC}">
              <c16:uniqueId val="{00000002-7495-412E-A830-7D85B618BDAC}"/>
            </c:ext>
          </c:extLst>
        </c:ser>
        <c:shape val="box"/>
        <c:axId val="194872448"/>
        <c:axId val="194873984"/>
        <c:axId val="0"/>
      </c:bar3DChart>
      <c:catAx>
        <c:axId val="194872448"/>
        <c:scaling>
          <c:orientation val="minMax"/>
        </c:scaling>
        <c:axPos val="b"/>
        <c:numFmt formatCode="General" sourceLinked="0"/>
        <c:tickLblPos val="nextTo"/>
        <c:crossAx val="194873984"/>
        <c:crosses val="autoZero"/>
        <c:auto val="1"/>
        <c:lblAlgn val="ctr"/>
        <c:lblOffset val="100"/>
      </c:catAx>
      <c:valAx>
        <c:axId val="194873984"/>
        <c:scaling>
          <c:orientation val="minMax"/>
        </c:scaling>
        <c:axPos val="l"/>
        <c:majorGridlines/>
        <c:numFmt formatCode="0%" sourceLinked="1"/>
        <c:tickLblPos val="nextTo"/>
        <c:crossAx val="194872448"/>
        <c:crosses val="autoZero"/>
        <c:crossBetween val="between"/>
      </c:valAx>
    </c:plotArea>
    <c:legend>
      <c:legendPos val="b"/>
    </c:legend>
    <c:plotVisOnly val="1"/>
    <c:dispBlanksAs val="gap"/>
  </c:chart>
  <c:spPr>
    <a:ln>
      <a:noFill/>
    </a:ln>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доходов'!$A$66</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доходов'!$B$66:$M$66</c:f>
              <c:numCache>
                <c:formatCode>0%</c:formatCode>
                <c:ptCount val="12"/>
                <c:pt idx="0">
                  <c:v>0.84818570523473569</c:v>
                </c:pt>
                <c:pt idx="1">
                  <c:v>0.30012451717829025</c:v>
                </c:pt>
                <c:pt idx="2">
                  <c:v>0.37682949260320242</c:v>
                </c:pt>
                <c:pt idx="3">
                  <c:v>0.32100951047799431</c:v>
                </c:pt>
                <c:pt idx="4">
                  <c:v>0.30083871486374436</c:v>
                </c:pt>
                <c:pt idx="5">
                  <c:v>0.34568702381810751</c:v>
                </c:pt>
                <c:pt idx="6">
                  <c:v>0.17250279389069312</c:v>
                </c:pt>
                <c:pt idx="7">
                  <c:v>0.73813164319712221</c:v>
                </c:pt>
                <c:pt idx="8">
                  <c:v>0.5520106293109811</c:v>
                </c:pt>
                <c:pt idx="9">
                  <c:v>0.27957555781554438</c:v>
                </c:pt>
                <c:pt idx="10">
                  <c:v>0.24410784171619176</c:v>
                </c:pt>
                <c:pt idx="11">
                  <c:v>0.17483395431718773</c:v>
                </c:pt>
              </c:numCache>
            </c:numRef>
          </c:val>
          <c:extLst xmlns:c16r2="http://schemas.microsoft.com/office/drawing/2015/06/chart">
            <c:ext xmlns:c16="http://schemas.microsoft.com/office/drawing/2014/chart" uri="{C3380CC4-5D6E-409C-BE32-E72D297353CC}">
              <c16:uniqueId val="{00000000-FA0B-416B-A106-DBF31B6827BB}"/>
            </c:ext>
          </c:extLst>
        </c:ser>
        <c:ser>
          <c:idx val="1"/>
          <c:order val="1"/>
          <c:tx>
            <c:strRef>
              <c:f>'Структура доходов'!$A$67</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доходов'!$B$67:$M$67</c:f>
              <c:numCache>
                <c:formatCode>0%</c:formatCode>
                <c:ptCount val="12"/>
                <c:pt idx="0">
                  <c:v>0.13874487091456111</c:v>
                </c:pt>
                <c:pt idx="1">
                  <c:v>0.47828572880666831</c:v>
                </c:pt>
                <c:pt idx="2">
                  <c:v>0.58860393620096152</c:v>
                </c:pt>
                <c:pt idx="3">
                  <c:v>0.6427189262629176</c:v>
                </c:pt>
                <c:pt idx="4">
                  <c:v>0.6971515849835207</c:v>
                </c:pt>
                <c:pt idx="5">
                  <c:v>0.5822097243252311</c:v>
                </c:pt>
                <c:pt idx="6">
                  <c:v>0.74501090947794157</c:v>
                </c:pt>
                <c:pt idx="7">
                  <c:v>0.12275271893264994</c:v>
                </c:pt>
                <c:pt idx="8">
                  <c:v>0.43877073986893927</c:v>
                </c:pt>
                <c:pt idx="9">
                  <c:v>0.67561540440861734</c:v>
                </c:pt>
                <c:pt idx="10">
                  <c:v>0.65789244818090042</c:v>
                </c:pt>
                <c:pt idx="11">
                  <c:v>0.62232706949619365</c:v>
                </c:pt>
              </c:numCache>
            </c:numRef>
          </c:val>
          <c:extLst xmlns:c16r2="http://schemas.microsoft.com/office/drawing/2015/06/chart">
            <c:ext xmlns:c16="http://schemas.microsoft.com/office/drawing/2014/chart" uri="{C3380CC4-5D6E-409C-BE32-E72D297353CC}">
              <c16:uniqueId val="{00000001-FA0B-416B-A106-DBF31B6827BB}"/>
            </c:ext>
          </c:extLst>
        </c:ser>
        <c:ser>
          <c:idx val="2"/>
          <c:order val="2"/>
          <c:tx>
            <c:strRef>
              <c:f>'Структура доходов'!$A$68</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доходов'!$B$68:$M$68</c:f>
              <c:numCache>
                <c:formatCode>0%</c:formatCode>
                <c:ptCount val="12"/>
                <c:pt idx="0">
                  <c:v>1.3069423850703393E-2</c:v>
                </c:pt>
                <c:pt idx="1">
                  <c:v>0.22158975401504372</c:v>
                </c:pt>
                <c:pt idx="2">
                  <c:v>3.4566571195837767E-2</c:v>
                </c:pt>
                <c:pt idx="3">
                  <c:v>3.627156325908848E-2</c:v>
                </c:pt>
                <c:pt idx="4">
                  <c:v>2.0097001527372275E-3</c:v>
                </c:pt>
                <c:pt idx="5">
                  <c:v>7.210325185665914E-2</c:v>
                </c:pt>
                <c:pt idx="6">
                  <c:v>8.2486296631365474E-2</c:v>
                </c:pt>
                <c:pt idx="7">
                  <c:v>0.13911563787023201</c:v>
                </c:pt>
                <c:pt idx="8">
                  <c:v>9.2186308200808698E-3</c:v>
                </c:pt>
                <c:pt idx="9">
                  <c:v>4.4809037775844537E-2</c:v>
                </c:pt>
                <c:pt idx="10">
                  <c:v>9.7999710102913473E-2</c:v>
                </c:pt>
                <c:pt idx="11">
                  <c:v>0.20283897618661914</c:v>
                </c:pt>
              </c:numCache>
            </c:numRef>
          </c:val>
          <c:extLst xmlns:c16r2="http://schemas.microsoft.com/office/drawing/2015/06/chart">
            <c:ext xmlns:c16="http://schemas.microsoft.com/office/drawing/2014/chart" uri="{C3380CC4-5D6E-409C-BE32-E72D297353CC}">
              <c16:uniqueId val="{00000002-FA0B-416B-A106-DBF31B6827BB}"/>
            </c:ext>
          </c:extLst>
        </c:ser>
        <c:shape val="box"/>
        <c:axId val="176903296"/>
        <c:axId val="176904832"/>
        <c:axId val="0"/>
      </c:bar3DChart>
      <c:catAx>
        <c:axId val="176903296"/>
        <c:scaling>
          <c:orientation val="minMax"/>
        </c:scaling>
        <c:axPos val="b"/>
        <c:numFmt formatCode="General" sourceLinked="0"/>
        <c:tickLblPos val="nextTo"/>
        <c:crossAx val="176904832"/>
        <c:crosses val="autoZero"/>
        <c:auto val="1"/>
        <c:lblAlgn val="ctr"/>
        <c:lblOffset val="100"/>
      </c:catAx>
      <c:valAx>
        <c:axId val="176904832"/>
        <c:scaling>
          <c:orientation val="minMax"/>
        </c:scaling>
        <c:axPos val="l"/>
        <c:majorGridlines/>
        <c:numFmt formatCode="0%" sourceLinked="1"/>
        <c:tickLblPos val="nextTo"/>
        <c:crossAx val="176903296"/>
        <c:crosses val="autoZero"/>
        <c:crossBetween val="between"/>
      </c:valAx>
    </c:plotArea>
    <c:legend>
      <c:legendPos val="b"/>
    </c:legend>
    <c:plotVisOnly val="1"/>
    <c:dispBlanksAs val="gap"/>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stacked"/>
        <c:ser>
          <c:idx val="0"/>
          <c:order val="0"/>
          <c:tx>
            <c:strRef>
              <c:f>'Соц. образование'!$C$1</c:f>
              <c:strCache>
                <c:ptCount val="1"/>
                <c:pt idx="0">
                  <c:v>Численность  обучающихся  в образовательных организациях, человек
в том числе: обучающихся во 2-3 смену, человек
</c:v>
                </c:pt>
              </c:strCache>
            </c:strRef>
          </c:tx>
          <c:dLbls>
            <c:spPr>
              <a:noFill/>
              <a:ln>
                <a:noFill/>
              </a:ln>
              <a:effectLst/>
            </c:spPr>
            <c:txPr>
              <a:bodyPr/>
              <a:lstStyle/>
              <a:p>
                <a:pPr>
                  <a:defRPr sz="1100">
                    <a:solidFill>
                      <a:sysClr val="windowText" lastClr="000000"/>
                    </a:solidFill>
                  </a:defRPr>
                </a:pPr>
                <a:endParaRPr lang="ru-RU"/>
              </a:p>
            </c:txPr>
            <c:showVal val="1"/>
            <c:extLst xmlns:c16r2="http://schemas.microsoft.com/office/drawing/2015/06/chart">
              <c:ext xmlns:c15="http://schemas.microsoft.com/office/drawing/2012/chart" uri="{CE6537A1-D6FC-4f65-9D91-7224C49458BB}">
                <c15:showLeaderLines val="0"/>
              </c:ext>
            </c:extLst>
          </c:dLbls>
          <c:cat>
            <c:strRef>
              <c:f>'Соц. образование'!$B$2:$B$8</c:f>
              <c:strCache>
                <c:ptCount val="7"/>
                <c:pt idx="0">
                  <c:v>01.01.2011 г.</c:v>
                </c:pt>
                <c:pt idx="1">
                  <c:v>01.01.2012 г.</c:v>
                </c:pt>
                <c:pt idx="2">
                  <c:v>01.01.2013 г.</c:v>
                </c:pt>
                <c:pt idx="3">
                  <c:v>01.01.2014 г.</c:v>
                </c:pt>
                <c:pt idx="4">
                  <c:v>01.01.2015 г.</c:v>
                </c:pt>
                <c:pt idx="5">
                  <c:v>01.01.2016 г.</c:v>
                </c:pt>
                <c:pt idx="6">
                  <c:v>01.01.2017 г.</c:v>
                </c:pt>
              </c:strCache>
            </c:strRef>
          </c:cat>
          <c:val>
            <c:numRef>
              <c:f>'Соц. образование'!$C$2:$C$8</c:f>
              <c:numCache>
                <c:formatCode>General</c:formatCode>
                <c:ptCount val="7"/>
                <c:pt idx="0">
                  <c:v>3095</c:v>
                </c:pt>
                <c:pt idx="1">
                  <c:v>3162</c:v>
                </c:pt>
                <c:pt idx="2">
                  <c:v>3106</c:v>
                </c:pt>
                <c:pt idx="3">
                  <c:v>3045</c:v>
                </c:pt>
                <c:pt idx="4">
                  <c:v>3025</c:v>
                </c:pt>
                <c:pt idx="5">
                  <c:v>3011</c:v>
                </c:pt>
                <c:pt idx="6">
                  <c:v>3080</c:v>
                </c:pt>
              </c:numCache>
            </c:numRef>
          </c:val>
          <c:extLst xmlns:c16r2="http://schemas.microsoft.com/office/drawing/2015/06/chart">
            <c:ext xmlns:c16="http://schemas.microsoft.com/office/drawing/2014/chart" uri="{C3380CC4-5D6E-409C-BE32-E72D297353CC}">
              <c16:uniqueId val="{00000000-76D2-4383-9E65-D4192E3D27E4}"/>
            </c:ext>
          </c:extLst>
        </c:ser>
        <c:overlap val="100"/>
        <c:axId val="201773440"/>
        <c:axId val="201774976"/>
      </c:barChart>
      <c:catAx>
        <c:axId val="201773440"/>
        <c:scaling>
          <c:orientation val="minMax"/>
        </c:scaling>
        <c:axPos val="b"/>
        <c:numFmt formatCode="General" sourceLinked="0"/>
        <c:tickLblPos val="nextTo"/>
        <c:crossAx val="201774976"/>
        <c:crosses val="autoZero"/>
        <c:auto val="1"/>
        <c:lblAlgn val="ctr"/>
        <c:lblOffset val="100"/>
      </c:catAx>
      <c:valAx>
        <c:axId val="201774976"/>
        <c:scaling>
          <c:orientation val="minMax"/>
        </c:scaling>
        <c:axPos val="l"/>
        <c:majorGridlines/>
        <c:numFmt formatCode="General" sourceLinked="1"/>
        <c:tickLblPos val="nextTo"/>
        <c:crossAx val="201773440"/>
        <c:crosses val="autoZero"/>
        <c:crossBetween val="between"/>
      </c:valAx>
    </c:plotArea>
    <c:plotVisOnly val="1"/>
    <c:dispBlanksAs val="gap"/>
  </c:chart>
  <c:spPr>
    <a:ln>
      <a:noFill/>
    </a:ln>
  </c:sp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stacked"/>
        <c:ser>
          <c:idx val="0"/>
          <c:order val="0"/>
          <c:tx>
            <c:strRef>
              <c:f>'Структура доходов'!$A$71</c:f>
              <c:strCache>
                <c:ptCount val="1"/>
                <c:pt idx="0">
                  <c:v>Собственные</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доходов'!$B$71:$M$71</c:f>
              <c:numCache>
                <c:formatCode>0%</c:formatCode>
                <c:ptCount val="12"/>
                <c:pt idx="0">
                  <c:v>0.81268135311441003</c:v>
                </c:pt>
                <c:pt idx="1">
                  <c:v>0.30187236435198472</c:v>
                </c:pt>
                <c:pt idx="2">
                  <c:v>0.36495413301426116</c:v>
                </c:pt>
                <c:pt idx="3">
                  <c:v>0.35630157839916904</c:v>
                </c:pt>
                <c:pt idx="4">
                  <c:v>0.312624767673989</c:v>
                </c:pt>
                <c:pt idx="5">
                  <c:v>0.37089185715597317</c:v>
                </c:pt>
                <c:pt idx="6">
                  <c:v>0.18402192716407184</c:v>
                </c:pt>
                <c:pt idx="7">
                  <c:v>0.84463800145168044</c:v>
                </c:pt>
                <c:pt idx="8">
                  <c:v>0.61587925026720636</c:v>
                </c:pt>
                <c:pt idx="9">
                  <c:v>0.30701129652557885</c:v>
                </c:pt>
                <c:pt idx="10">
                  <c:v>0.31720684862269438</c:v>
                </c:pt>
                <c:pt idx="11">
                  <c:v>0.2181233736415123</c:v>
                </c:pt>
              </c:numCache>
            </c:numRef>
          </c:val>
          <c:extLst xmlns:c16r2="http://schemas.microsoft.com/office/drawing/2015/06/chart">
            <c:ext xmlns:c16="http://schemas.microsoft.com/office/drawing/2014/chart" uri="{C3380CC4-5D6E-409C-BE32-E72D297353CC}">
              <c16:uniqueId val="{00000000-BFE9-4AA7-B7CC-630316466794}"/>
            </c:ext>
          </c:extLst>
        </c:ser>
        <c:ser>
          <c:idx val="1"/>
          <c:order val="1"/>
          <c:tx>
            <c:strRef>
              <c:f>'Структура доходов'!$A$72</c:f>
              <c:strCache>
                <c:ptCount val="1"/>
                <c:pt idx="0">
                  <c:v>Дотация</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доходов'!$B$72:$M$72</c:f>
              <c:numCache>
                <c:formatCode>0%</c:formatCode>
                <c:ptCount val="12"/>
                <c:pt idx="0">
                  <c:v>0.17325228902780904</c:v>
                </c:pt>
                <c:pt idx="1">
                  <c:v>0.39030643800956133</c:v>
                </c:pt>
                <c:pt idx="2">
                  <c:v>0.57852228537241956</c:v>
                </c:pt>
                <c:pt idx="3">
                  <c:v>0.48433619101033581</c:v>
                </c:pt>
                <c:pt idx="4">
                  <c:v>0.61737913310846793</c:v>
                </c:pt>
                <c:pt idx="5">
                  <c:v>0.5744055815661433</c:v>
                </c:pt>
                <c:pt idx="6">
                  <c:v>0.54811170272516907</c:v>
                </c:pt>
                <c:pt idx="7">
                  <c:v>0.15536199854832375</c:v>
                </c:pt>
                <c:pt idx="8">
                  <c:v>0.38412074973279886</c:v>
                </c:pt>
                <c:pt idx="9">
                  <c:v>0.36257354794175473</c:v>
                </c:pt>
                <c:pt idx="10">
                  <c:v>0.61177975739196622</c:v>
                </c:pt>
                <c:pt idx="11">
                  <c:v>0.61704314360062162</c:v>
                </c:pt>
              </c:numCache>
            </c:numRef>
          </c:val>
          <c:extLst xmlns:c16r2="http://schemas.microsoft.com/office/drawing/2015/06/chart">
            <c:ext xmlns:c16="http://schemas.microsoft.com/office/drawing/2014/chart" uri="{C3380CC4-5D6E-409C-BE32-E72D297353CC}">
              <c16:uniqueId val="{00000001-BFE9-4AA7-B7CC-630316466794}"/>
            </c:ext>
          </c:extLst>
        </c:ser>
        <c:ser>
          <c:idx val="2"/>
          <c:order val="2"/>
          <c:tx>
            <c:strRef>
              <c:f>'Структура доходов'!$A$73</c:f>
              <c:strCache>
                <c:ptCount val="1"/>
                <c:pt idx="0">
                  <c:v>Иные межбюд.транс.</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'Структура доходов'!$B$39:$M$39</c:f>
              <c:strCache>
                <c:ptCount val="12"/>
                <c:pt idx="0">
                  <c:v>Бардымское сельское поселение</c:v>
                </c:pt>
                <c:pt idx="1">
                  <c:v>Березниковское сельское поселение</c:v>
                </c:pt>
                <c:pt idx="2">
                  <c:v>Бичуринское сельское поселение</c:v>
                </c:pt>
                <c:pt idx="3">
                  <c:v>Брюзлинское сельское поселение</c:v>
                </c:pt>
                <c:pt idx="4">
                  <c:v>Елпачихинское сельское поселение</c:v>
                </c:pt>
                <c:pt idx="5">
                  <c:v>Красноярское сельское поселение</c:v>
                </c:pt>
                <c:pt idx="6">
                  <c:v>Новоашапское сельское поселение</c:v>
                </c:pt>
                <c:pt idx="7">
                  <c:v>Печменское сельское поселение</c:v>
                </c:pt>
                <c:pt idx="8">
                  <c:v>Сарашевское сельское поселение</c:v>
                </c:pt>
                <c:pt idx="9">
                  <c:v>Тюндюковское сельское поселение</c:v>
                </c:pt>
                <c:pt idx="10">
                  <c:v>Федорковское сельское поселение</c:v>
                </c:pt>
                <c:pt idx="11">
                  <c:v>Шермейское сельское поселение</c:v>
                </c:pt>
              </c:strCache>
            </c:strRef>
          </c:cat>
          <c:val>
            <c:numRef>
              <c:f>'Структура доходов'!$B$73:$M$73</c:f>
              <c:numCache>
                <c:formatCode>0%</c:formatCode>
                <c:ptCount val="12"/>
                <c:pt idx="0">
                  <c:v>1.4066357857785167E-2</c:v>
                </c:pt>
                <c:pt idx="1">
                  <c:v>0.30782119763846205</c:v>
                </c:pt>
                <c:pt idx="2">
                  <c:v>5.6523581613321404E-2</c:v>
                </c:pt>
                <c:pt idx="3">
                  <c:v>0.15936223059049956</c:v>
                </c:pt>
                <c:pt idx="4">
                  <c:v>6.9996099217549484E-2</c:v>
                </c:pt>
                <c:pt idx="5">
                  <c:v>5.4702561277884913E-2</c:v>
                </c:pt>
                <c:pt idx="6">
                  <c:v>0.26786637011076114</c:v>
                </c:pt>
                <c:pt idx="7">
                  <c:v>0</c:v>
                </c:pt>
                <c:pt idx="8">
                  <c:v>0</c:v>
                </c:pt>
                <c:pt idx="9">
                  <c:v>0.33041515553266998</c:v>
                </c:pt>
                <c:pt idx="10">
                  <c:v>7.1013393985342524E-2</c:v>
                </c:pt>
                <c:pt idx="11">
                  <c:v>0.16483348275786783</c:v>
                </c:pt>
              </c:numCache>
            </c:numRef>
          </c:val>
          <c:extLst xmlns:c16r2="http://schemas.microsoft.com/office/drawing/2015/06/chart">
            <c:ext xmlns:c16="http://schemas.microsoft.com/office/drawing/2014/chart" uri="{C3380CC4-5D6E-409C-BE32-E72D297353CC}">
              <c16:uniqueId val="{00000002-BFE9-4AA7-B7CC-630316466794}"/>
            </c:ext>
          </c:extLst>
        </c:ser>
        <c:shape val="box"/>
        <c:axId val="177017984"/>
        <c:axId val="177019520"/>
        <c:axId val="0"/>
      </c:bar3DChart>
      <c:catAx>
        <c:axId val="177017984"/>
        <c:scaling>
          <c:orientation val="minMax"/>
        </c:scaling>
        <c:axPos val="b"/>
        <c:numFmt formatCode="General" sourceLinked="0"/>
        <c:tickLblPos val="nextTo"/>
        <c:crossAx val="177019520"/>
        <c:crosses val="autoZero"/>
        <c:auto val="1"/>
        <c:lblAlgn val="ctr"/>
        <c:lblOffset val="100"/>
      </c:catAx>
      <c:valAx>
        <c:axId val="177019520"/>
        <c:scaling>
          <c:orientation val="minMax"/>
        </c:scaling>
        <c:axPos val="l"/>
        <c:majorGridlines/>
        <c:numFmt formatCode="0%" sourceLinked="1"/>
        <c:tickLblPos val="nextTo"/>
        <c:crossAx val="177017984"/>
        <c:crosses val="autoZero"/>
        <c:crossBetween val="between"/>
      </c:valAx>
    </c:plotArea>
    <c:legend>
      <c:legendPos val="b"/>
    </c:legend>
    <c:plotVisOnly val="1"/>
    <c:dispBlanksAs val="gap"/>
  </c:chart>
  <c:spPr>
    <a:ln>
      <a:noFill/>
    </a:ln>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Лист9!$C$2</c:f>
              <c:strCache>
                <c:ptCount val="1"/>
                <c:pt idx="0">
                  <c:v>доходы</c:v>
                </c:pt>
              </c:strCache>
            </c:strRef>
          </c:tx>
          <c:spPr>
            <a:noFill/>
          </c:spPr>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Лист9!$C$3:$C$9</c:f>
              <c:numCache>
                <c:formatCode>General</c:formatCode>
                <c:ptCount val="7"/>
                <c:pt idx="0">
                  <c:v>18586</c:v>
                </c:pt>
                <c:pt idx="1">
                  <c:v>18379.900000000001</c:v>
                </c:pt>
                <c:pt idx="2">
                  <c:v>29798.400000000001</c:v>
                </c:pt>
                <c:pt idx="3">
                  <c:v>31091.1</c:v>
                </c:pt>
                <c:pt idx="4">
                  <c:v>42536.9</c:v>
                </c:pt>
                <c:pt idx="5">
                  <c:v>30146.7</c:v>
                </c:pt>
                <c:pt idx="6">
                  <c:v>32360.899999999896</c:v>
                </c:pt>
              </c:numCache>
            </c:numRef>
          </c:val>
          <c:extLst xmlns:c16r2="http://schemas.microsoft.com/office/drawing/2015/06/chart">
            <c:ext xmlns:c16="http://schemas.microsoft.com/office/drawing/2014/chart" uri="{C3380CC4-5D6E-409C-BE32-E72D297353CC}">
              <c16:uniqueId val="{00000000-F7E8-4EFB-B8FF-92E33DBE87AE}"/>
            </c:ext>
          </c:extLst>
        </c:ser>
        <c:ser>
          <c:idx val="1"/>
          <c:order val="1"/>
          <c:tx>
            <c:strRef>
              <c:f>Лист9!$E$2</c:f>
              <c:strCache>
                <c:ptCount val="1"/>
                <c:pt idx="0">
                  <c:v>Дефицит/профицит</c:v>
                </c:pt>
              </c:strCache>
            </c:strRef>
          </c:tx>
          <c:spPr>
            <a:blipFill dpi="0" rotWithShape="1">
              <a:blip xmlns:r="http://schemas.openxmlformats.org/officeDocument/2006/relationships" r:embed="rId1"/>
              <a:srcRect/>
              <a:tile tx="0" ty="0" sx="100000" sy="100000" flip="none" algn="tl"/>
            </a:blipFill>
          </c:spPr>
          <c:dLbls>
            <c:dLbl>
              <c:idx val="6"/>
              <c:layout>
                <c:manualLayout>
                  <c:x val="2.9442691903259741E-2"/>
                  <c:y val="-3.0651340996168612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7E8-4EFB-B8FF-92E33DBE87AE}"/>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Лист9!$E$3:$E$9</c:f>
              <c:numCache>
                <c:formatCode>General</c:formatCode>
                <c:ptCount val="7"/>
                <c:pt idx="0">
                  <c:v>-2473.5</c:v>
                </c:pt>
                <c:pt idx="1">
                  <c:v>-1067.6000000000022</c:v>
                </c:pt>
                <c:pt idx="2">
                  <c:v>3033.7999999999947</c:v>
                </c:pt>
                <c:pt idx="3">
                  <c:v>2019.0999999999979</c:v>
                </c:pt>
                <c:pt idx="4">
                  <c:v>-5165.1000000000004</c:v>
                </c:pt>
                <c:pt idx="5">
                  <c:v>4225.2000000000007</c:v>
                </c:pt>
                <c:pt idx="6">
                  <c:v>-38.399999999997817</c:v>
                </c:pt>
              </c:numCache>
            </c:numRef>
          </c:val>
          <c:extLst xmlns:c16r2="http://schemas.microsoft.com/office/drawing/2015/06/chart">
            <c:ext xmlns:c16="http://schemas.microsoft.com/office/drawing/2014/chart" uri="{C3380CC4-5D6E-409C-BE32-E72D297353CC}">
              <c16:uniqueId val="{00000002-F7E8-4EFB-B8FF-92E33DBE87AE}"/>
            </c:ext>
          </c:extLst>
        </c:ser>
        <c:axId val="177076480"/>
        <c:axId val="176963584"/>
      </c:areaChart>
      <c:lineChart>
        <c:grouping val="standard"/>
        <c:ser>
          <c:idx val="2"/>
          <c:order val="2"/>
          <c:tx>
            <c:strRef>
              <c:f>Лист9!$C$2</c:f>
              <c:strCache>
                <c:ptCount val="1"/>
                <c:pt idx="0">
                  <c:v>доходы</c:v>
                </c:pt>
              </c:strCache>
            </c:strRef>
          </c:tx>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Лист9!$C$3:$C$9</c:f>
              <c:numCache>
                <c:formatCode>General</c:formatCode>
                <c:ptCount val="7"/>
                <c:pt idx="0">
                  <c:v>18586</c:v>
                </c:pt>
                <c:pt idx="1">
                  <c:v>18379.900000000001</c:v>
                </c:pt>
                <c:pt idx="2">
                  <c:v>29798.400000000001</c:v>
                </c:pt>
                <c:pt idx="3">
                  <c:v>31091.1</c:v>
                </c:pt>
                <c:pt idx="4">
                  <c:v>42536.9</c:v>
                </c:pt>
                <c:pt idx="5">
                  <c:v>30146.7</c:v>
                </c:pt>
                <c:pt idx="6">
                  <c:v>32360.899999999896</c:v>
                </c:pt>
              </c:numCache>
            </c:numRef>
          </c:val>
          <c:extLst xmlns:c16r2="http://schemas.microsoft.com/office/drawing/2015/06/chart">
            <c:ext xmlns:c16="http://schemas.microsoft.com/office/drawing/2014/chart" uri="{C3380CC4-5D6E-409C-BE32-E72D297353CC}">
              <c16:uniqueId val="{00000003-F7E8-4EFB-B8FF-92E33DBE87AE}"/>
            </c:ext>
          </c:extLst>
        </c:ser>
        <c:ser>
          <c:idx val="3"/>
          <c:order val="3"/>
          <c:tx>
            <c:strRef>
              <c:f>Лист9!$D$2</c:f>
              <c:strCache>
                <c:ptCount val="1"/>
                <c:pt idx="0">
                  <c:v>расходы</c:v>
                </c:pt>
              </c:strCache>
            </c:strRef>
          </c:tx>
          <c:cat>
            <c:strRef>
              <c:f>Лист9!$B$3:$B$9</c:f>
              <c:strCache>
                <c:ptCount val="7"/>
                <c:pt idx="0">
                  <c:v>2010 год</c:v>
                </c:pt>
                <c:pt idx="1">
                  <c:v>2011 год</c:v>
                </c:pt>
                <c:pt idx="2">
                  <c:v>2012 год</c:v>
                </c:pt>
                <c:pt idx="3">
                  <c:v>2013 год</c:v>
                </c:pt>
                <c:pt idx="4">
                  <c:v>2014 год</c:v>
                </c:pt>
                <c:pt idx="5">
                  <c:v>2015 год</c:v>
                </c:pt>
                <c:pt idx="6">
                  <c:v>2016 год</c:v>
                </c:pt>
              </c:strCache>
            </c:strRef>
          </c:cat>
          <c:val>
            <c:numRef>
              <c:f>Лист9!$D$3:$D$9</c:f>
              <c:numCache>
                <c:formatCode>General</c:formatCode>
                <c:ptCount val="7"/>
                <c:pt idx="0">
                  <c:v>16112.5</c:v>
                </c:pt>
                <c:pt idx="1">
                  <c:v>17312.3</c:v>
                </c:pt>
                <c:pt idx="2">
                  <c:v>32832.199999999997</c:v>
                </c:pt>
                <c:pt idx="3">
                  <c:v>33110.199999999997</c:v>
                </c:pt>
                <c:pt idx="4">
                  <c:v>37371.800000000003</c:v>
                </c:pt>
                <c:pt idx="5">
                  <c:v>34371.9</c:v>
                </c:pt>
                <c:pt idx="6">
                  <c:v>32322.5</c:v>
                </c:pt>
              </c:numCache>
            </c:numRef>
          </c:val>
          <c:extLst xmlns:c16r2="http://schemas.microsoft.com/office/drawing/2015/06/chart">
            <c:ext xmlns:c16="http://schemas.microsoft.com/office/drawing/2014/chart" uri="{C3380CC4-5D6E-409C-BE32-E72D297353CC}">
              <c16:uniqueId val="{00000004-F7E8-4EFB-B8FF-92E33DBE87AE}"/>
            </c:ext>
          </c:extLst>
        </c:ser>
        <c:marker val="1"/>
        <c:axId val="177076480"/>
        <c:axId val="176963584"/>
      </c:lineChart>
      <c:catAx>
        <c:axId val="177076480"/>
        <c:scaling>
          <c:orientation val="minMax"/>
        </c:scaling>
        <c:axPos val="b"/>
        <c:numFmt formatCode="General" sourceLinked="0"/>
        <c:tickLblPos val="nextTo"/>
        <c:crossAx val="176963584"/>
        <c:crosses val="autoZero"/>
        <c:auto val="1"/>
        <c:lblAlgn val="ctr"/>
        <c:lblOffset val="100"/>
      </c:catAx>
      <c:valAx>
        <c:axId val="176963584"/>
        <c:scaling>
          <c:orientation val="minMax"/>
        </c:scaling>
        <c:axPos val="l"/>
        <c:majorGridlines/>
        <c:numFmt formatCode="General" sourceLinked="1"/>
        <c:tickLblPos val="nextTo"/>
        <c:crossAx val="177076480"/>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Лист9!$C$10</c:f>
              <c:strCache>
                <c:ptCount val="1"/>
                <c:pt idx="0">
                  <c:v>доходы</c:v>
                </c:pt>
              </c:strCache>
            </c:strRef>
          </c:tx>
          <c:spPr>
            <a:noFill/>
          </c:spPr>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Лист9!$C$11:$C$17</c:f>
              <c:numCache>
                <c:formatCode>General</c:formatCode>
                <c:ptCount val="7"/>
                <c:pt idx="0">
                  <c:v>6488</c:v>
                </c:pt>
                <c:pt idx="1">
                  <c:v>6899.2999999999993</c:v>
                </c:pt>
                <c:pt idx="2">
                  <c:v>7373.2000000000007</c:v>
                </c:pt>
                <c:pt idx="3">
                  <c:v>8478.7000000000007</c:v>
                </c:pt>
                <c:pt idx="4">
                  <c:v>7622.6000000000013</c:v>
                </c:pt>
                <c:pt idx="5">
                  <c:v>7870.4</c:v>
                </c:pt>
                <c:pt idx="6">
                  <c:v>8892.5</c:v>
                </c:pt>
              </c:numCache>
            </c:numRef>
          </c:val>
          <c:extLst xmlns:c16r2="http://schemas.microsoft.com/office/drawing/2015/06/chart">
            <c:ext xmlns:c16="http://schemas.microsoft.com/office/drawing/2014/chart" uri="{C3380CC4-5D6E-409C-BE32-E72D297353CC}">
              <c16:uniqueId val="{00000000-B5B7-414F-A997-70DDD45AD40D}"/>
            </c:ext>
          </c:extLst>
        </c:ser>
        <c:ser>
          <c:idx val="1"/>
          <c:order val="1"/>
          <c:tx>
            <c:strRef>
              <c:f>Лист9!$E$10</c:f>
              <c:strCache>
                <c:ptCount val="1"/>
                <c:pt idx="0">
                  <c:v>Дефицит/профицит</c:v>
                </c:pt>
              </c:strCache>
            </c:strRef>
          </c:tx>
          <c:spPr>
            <a:blipFill>
              <a:blip xmlns:r="http://schemas.openxmlformats.org/officeDocument/2006/relationships" r:embed="rId1"/>
              <a:tile tx="0" ty="0" sx="100000" sy="100000" flip="none" algn="tl"/>
            </a:blipFill>
            <a:ln>
              <a:noFill/>
            </a:ln>
          </c:spPr>
          <c:dLbls>
            <c:dLbl>
              <c:idx val="0"/>
              <c:layout>
                <c:manualLayout>
                  <c:x val="-2.5477707006369754E-2"/>
                  <c:y val="1.129943502824858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5B7-414F-A997-70DDD45AD40D}"/>
                </c:ext>
              </c:extLst>
            </c:dLbl>
            <c:dLbl>
              <c:idx val="5"/>
              <c:layout>
                <c:manualLayout>
                  <c:x val="1.4861995753715523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5B7-414F-A997-70DDD45AD40D}"/>
                </c:ext>
              </c:extLst>
            </c:dLbl>
            <c:dLbl>
              <c:idx val="6"/>
              <c:layout>
                <c:manualLayout>
                  <c:x val="2.5477707006369754E-2"/>
                  <c:y val="-4.8964218455743933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5B7-414F-A997-70DDD45AD40D}"/>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Лист9!$E$11:$E$17</c:f>
              <c:numCache>
                <c:formatCode>General</c:formatCode>
                <c:ptCount val="7"/>
                <c:pt idx="0">
                  <c:v>-275.69999999999965</c:v>
                </c:pt>
                <c:pt idx="1">
                  <c:v>-410.09999999999923</c:v>
                </c:pt>
                <c:pt idx="2">
                  <c:v>-591.10000000000059</c:v>
                </c:pt>
                <c:pt idx="3">
                  <c:v>-151.90000000000146</c:v>
                </c:pt>
                <c:pt idx="4">
                  <c:v>-673.7999999999995</c:v>
                </c:pt>
                <c:pt idx="5">
                  <c:v>-81.599999999999497</c:v>
                </c:pt>
                <c:pt idx="6">
                  <c:v>-91.899999999999636</c:v>
                </c:pt>
              </c:numCache>
            </c:numRef>
          </c:val>
          <c:extLst xmlns:c16r2="http://schemas.microsoft.com/office/drawing/2015/06/chart">
            <c:ext xmlns:c16="http://schemas.microsoft.com/office/drawing/2014/chart" uri="{C3380CC4-5D6E-409C-BE32-E72D297353CC}">
              <c16:uniqueId val="{00000004-B5B7-414F-A997-70DDD45AD40D}"/>
            </c:ext>
          </c:extLst>
        </c:ser>
        <c:axId val="177003136"/>
        <c:axId val="194580864"/>
      </c:areaChart>
      <c:lineChart>
        <c:grouping val="standard"/>
        <c:ser>
          <c:idx val="2"/>
          <c:order val="2"/>
          <c:tx>
            <c:strRef>
              <c:f>Лист9!$C$10</c:f>
              <c:strCache>
                <c:ptCount val="1"/>
                <c:pt idx="0">
                  <c:v>доходы</c:v>
                </c:pt>
              </c:strCache>
            </c:strRef>
          </c:tx>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Лист9!$C$11:$C$17</c:f>
              <c:numCache>
                <c:formatCode>General</c:formatCode>
                <c:ptCount val="7"/>
                <c:pt idx="0">
                  <c:v>6488</c:v>
                </c:pt>
                <c:pt idx="1">
                  <c:v>6899.2999999999993</c:v>
                </c:pt>
                <c:pt idx="2">
                  <c:v>7373.2000000000007</c:v>
                </c:pt>
                <c:pt idx="3">
                  <c:v>8478.7000000000007</c:v>
                </c:pt>
                <c:pt idx="4">
                  <c:v>7622.6000000000013</c:v>
                </c:pt>
                <c:pt idx="5">
                  <c:v>7870.4</c:v>
                </c:pt>
                <c:pt idx="6">
                  <c:v>8892.5</c:v>
                </c:pt>
              </c:numCache>
            </c:numRef>
          </c:val>
          <c:extLst xmlns:c16r2="http://schemas.microsoft.com/office/drawing/2015/06/chart">
            <c:ext xmlns:c16="http://schemas.microsoft.com/office/drawing/2014/chart" uri="{C3380CC4-5D6E-409C-BE32-E72D297353CC}">
              <c16:uniqueId val="{00000005-B5B7-414F-A997-70DDD45AD40D}"/>
            </c:ext>
          </c:extLst>
        </c:ser>
        <c:ser>
          <c:idx val="3"/>
          <c:order val="3"/>
          <c:tx>
            <c:strRef>
              <c:f>Лист9!$D$10</c:f>
              <c:strCache>
                <c:ptCount val="1"/>
                <c:pt idx="0">
                  <c:v>расходы</c:v>
                </c:pt>
              </c:strCache>
            </c:strRef>
          </c:tx>
          <c:cat>
            <c:strRef>
              <c:f>Лист9!$B$11:$B$17</c:f>
              <c:strCache>
                <c:ptCount val="7"/>
                <c:pt idx="0">
                  <c:v>2010 год</c:v>
                </c:pt>
                <c:pt idx="1">
                  <c:v>2011 год</c:v>
                </c:pt>
                <c:pt idx="2">
                  <c:v>2012 год</c:v>
                </c:pt>
                <c:pt idx="3">
                  <c:v>2013 год</c:v>
                </c:pt>
                <c:pt idx="4">
                  <c:v>2014 год</c:v>
                </c:pt>
                <c:pt idx="5">
                  <c:v>2015 год</c:v>
                </c:pt>
                <c:pt idx="6">
                  <c:v>2016 год</c:v>
                </c:pt>
              </c:strCache>
            </c:strRef>
          </c:cat>
          <c:val>
            <c:numRef>
              <c:f>Лист9!$D$11:$D$17</c:f>
              <c:numCache>
                <c:formatCode>General</c:formatCode>
                <c:ptCount val="7"/>
                <c:pt idx="0">
                  <c:v>6212.3</c:v>
                </c:pt>
                <c:pt idx="1">
                  <c:v>6489.2</c:v>
                </c:pt>
                <c:pt idx="2">
                  <c:v>6782.1</c:v>
                </c:pt>
                <c:pt idx="3">
                  <c:v>8326.7999999999811</c:v>
                </c:pt>
                <c:pt idx="4">
                  <c:v>6948.8</c:v>
                </c:pt>
                <c:pt idx="5">
                  <c:v>7788.8</c:v>
                </c:pt>
                <c:pt idx="6">
                  <c:v>8800.6</c:v>
                </c:pt>
              </c:numCache>
            </c:numRef>
          </c:val>
          <c:extLst xmlns:c16r2="http://schemas.microsoft.com/office/drawing/2015/06/chart">
            <c:ext xmlns:c16="http://schemas.microsoft.com/office/drawing/2014/chart" uri="{C3380CC4-5D6E-409C-BE32-E72D297353CC}">
              <c16:uniqueId val="{00000006-B5B7-414F-A997-70DDD45AD40D}"/>
            </c:ext>
          </c:extLst>
        </c:ser>
        <c:marker val="1"/>
        <c:axId val="177003136"/>
        <c:axId val="194580864"/>
      </c:lineChart>
      <c:catAx>
        <c:axId val="177003136"/>
        <c:scaling>
          <c:orientation val="minMax"/>
        </c:scaling>
        <c:axPos val="b"/>
        <c:numFmt formatCode="General" sourceLinked="0"/>
        <c:tickLblPos val="nextTo"/>
        <c:crossAx val="194580864"/>
        <c:crosses val="autoZero"/>
        <c:auto val="1"/>
        <c:lblAlgn val="ctr"/>
        <c:lblOffset val="100"/>
      </c:catAx>
      <c:valAx>
        <c:axId val="194580864"/>
        <c:scaling>
          <c:orientation val="minMax"/>
        </c:scaling>
        <c:axPos val="l"/>
        <c:majorGridlines/>
        <c:numFmt formatCode="General" sourceLinked="1"/>
        <c:tickLblPos val="nextTo"/>
        <c:crossAx val="17700313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Лист9!$C$18</c:f>
              <c:strCache>
                <c:ptCount val="1"/>
                <c:pt idx="0">
                  <c:v>доходы</c:v>
                </c:pt>
              </c:strCache>
            </c:strRef>
          </c:tx>
          <c:spPr>
            <a:noFill/>
          </c:spPr>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Лист9!$C$19:$C$25</c:f>
              <c:numCache>
                <c:formatCode>General</c:formatCode>
                <c:ptCount val="7"/>
                <c:pt idx="0">
                  <c:v>5669</c:v>
                </c:pt>
                <c:pt idx="1">
                  <c:v>5245.8</c:v>
                </c:pt>
                <c:pt idx="2">
                  <c:v>5646.2000000000007</c:v>
                </c:pt>
                <c:pt idx="3">
                  <c:v>6738.1</c:v>
                </c:pt>
                <c:pt idx="4">
                  <c:v>6504.7000000000007</c:v>
                </c:pt>
                <c:pt idx="5">
                  <c:v>7611.4000000000005</c:v>
                </c:pt>
                <c:pt idx="6">
                  <c:v>8023.2000000000007</c:v>
                </c:pt>
              </c:numCache>
            </c:numRef>
          </c:val>
          <c:extLst xmlns:c16r2="http://schemas.microsoft.com/office/drawing/2015/06/chart">
            <c:ext xmlns:c16="http://schemas.microsoft.com/office/drawing/2014/chart" uri="{C3380CC4-5D6E-409C-BE32-E72D297353CC}">
              <c16:uniqueId val="{00000000-EF7F-4139-AC75-3C717A004FE8}"/>
            </c:ext>
          </c:extLst>
        </c:ser>
        <c:ser>
          <c:idx val="1"/>
          <c:order val="1"/>
          <c:tx>
            <c:strRef>
              <c:f>Лист9!$E$18</c:f>
              <c:strCache>
                <c:ptCount val="1"/>
                <c:pt idx="0">
                  <c:v>Дефицит/профицит</c:v>
                </c:pt>
              </c:strCache>
            </c:strRef>
          </c:tx>
          <c:spPr>
            <a:blipFill>
              <a:blip xmlns:r="http://schemas.openxmlformats.org/officeDocument/2006/relationships" r:embed="rId1"/>
              <a:tile tx="0" ty="0" sx="100000" sy="100000" flip="none" algn="tl"/>
            </a:blipFill>
          </c:spPr>
          <c:dLbls>
            <c:dLbl>
              <c:idx val="3"/>
              <c:layout>
                <c:manualLayout>
                  <c:x val="-2.1164021164021165E-3"/>
                  <c:y val="1.3888888888888999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F7F-4139-AC75-3C717A004FE8}"/>
                </c:ext>
              </c:extLst>
            </c:dLbl>
            <c:dLbl>
              <c:idx val="4"/>
              <c:layout>
                <c:manualLayout>
                  <c:x val="4.2328042328042331E-3"/>
                  <c:y val="2.3148148148148147E-2"/>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F7F-4139-AC75-3C717A004FE8}"/>
                </c:ext>
              </c:extLst>
            </c:dLbl>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Лист9!$E$19:$E$25</c:f>
              <c:numCache>
                <c:formatCode>General</c:formatCode>
                <c:ptCount val="7"/>
                <c:pt idx="0">
                  <c:v>-430.30000000000018</c:v>
                </c:pt>
                <c:pt idx="1">
                  <c:v>-681.10000000000059</c:v>
                </c:pt>
                <c:pt idx="2">
                  <c:v>-6.8000000000010905</c:v>
                </c:pt>
                <c:pt idx="3">
                  <c:v>-108.30000000000018</c:v>
                </c:pt>
                <c:pt idx="4">
                  <c:v>-58.100000000000364</c:v>
                </c:pt>
                <c:pt idx="5">
                  <c:v>-973.60000000000059</c:v>
                </c:pt>
                <c:pt idx="6">
                  <c:v>-327.50000000000091</c:v>
                </c:pt>
              </c:numCache>
            </c:numRef>
          </c:val>
          <c:extLst xmlns:c16r2="http://schemas.microsoft.com/office/drawing/2015/06/chart">
            <c:ext xmlns:c16="http://schemas.microsoft.com/office/drawing/2014/chart" uri="{C3380CC4-5D6E-409C-BE32-E72D297353CC}">
              <c16:uniqueId val="{00000003-EF7F-4139-AC75-3C717A004FE8}"/>
            </c:ext>
          </c:extLst>
        </c:ser>
        <c:axId val="194612224"/>
        <c:axId val="194634496"/>
      </c:areaChart>
      <c:lineChart>
        <c:grouping val="standard"/>
        <c:ser>
          <c:idx val="2"/>
          <c:order val="2"/>
          <c:tx>
            <c:strRef>
              <c:f>Лист9!$C$18</c:f>
              <c:strCache>
                <c:ptCount val="1"/>
                <c:pt idx="0">
                  <c:v>доходы</c:v>
                </c:pt>
              </c:strCache>
            </c:strRef>
          </c:tx>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Лист9!$C$19:$C$25</c:f>
              <c:numCache>
                <c:formatCode>General</c:formatCode>
                <c:ptCount val="7"/>
                <c:pt idx="0">
                  <c:v>5669</c:v>
                </c:pt>
                <c:pt idx="1">
                  <c:v>5245.8</c:v>
                </c:pt>
                <c:pt idx="2">
                  <c:v>5646.2000000000007</c:v>
                </c:pt>
                <c:pt idx="3">
                  <c:v>6738.1</c:v>
                </c:pt>
                <c:pt idx="4">
                  <c:v>6504.7000000000007</c:v>
                </c:pt>
                <c:pt idx="5">
                  <c:v>7611.4000000000005</c:v>
                </c:pt>
                <c:pt idx="6">
                  <c:v>8023.2000000000007</c:v>
                </c:pt>
              </c:numCache>
            </c:numRef>
          </c:val>
          <c:extLst xmlns:c16r2="http://schemas.microsoft.com/office/drawing/2015/06/chart">
            <c:ext xmlns:c16="http://schemas.microsoft.com/office/drawing/2014/chart" uri="{C3380CC4-5D6E-409C-BE32-E72D297353CC}">
              <c16:uniqueId val="{00000004-EF7F-4139-AC75-3C717A004FE8}"/>
            </c:ext>
          </c:extLst>
        </c:ser>
        <c:ser>
          <c:idx val="3"/>
          <c:order val="3"/>
          <c:tx>
            <c:strRef>
              <c:f>Лист9!$D$18</c:f>
              <c:strCache>
                <c:ptCount val="1"/>
                <c:pt idx="0">
                  <c:v>расходы</c:v>
                </c:pt>
              </c:strCache>
            </c:strRef>
          </c:tx>
          <c:cat>
            <c:strRef>
              <c:f>Лист9!$B$19:$B$25</c:f>
              <c:strCache>
                <c:ptCount val="7"/>
                <c:pt idx="0">
                  <c:v>2010 год</c:v>
                </c:pt>
                <c:pt idx="1">
                  <c:v>2011 год</c:v>
                </c:pt>
                <c:pt idx="2">
                  <c:v>2012 год</c:v>
                </c:pt>
                <c:pt idx="3">
                  <c:v>2013 год</c:v>
                </c:pt>
                <c:pt idx="4">
                  <c:v>2014 год</c:v>
                </c:pt>
                <c:pt idx="5">
                  <c:v>2015 год</c:v>
                </c:pt>
                <c:pt idx="6">
                  <c:v>2016 год</c:v>
                </c:pt>
              </c:strCache>
            </c:strRef>
          </c:cat>
          <c:val>
            <c:numRef>
              <c:f>Лист9!$D$19:$D$25</c:f>
              <c:numCache>
                <c:formatCode>General</c:formatCode>
                <c:ptCount val="7"/>
                <c:pt idx="0">
                  <c:v>5238.7</c:v>
                </c:pt>
                <c:pt idx="1">
                  <c:v>4564.7</c:v>
                </c:pt>
                <c:pt idx="2">
                  <c:v>5639.4</c:v>
                </c:pt>
                <c:pt idx="3">
                  <c:v>6629.8</c:v>
                </c:pt>
                <c:pt idx="4">
                  <c:v>6446.6</c:v>
                </c:pt>
                <c:pt idx="5">
                  <c:v>6637.8</c:v>
                </c:pt>
                <c:pt idx="6">
                  <c:v>7695.7</c:v>
                </c:pt>
              </c:numCache>
            </c:numRef>
          </c:val>
          <c:extLst xmlns:c16r2="http://schemas.microsoft.com/office/drawing/2015/06/chart">
            <c:ext xmlns:c16="http://schemas.microsoft.com/office/drawing/2014/chart" uri="{C3380CC4-5D6E-409C-BE32-E72D297353CC}">
              <c16:uniqueId val="{00000005-EF7F-4139-AC75-3C717A004FE8}"/>
            </c:ext>
          </c:extLst>
        </c:ser>
        <c:marker val="1"/>
        <c:axId val="194612224"/>
        <c:axId val="194634496"/>
      </c:lineChart>
      <c:catAx>
        <c:axId val="194612224"/>
        <c:scaling>
          <c:orientation val="minMax"/>
        </c:scaling>
        <c:axPos val="b"/>
        <c:numFmt formatCode="General" sourceLinked="0"/>
        <c:tickLblPos val="nextTo"/>
        <c:crossAx val="194634496"/>
        <c:crosses val="autoZero"/>
        <c:auto val="1"/>
        <c:lblAlgn val="ctr"/>
        <c:lblOffset val="100"/>
      </c:catAx>
      <c:valAx>
        <c:axId val="194634496"/>
        <c:scaling>
          <c:orientation val="minMax"/>
        </c:scaling>
        <c:axPos val="l"/>
        <c:majorGridlines/>
        <c:numFmt formatCode="General" sourceLinked="1"/>
        <c:tickLblPos val="nextTo"/>
        <c:crossAx val="19461222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Лист9!$C$26</c:f>
              <c:strCache>
                <c:ptCount val="1"/>
                <c:pt idx="0">
                  <c:v>доходы</c:v>
                </c:pt>
              </c:strCache>
            </c:strRef>
          </c:tx>
          <c:spPr>
            <a:noFill/>
          </c:spPr>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Лист9!$C$27:$C$33</c:f>
              <c:numCache>
                <c:formatCode>General</c:formatCode>
                <c:ptCount val="7"/>
                <c:pt idx="0">
                  <c:v>3501</c:v>
                </c:pt>
                <c:pt idx="1">
                  <c:v>3941.6</c:v>
                </c:pt>
                <c:pt idx="2">
                  <c:v>9490.7000000000007</c:v>
                </c:pt>
                <c:pt idx="3">
                  <c:v>5174.1000000000004</c:v>
                </c:pt>
                <c:pt idx="4">
                  <c:v>5422.4</c:v>
                </c:pt>
                <c:pt idx="5">
                  <c:v>4857.8</c:v>
                </c:pt>
                <c:pt idx="6">
                  <c:v>4992.4000000000005</c:v>
                </c:pt>
              </c:numCache>
            </c:numRef>
          </c:val>
          <c:extLst xmlns:c16r2="http://schemas.microsoft.com/office/drawing/2015/06/chart">
            <c:ext xmlns:c16="http://schemas.microsoft.com/office/drawing/2014/chart" uri="{C3380CC4-5D6E-409C-BE32-E72D297353CC}">
              <c16:uniqueId val="{00000000-0AB5-4C95-BBAC-9F11AE651B0F}"/>
            </c:ext>
          </c:extLst>
        </c:ser>
        <c:ser>
          <c:idx val="1"/>
          <c:order val="1"/>
          <c:tx>
            <c:strRef>
              <c:f>Лист9!$E$26</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Лист9!$E$27:$E$33</c:f>
              <c:numCache>
                <c:formatCode>General</c:formatCode>
                <c:ptCount val="7"/>
                <c:pt idx="0">
                  <c:v>-37.600000000000009</c:v>
                </c:pt>
                <c:pt idx="1">
                  <c:v>-129.29999999999973</c:v>
                </c:pt>
                <c:pt idx="2">
                  <c:v>-64.800000000001049</c:v>
                </c:pt>
                <c:pt idx="3">
                  <c:v>-97.60000000000035</c:v>
                </c:pt>
                <c:pt idx="4">
                  <c:v>-304.09999999999923</c:v>
                </c:pt>
                <c:pt idx="5">
                  <c:v>-29</c:v>
                </c:pt>
                <c:pt idx="6">
                  <c:v>456.19999999999965</c:v>
                </c:pt>
              </c:numCache>
            </c:numRef>
          </c:val>
          <c:extLst xmlns:c16r2="http://schemas.microsoft.com/office/drawing/2015/06/chart">
            <c:ext xmlns:c16="http://schemas.microsoft.com/office/drawing/2014/chart" uri="{C3380CC4-5D6E-409C-BE32-E72D297353CC}">
              <c16:uniqueId val="{00000001-0AB5-4C95-BBAC-9F11AE651B0F}"/>
            </c:ext>
          </c:extLst>
        </c:ser>
        <c:axId val="201485696"/>
        <c:axId val="201499776"/>
      </c:areaChart>
      <c:lineChart>
        <c:grouping val="standard"/>
        <c:ser>
          <c:idx val="2"/>
          <c:order val="2"/>
          <c:tx>
            <c:strRef>
              <c:f>Лист9!$C$26</c:f>
              <c:strCache>
                <c:ptCount val="1"/>
                <c:pt idx="0">
                  <c:v>доходы</c:v>
                </c:pt>
              </c:strCache>
            </c:strRef>
          </c:tx>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Лист9!$C$27:$C$33</c:f>
              <c:numCache>
                <c:formatCode>General</c:formatCode>
                <c:ptCount val="7"/>
                <c:pt idx="0">
                  <c:v>3501</c:v>
                </c:pt>
                <c:pt idx="1">
                  <c:v>3941.6</c:v>
                </c:pt>
                <c:pt idx="2">
                  <c:v>9490.7000000000007</c:v>
                </c:pt>
                <c:pt idx="3">
                  <c:v>5174.1000000000004</c:v>
                </c:pt>
                <c:pt idx="4">
                  <c:v>5422.4</c:v>
                </c:pt>
                <c:pt idx="5">
                  <c:v>4857.8</c:v>
                </c:pt>
                <c:pt idx="6">
                  <c:v>4992.4000000000005</c:v>
                </c:pt>
              </c:numCache>
            </c:numRef>
          </c:val>
          <c:extLst xmlns:c16r2="http://schemas.microsoft.com/office/drawing/2015/06/chart">
            <c:ext xmlns:c16="http://schemas.microsoft.com/office/drawing/2014/chart" uri="{C3380CC4-5D6E-409C-BE32-E72D297353CC}">
              <c16:uniqueId val="{00000002-0AB5-4C95-BBAC-9F11AE651B0F}"/>
            </c:ext>
          </c:extLst>
        </c:ser>
        <c:ser>
          <c:idx val="3"/>
          <c:order val="3"/>
          <c:tx>
            <c:strRef>
              <c:f>Лист9!$D$26</c:f>
              <c:strCache>
                <c:ptCount val="1"/>
                <c:pt idx="0">
                  <c:v>расходы</c:v>
                </c:pt>
              </c:strCache>
            </c:strRef>
          </c:tx>
          <c:cat>
            <c:strRef>
              <c:f>Лист9!$B$27:$B$33</c:f>
              <c:strCache>
                <c:ptCount val="7"/>
                <c:pt idx="0">
                  <c:v>2010 год</c:v>
                </c:pt>
                <c:pt idx="1">
                  <c:v>2011 год</c:v>
                </c:pt>
                <c:pt idx="2">
                  <c:v>2012 год</c:v>
                </c:pt>
                <c:pt idx="3">
                  <c:v>2013 год</c:v>
                </c:pt>
                <c:pt idx="4">
                  <c:v>2014 год</c:v>
                </c:pt>
                <c:pt idx="5">
                  <c:v>2015 год</c:v>
                </c:pt>
                <c:pt idx="6">
                  <c:v>2016 год</c:v>
                </c:pt>
              </c:strCache>
            </c:strRef>
          </c:cat>
          <c:val>
            <c:numRef>
              <c:f>Лист9!$D$27:$D$33</c:f>
              <c:numCache>
                <c:formatCode>General</c:formatCode>
                <c:ptCount val="7"/>
                <c:pt idx="0">
                  <c:v>3463.4</c:v>
                </c:pt>
                <c:pt idx="1">
                  <c:v>3812.3</c:v>
                </c:pt>
                <c:pt idx="2">
                  <c:v>9425.9</c:v>
                </c:pt>
                <c:pt idx="3">
                  <c:v>5076.5</c:v>
                </c:pt>
                <c:pt idx="4">
                  <c:v>5118.3</c:v>
                </c:pt>
                <c:pt idx="5">
                  <c:v>4828.8</c:v>
                </c:pt>
                <c:pt idx="6">
                  <c:v>5448.6</c:v>
                </c:pt>
              </c:numCache>
            </c:numRef>
          </c:val>
          <c:extLst xmlns:c16r2="http://schemas.microsoft.com/office/drawing/2015/06/chart">
            <c:ext xmlns:c16="http://schemas.microsoft.com/office/drawing/2014/chart" uri="{C3380CC4-5D6E-409C-BE32-E72D297353CC}">
              <c16:uniqueId val="{00000003-0AB5-4C95-BBAC-9F11AE651B0F}"/>
            </c:ext>
          </c:extLst>
        </c:ser>
        <c:marker val="1"/>
        <c:axId val="201485696"/>
        <c:axId val="201499776"/>
      </c:lineChart>
      <c:catAx>
        <c:axId val="201485696"/>
        <c:scaling>
          <c:orientation val="minMax"/>
        </c:scaling>
        <c:axPos val="b"/>
        <c:numFmt formatCode="General" sourceLinked="0"/>
        <c:tickLblPos val="nextTo"/>
        <c:crossAx val="201499776"/>
        <c:crosses val="autoZero"/>
        <c:auto val="1"/>
        <c:lblAlgn val="ctr"/>
        <c:lblOffset val="100"/>
      </c:catAx>
      <c:valAx>
        <c:axId val="201499776"/>
        <c:scaling>
          <c:orientation val="minMax"/>
        </c:scaling>
        <c:axPos val="l"/>
        <c:majorGridlines/>
        <c:numFmt formatCode="General" sourceLinked="1"/>
        <c:tickLblPos val="nextTo"/>
        <c:crossAx val="20148569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Лист9!$C$34</c:f>
              <c:strCache>
                <c:ptCount val="1"/>
                <c:pt idx="0">
                  <c:v>доходы</c:v>
                </c:pt>
              </c:strCache>
            </c:strRef>
          </c:tx>
          <c:spPr>
            <a:noFill/>
          </c:spPr>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0-AA40-4860-B56C-8750706BF518}"/>
            </c:ext>
          </c:extLst>
        </c:ser>
        <c:ser>
          <c:idx val="1"/>
          <c:order val="1"/>
          <c:tx>
            <c:strRef>
              <c:f>Лист9!$E$34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Лист9!$E$35:$E$41</c:f>
              <c:numCache>
                <c:formatCode>General</c:formatCode>
                <c:ptCount val="7"/>
                <c:pt idx="0">
                  <c:v>-42.100000000000364</c:v>
                </c:pt>
                <c:pt idx="1">
                  <c:v>-280.80000000000018</c:v>
                </c:pt>
                <c:pt idx="2">
                  <c:v>-508.90000000000055</c:v>
                </c:pt>
                <c:pt idx="3">
                  <c:v>419.90000000000055</c:v>
                </c:pt>
                <c:pt idx="4">
                  <c:v>19.100000000000364</c:v>
                </c:pt>
                <c:pt idx="5">
                  <c:v>-200.59999999999945</c:v>
                </c:pt>
                <c:pt idx="6">
                  <c:v>-47.700000000000763</c:v>
                </c:pt>
              </c:numCache>
            </c:numRef>
          </c:val>
          <c:extLst xmlns:c16r2="http://schemas.microsoft.com/office/drawing/2015/06/chart">
            <c:ext xmlns:c16="http://schemas.microsoft.com/office/drawing/2014/chart" uri="{C3380CC4-5D6E-409C-BE32-E72D297353CC}">
              <c16:uniqueId val="{00000001-AA40-4860-B56C-8750706BF518}"/>
            </c:ext>
          </c:extLst>
        </c:ser>
        <c:axId val="201539584"/>
        <c:axId val="201541120"/>
      </c:areaChart>
      <c:lineChart>
        <c:grouping val="standard"/>
        <c:ser>
          <c:idx val="2"/>
          <c:order val="2"/>
          <c:tx>
            <c:strRef>
              <c:f>Лист9!$C$34</c:f>
              <c:strCache>
                <c:ptCount val="1"/>
                <c:pt idx="0">
                  <c:v>доходы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2-AA40-4860-B56C-8750706BF518}"/>
            </c:ext>
          </c:extLst>
        </c:ser>
        <c:ser>
          <c:idx val="3"/>
          <c:order val="3"/>
          <c:tx>
            <c:strRef>
              <c:f>Лист9!$D$34</c:f>
              <c:strCache>
                <c:ptCount val="1"/>
                <c:pt idx="0">
                  <c:v>расходы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Лист9!$D$35:$D$41</c:f>
              <c:numCache>
                <c:formatCode>General</c:formatCode>
                <c:ptCount val="7"/>
                <c:pt idx="0">
                  <c:v>5498.9</c:v>
                </c:pt>
                <c:pt idx="1">
                  <c:v>5556</c:v>
                </c:pt>
                <c:pt idx="2">
                  <c:v>6945.8</c:v>
                </c:pt>
                <c:pt idx="3">
                  <c:v>7887</c:v>
                </c:pt>
                <c:pt idx="4">
                  <c:v>5411.8</c:v>
                </c:pt>
                <c:pt idx="5">
                  <c:v>7263.2</c:v>
                </c:pt>
                <c:pt idx="6">
                  <c:v>8668.5</c:v>
                </c:pt>
              </c:numCache>
            </c:numRef>
          </c:val>
          <c:extLst xmlns:c16r2="http://schemas.microsoft.com/office/drawing/2015/06/chart">
            <c:ext xmlns:c16="http://schemas.microsoft.com/office/drawing/2014/chart" uri="{C3380CC4-5D6E-409C-BE32-E72D297353CC}">
              <c16:uniqueId val="{00000003-AA40-4860-B56C-8750706BF518}"/>
            </c:ext>
          </c:extLst>
        </c:ser>
        <c:marker val="1"/>
        <c:axId val="201539584"/>
        <c:axId val="201541120"/>
      </c:lineChart>
      <c:catAx>
        <c:axId val="201539584"/>
        <c:scaling>
          <c:orientation val="minMax"/>
        </c:scaling>
        <c:axPos val="b"/>
        <c:numFmt formatCode="General" sourceLinked="0"/>
        <c:tickLblPos val="nextTo"/>
        <c:crossAx val="201541120"/>
        <c:crosses val="autoZero"/>
        <c:auto val="1"/>
        <c:lblAlgn val="ctr"/>
        <c:lblOffset val="100"/>
      </c:catAx>
      <c:valAx>
        <c:axId val="201541120"/>
        <c:scaling>
          <c:orientation val="minMax"/>
        </c:scaling>
        <c:axPos val="l"/>
        <c:majorGridlines/>
        <c:numFmt formatCode="General" sourceLinked="1"/>
        <c:tickLblPos val="nextTo"/>
        <c:crossAx val="201539584"/>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Лист9!$C$34</c:f>
              <c:strCache>
                <c:ptCount val="1"/>
                <c:pt idx="0">
                  <c:v>доходы</c:v>
                </c:pt>
              </c:strCache>
            </c:strRef>
          </c:tx>
          <c:spPr>
            <a:noFill/>
          </c:spPr>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0-B2E3-4A13-B87F-27B264CD9FCA}"/>
            </c:ext>
          </c:extLst>
        </c:ser>
        <c:ser>
          <c:idx val="1"/>
          <c:order val="1"/>
          <c:tx>
            <c:strRef>
              <c:f>Лист9!$E$34</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Лист9!$E$35:$E$41</c:f>
              <c:numCache>
                <c:formatCode>General</c:formatCode>
                <c:ptCount val="7"/>
                <c:pt idx="0">
                  <c:v>-42.100000000000364</c:v>
                </c:pt>
                <c:pt idx="1">
                  <c:v>-280.80000000000018</c:v>
                </c:pt>
                <c:pt idx="2">
                  <c:v>-508.90000000000055</c:v>
                </c:pt>
                <c:pt idx="3">
                  <c:v>419.90000000000055</c:v>
                </c:pt>
                <c:pt idx="4">
                  <c:v>19.100000000000364</c:v>
                </c:pt>
                <c:pt idx="5">
                  <c:v>-200.59999999999945</c:v>
                </c:pt>
                <c:pt idx="6">
                  <c:v>-47.700000000000763</c:v>
                </c:pt>
              </c:numCache>
            </c:numRef>
          </c:val>
          <c:extLst xmlns:c16r2="http://schemas.microsoft.com/office/drawing/2015/06/chart">
            <c:ext xmlns:c16="http://schemas.microsoft.com/office/drawing/2014/chart" uri="{C3380CC4-5D6E-409C-BE32-E72D297353CC}">
              <c16:uniqueId val="{00000001-B2E3-4A13-B87F-27B264CD9FCA}"/>
            </c:ext>
          </c:extLst>
        </c:ser>
        <c:axId val="201593216"/>
        <c:axId val="201594752"/>
      </c:areaChart>
      <c:lineChart>
        <c:grouping val="standard"/>
        <c:ser>
          <c:idx val="2"/>
          <c:order val="2"/>
          <c:tx>
            <c:strRef>
              <c:f>Лист9!$C$34</c:f>
              <c:strCache>
                <c:ptCount val="1"/>
                <c:pt idx="0">
                  <c:v>доходы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Лист9!$C$35:$C$41</c:f>
              <c:numCache>
                <c:formatCode>General</c:formatCode>
                <c:ptCount val="7"/>
                <c:pt idx="0">
                  <c:v>5541</c:v>
                </c:pt>
                <c:pt idx="1">
                  <c:v>5836.8</c:v>
                </c:pt>
                <c:pt idx="2">
                  <c:v>7454.7000000000007</c:v>
                </c:pt>
                <c:pt idx="3">
                  <c:v>7467.1000000000013</c:v>
                </c:pt>
                <c:pt idx="4">
                  <c:v>5392.7</c:v>
                </c:pt>
                <c:pt idx="5">
                  <c:v>7463.7999999999993</c:v>
                </c:pt>
                <c:pt idx="6">
                  <c:v>8716.2000000000007</c:v>
                </c:pt>
              </c:numCache>
            </c:numRef>
          </c:val>
          <c:extLst xmlns:c16r2="http://schemas.microsoft.com/office/drawing/2015/06/chart">
            <c:ext xmlns:c16="http://schemas.microsoft.com/office/drawing/2014/chart" uri="{C3380CC4-5D6E-409C-BE32-E72D297353CC}">
              <c16:uniqueId val="{00000002-B2E3-4A13-B87F-27B264CD9FCA}"/>
            </c:ext>
          </c:extLst>
        </c:ser>
        <c:ser>
          <c:idx val="3"/>
          <c:order val="3"/>
          <c:tx>
            <c:strRef>
              <c:f>Лист9!$D$34</c:f>
              <c:strCache>
                <c:ptCount val="1"/>
                <c:pt idx="0">
                  <c:v>расходы</c:v>
                </c:pt>
              </c:strCache>
            </c:strRef>
          </c:tx>
          <c:cat>
            <c:strRef>
              <c:f>Лист9!$B$35:$B$41</c:f>
              <c:strCache>
                <c:ptCount val="7"/>
                <c:pt idx="0">
                  <c:v>2010 год</c:v>
                </c:pt>
                <c:pt idx="1">
                  <c:v>2011 год</c:v>
                </c:pt>
                <c:pt idx="2">
                  <c:v>2012 год</c:v>
                </c:pt>
                <c:pt idx="3">
                  <c:v>2013 год</c:v>
                </c:pt>
                <c:pt idx="4">
                  <c:v>2014 год</c:v>
                </c:pt>
                <c:pt idx="5">
                  <c:v>2015 год</c:v>
                </c:pt>
                <c:pt idx="6">
                  <c:v>2016 год</c:v>
                </c:pt>
              </c:strCache>
            </c:strRef>
          </c:cat>
          <c:val>
            <c:numRef>
              <c:f>Лист9!$D$35:$D$41</c:f>
              <c:numCache>
                <c:formatCode>General</c:formatCode>
                <c:ptCount val="7"/>
                <c:pt idx="0">
                  <c:v>5498.9</c:v>
                </c:pt>
                <c:pt idx="1">
                  <c:v>5556</c:v>
                </c:pt>
                <c:pt idx="2">
                  <c:v>6945.8</c:v>
                </c:pt>
                <c:pt idx="3">
                  <c:v>7887</c:v>
                </c:pt>
                <c:pt idx="4">
                  <c:v>5411.8</c:v>
                </c:pt>
                <c:pt idx="5">
                  <c:v>7263.2</c:v>
                </c:pt>
                <c:pt idx="6">
                  <c:v>8668.5</c:v>
                </c:pt>
              </c:numCache>
            </c:numRef>
          </c:val>
          <c:extLst xmlns:c16r2="http://schemas.microsoft.com/office/drawing/2015/06/chart">
            <c:ext xmlns:c16="http://schemas.microsoft.com/office/drawing/2014/chart" uri="{C3380CC4-5D6E-409C-BE32-E72D297353CC}">
              <c16:uniqueId val="{00000003-B2E3-4A13-B87F-27B264CD9FCA}"/>
            </c:ext>
          </c:extLst>
        </c:ser>
        <c:marker val="1"/>
        <c:axId val="201593216"/>
        <c:axId val="201594752"/>
      </c:lineChart>
      <c:catAx>
        <c:axId val="201593216"/>
        <c:scaling>
          <c:orientation val="minMax"/>
        </c:scaling>
        <c:axPos val="b"/>
        <c:numFmt formatCode="General" sourceLinked="0"/>
        <c:tickLblPos val="nextTo"/>
        <c:crossAx val="201594752"/>
        <c:crosses val="autoZero"/>
        <c:auto val="1"/>
        <c:lblAlgn val="ctr"/>
        <c:lblOffset val="100"/>
      </c:catAx>
      <c:valAx>
        <c:axId val="201594752"/>
        <c:scaling>
          <c:orientation val="minMax"/>
        </c:scaling>
        <c:axPos val="l"/>
        <c:majorGridlines/>
        <c:numFmt formatCode="General" sourceLinked="1"/>
        <c:tickLblPos val="nextTo"/>
        <c:crossAx val="20159321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Лист9!$C$50</c:f>
              <c:strCache>
                <c:ptCount val="1"/>
                <c:pt idx="0">
                  <c:v>доходы</c:v>
                </c:pt>
              </c:strCache>
            </c:strRef>
          </c:tx>
          <c:spPr>
            <a:noFill/>
          </c:spPr>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Лист9!$C$51:$C$57</c:f>
              <c:numCache>
                <c:formatCode>General</c:formatCode>
                <c:ptCount val="7"/>
                <c:pt idx="0">
                  <c:v>4037</c:v>
                </c:pt>
                <c:pt idx="1">
                  <c:v>4186.5</c:v>
                </c:pt>
                <c:pt idx="2">
                  <c:v>5575.3</c:v>
                </c:pt>
                <c:pt idx="3">
                  <c:v>4214.8</c:v>
                </c:pt>
                <c:pt idx="4">
                  <c:v>3944.7999999999997</c:v>
                </c:pt>
                <c:pt idx="5">
                  <c:v>3758.2</c:v>
                </c:pt>
                <c:pt idx="6">
                  <c:v>4451.1000000000013</c:v>
                </c:pt>
              </c:numCache>
            </c:numRef>
          </c:val>
          <c:extLst xmlns:c16r2="http://schemas.microsoft.com/office/drawing/2015/06/chart">
            <c:ext xmlns:c16="http://schemas.microsoft.com/office/drawing/2014/chart" uri="{C3380CC4-5D6E-409C-BE32-E72D297353CC}">
              <c16:uniqueId val="{00000000-48B0-48C9-83C2-6DFD52C4EBB8}"/>
            </c:ext>
          </c:extLst>
        </c:ser>
        <c:ser>
          <c:idx val="1"/>
          <c:order val="1"/>
          <c:tx>
            <c:strRef>
              <c:f>Лист9!$E$50</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Лист9!$E$51:$E$57</c:f>
              <c:numCache>
                <c:formatCode>General</c:formatCode>
                <c:ptCount val="7"/>
                <c:pt idx="0">
                  <c:v>-305</c:v>
                </c:pt>
                <c:pt idx="1">
                  <c:v>-121</c:v>
                </c:pt>
                <c:pt idx="2">
                  <c:v>-1639.7000000000003</c:v>
                </c:pt>
                <c:pt idx="3">
                  <c:v>1767.3999999999996</c:v>
                </c:pt>
                <c:pt idx="4">
                  <c:v>66.800000000000182</c:v>
                </c:pt>
                <c:pt idx="5">
                  <c:v>208.5</c:v>
                </c:pt>
                <c:pt idx="6">
                  <c:v>-218.79999999999922</c:v>
                </c:pt>
              </c:numCache>
            </c:numRef>
          </c:val>
          <c:extLst xmlns:c16r2="http://schemas.microsoft.com/office/drawing/2015/06/chart">
            <c:ext xmlns:c16="http://schemas.microsoft.com/office/drawing/2014/chart" uri="{C3380CC4-5D6E-409C-BE32-E72D297353CC}">
              <c16:uniqueId val="{00000001-48B0-48C9-83C2-6DFD52C4EBB8}"/>
            </c:ext>
          </c:extLst>
        </c:ser>
        <c:axId val="201646848"/>
        <c:axId val="201648384"/>
      </c:areaChart>
      <c:lineChart>
        <c:grouping val="standard"/>
        <c:ser>
          <c:idx val="2"/>
          <c:order val="2"/>
          <c:tx>
            <c:strRef>
              <c:f>Лист9!$C$50</c:f>
              <c:strCache>
                <c:ptCount val="1"/>
                <c:pt idx="0">
                  <c:v>доходы</c:v>
                </c:pt>
              </c:strCache>
            </c:strRef>
          </c:tx>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Лист9!$C$51:$C$57</c:f>
              <c:numCache>
                <c:formatCode>General</c:formatCode>
                <c:ptCount val="7"/>
                <c:pt idx="0">
                  <c:v>4037</c:v>
                </c:pt>
                <c:pt idx="1">
                  <c:v>4186.5</c:v>
                </c:pt>
                <c:pt idx="2">
                  <c:v>5575.3</c:v>
                </c:pt>
                <c:pt idx="3">
                  <c:v>4214.8</c:v>
                </c:pt>
                <c:pt idx="4">
                  <c:v>3944.7999999999997</c:v>
                </c:pt>
                <c:pt idx="5">
                  <c:v>3758.2</c:v>
                </c:pt>
                <c:pt idx="6">
                  <c:v>4451.1000000000013</c:v>
                </c:pt>
              </c:numCache>
            </c:numRef>
          </c:val>
          <c:extLst xmlns:c16r2="http://schemas.microsoft.com/office/drawing/2015/06/chart">
            <c:ext xmlns:c16="http://schemas.microsoft.com/office/drawing/2014/chart" uri="{C3380CC4-5D6E-409C-BE32-E72D297353CC}">
              <c16:uniqueId val="{00000002-48B0-48C9-83C2-6DFD52C4EBB8}"/>
            </c:ext>
          </c:extLst>
        </c:ser>
        <c:ser>
          <c:idx val="3"/>
          <c:order val="3"/>
          <c:tx>
            <c:strRef>
              <c:f>Лист9!$D$50</c:f>
              <c:strCache>
                <c:ptCount val="1"/>
                <c:pt idx="0">
                  <c:v>расходы</c:v>
                </c:pt>
              </c:strCache>
            </c:strRef>
          </c:tx>
          <c:cat>
            <c:strRef>
              <c:f>Лист9!$B$51:$B$57</c:f>
              <c:strCache>
                <c:ptCount val="7"/>
                <c:pt idx="0">
                  <c:v>2010 год</c:v>
                </c:pt>
                <c:pt idx="1">
                  <c:v>2011 год</c:v>
                </c:pt>
                <c:pt idx="2">
                  <c:v>2012 год</c:v>
                </c:pt>
                <c:pt idx="3">
                  <c:v>2013 год</c:v>
                </c:pt>
                <c:pt idx="4">
                  <c:v>2014 год</c:v>
                </c:pt>
                <c:pt idx="5">
                  <c:v>2015 год</c:v>
                </c:pt>
                <c:pt idx="6">
                  <c:v>2016 год</c:v>
                </c:pt>
              </c:strCache>
            </c:strRef>
          </c:cat>
          <c:val>
            <c:numRef>
              <c:f>Лист9!$D$51:$D$57</c:f>
              <c:numCache>
                <c:formatCode>General</c:formatCode>
                <c:ptCount val="7"/>
                <c:pt idx="0">
                  <c:v>3732</c:v>
                </c:pt>
                <c:pt idx="1">
                  <c:v>4065.5</c:v>
                </c:pt>
                <c:pt idx="2">
                  <c:v>3935.6</c:v>
                </c:pt>
                <c:pt idx="3">
                  <c:v>5982.2</c:v>
                </c:pt>
                <c:pt idx="4">
                  <c:v>4011.6</c:v>
                </c:pt>
                <c:pt idx="5">
                  <c:v>3966.7</c:v>
                </c:pt>
                <c:pt idx="6">
                  <c:v>4232.3</c:v>
                </c:pt>
              </c:numCache>
            </c:numRef>
          </c:val>
          <c:extLst xmlns:c16r2="http://schemas.microsoft.com/office/drawing/2015/06/chart">
            <c:ext xmlns:c16="http://schemas.microsoft.com/office/drawing/2014/chart" uri="{C3380CC4-5D6E-409C-BE32-E72D297353CC}">
              <c16:uniqueId val="{00000003-48B0-48C9-83C2-6DFD52C4EBB8}"/>
            </c:ext>
          </c:extLst>
        </c:ser>
        <c:marker val="1"/>
        <c:axId val="201646848"/>
        <c:axId val="201648384"/>
      </c:lineChart>
      <c:catAx>
        <c:axId val="201646848"/>
        <c:scaling>
          <c:orientation val="minMax"/>
        </c:scaling>
        <c:axPos val="b"/>
        <c:numFmt formatCode="General" sourceLinked="0"/>
        <c:tickLblPos val="nextTo"/>
        <c:crossAx val="201648384"/>
        <c:crosses val="autoZero"/>
        <c:auto val="1"/>
        <c:lblAlgn val="ctr"/>
        <c:lblOffset val="100"/>
      </c:catAx>
      <c:valAx>
        <c:axId val="201648384"/>
        <c:scaling>
          <c:orientation val="minMax"/>
        </c:scaling>
        <c:axPos val="l"/>
        <c:majorGridlines/>
        <c:numFmt formatCode="General" sourceLinked="1"/>
        <c:tickLblPos val="nextTo"/>
        <c:crossAx val="201646848"/>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Лист9!$C$58</c:f>
              <c:strCache>
                <c:ptCount val="1"/>
                <c:pt idx="0">
                  <c:v>доходы</c:v>
                </c:pt>
              </c:strCache>
            </c:strRef>
          </c:tx>
          <c:spPr>
            <a:noFill/>
          </c:spPr>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Лист9!$C$59:$C$65</c:f>
              <c:numCache>
                <c:formatCode>General</c:formatCode>
                <c:ptCount val="7"/>
                <c:pt idx="0">
                  <c:v>10058</c:v>
                </c:pt>
                <c:pt idx="1">
                  <c:v>11147</c:v>
                </c:pt>
                <c:pt idx="2">
                  <c:v>10956.2</c:v>
                </c:pt>
                <c:pt idx="3">
                  <c:v>11921.199999999983</c:v>
                </c:pt>
                <c:pt idx="4">
                  <c:v>14816.1</c:v>
                </c:pt>
                <c:pt idx="5">
                  <c:v>8109.8</c:v>
                </c:pt>
                <c:pt idx="6">
                  <c:v>9230.7000000000007</c:v>
                </c:pt>
              </c:numCache>
            </c:numRef>
          </c:val>
          <c:extLst xmlns:c16r2="http://schemas.microsoft.com/office/drawing/2015/06/chart">
            <c:ext xmlns:c16="http://schemas.microsoft.com/office/drawing/2014/chart" uri="{C3380CC4-5D6E-409C-BE32-E72D297353CC}">
              <c16:uniqueId val="{00000000-95D0-46D8-9975-E76A664543A5}"/>
            </c:ext>
          </c:extLst>
        </c:ser>
        <c:ser>
          <c:idx val="1"/>
          <c:order val="1"/>
          <c:tx>
            <c:strRef>
              <c:f>Лист9!$E$58</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Лист9!$E$59:$E$65</c:f>
              <c:numCache>
                <c:formatCode>General</c:formatCode>
                <c:ptCount val="7"/>
                <c:pt idx="0">
                  <c:v>4347</c:v>
                </c:pt>
                <c:pt idx="1">
                  <c:v>-906.70000000000073</c:v>
                </c:pt>
                <c:pt idx="2">
                  <c:v>296.29999999999899</c:v>
                </c:pt>
                <c:pt idx="3">
                  <c:v>1501.0000000000018</c:v>
                </c:pt>
                <c:pt idx="4">
                  <c:v>-1913.8999999999996</c:v>
                </c:pt>
                <c:pt idx="5">
                  <c:v>2221.1999999999998</c:v>
                </c:pt>
                <c:pt idx="6">
                  <c:v>949.2999999999995</c:v>
                </c:pt>
              </c:numCache>
            </c:numRef>
          </c:val>
          <c:extLst xmlns:c16r2="http://schemas.microsoft.com/office/drawing/2015/06/chart">
            <c:ext xmlns:c16="http://schemas.microsoft.com/office/drawing/2014/chart" uri="{C3380CC4-5D6E-409C-BE32-E72D297353CC}">
              <c16:uniqueId val="{00000001-95D0-46D8-9975-E76A664543A5}"/>
            </c:ext>
          </c:extLst>
        </c:ser>
        <c:axId val="202216576"/>
        <c:axId val="202218112"/>
      </c:areaChart>
      <c:lineChart>
        <c:grouping val="standard"/>
        <c:ser>
          <c:idx val="2"/>
          <c:order val="2"/>
          <c:tx>
            <c:strRef>
              <c:f>Лист9!$C$58</c:f>
              <c:strCache>
                <c:ptCount val="1"/>
                <c:pt idx="0">
                  <c:v>доходы</c:v>
                </c:pt>
              </c:strCache>
            </c:strRef>
          </c:tx>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Лист9!$C$59:$C$65</c:f>
              <c:numCache>
                <c:formatCode>General</c:formatCode>
                <c:ptCount val="7"/>
                <c:pt idx="0">
                  <c:v>10058</c:v>
                </c:pt>
                <c:pt idx="1">
                  <c:v>11147</c:v>
                </c:pt>
                <c:pt idx="2">
                  <c:v>10956.2</c:v>
                </c:pt>
                <c:pt idx="3">
                  <c:v>11921.199999999983</c:v>
                </c:pt>
                <c:pt idx="4">
                  <c:v>14816.1</c:v>
                </c:pt>
                <c:pt idx="5">
                  <c:v>8109.8</c:v>
                </c:pt>
                <c:pt idx="6">
                  <c:v>9230.7000000000007</c:v>
                </c:pt>
              </c:numCache>
            </c:numRef>
          </c:val>
          <c:extLst xmlns:c16r2="http://schemas.microsoft.com/office/drawing/2015/06/chart">
            <c:ext xmlns:c16="http://schemas.microsoft.com/office/drawing/2014/chart" uri="{C3380CC4-5D6E-409C-BE32-E72D297353CC}">
              <c16:uniqueId val="{00000002-95D0-46D8-9975-E76A664543A5}"/>
            </c:ext>
          </c:extLst>
        </c:ser>
        <c:ser>
          <c:idx val="3"/>
          <c:order val="3"/>
          <c:tx>
            <c:strRef>
              <c:f>Лист9!$D$58</c:f>
              <c:strCache>
                <c:ptCount val="1"/>
                <c:pt idx="0">
                  <c:v>расходы</c:v>
                </c:pt>
              </c:strCache>
            </c:strRef>
          </c:tx>
          <c:cat>
            <c:strRef>
              <c:f>Лист9!$B$59:$B$65</c:f>
              <c:strCache>
                <c:ptCount val="7"/>
                <c:pt idx="0">
                  <c:v>2010 год</c:v>
                </c:pt>
                <c:pt idx="1">
                  <c:v>2011 год</c:v>
                </c:pt>
                <c:pt idx="2">
                  <c:v>2012 год</c:v>
                </c:pt>
                <c:pt idx="3">
                  <c:v>2013 год</c:v>
                </c:pt>
                <c:pt idx="4">
                  <c:v>2014 год</c:v>
                </c:pt>
                <c:pt idx="5">
                  <c:v>2015 год</c:v>
                </c:pt>
                <c:pt idx="6">
                  <c:v>2016 год</c:v>
                </c:pt>
              </c:strCache>
            </c:strRef>
          </c:cat>
          <c:val>
            <c:numRef>
              <c:f>Лист9!$D$59:$D$65</c:f>
              <c:numCache>
                <c:formatCode>General</c:formatCode>
                <c:ptCount val="7"/>
                <c:pt idx="0">
                  <c:v>14405</c:v>
                </c:pt>
                <c:pt idx="1">
                  <c:v>10240.299999999987</c:v>
                </c:pt>
                <c:pt idx="2">
                  <c:v>11252.5</c:v>
                </c:pt>
                <c:pt idx="3">
                  <c:v>13422.2</c:v>
                </c:pt>
                <c:pt idx="4">
                  <c:v>12902.2</c:v>
                </c:pt>
                <c:pt idx="5">
                  <c:v>10331</c:v>
                </c:pt>
                <c:pt idx="6">
                  <c:v>10180</c:v>
                </c:pt>
              </c:numCache>
            </c:numRef>
          </c:val>
          <c:extLst xmlns:c16r2="http://schemas.microsoft.com/office/drawing/2015/06/chart">
            <c:ext xmlns:c16="http://schemas.microsoft.com/office/drawing/2014/chart" uri="{C3380CC4-5D6E-409C-BE32-E72D297353CC}">
              <c16:uniqueId val="{00000003-95D0-46D8-9975-E76A664543A5}"/>
            </c:ext>
          </c:extLst>
        </c:ser>
        <c:marker val="1"/>
        <c:axId val="202216576"/>
        <c:axId val="202218112"/>
      </c:lineChart>
      <c:catAx>
        <c:axId val="202216576"/>
        <c:scaling>
          <c:orientation val="minMax"/>
        </c:scaling>
        <c:axPos val="b"/>
        <c:numFmt formatCode="General" sourceLinked="0"/>
        <c:tickLblPos val="nextTo"/>
        <c:crossAx val="202218112"/>
        <c:crosses val="autoZero"/>
        <c:auto val="1"/>
        <c:lblAlgn val="ctr"/>
        <c:lblOffset val="100"/>
      </c:catAx>
      <c:valAx>
        <c:axId val="202218112"/>
        <c:scaling>
          <c:orientation val="minMax"/>
        </c:scaling>
        <c:axPos val="l"/>
        <c:majorGridlines/>
        <c:numFmt formatCode="General" sourceLinked="1"/>
        <c:tickLblPos val="nextTo"/>
        <c:crossAx val="202216576"/>
        <c:crosses val="autoZero"/>
        <c:crossBetween val="between"/>
      </c:valAx>
    </c:plotArea>
    <c:legend>
      <c:legendPos val="b"/>
      <c:legendEntry>
        <c:idx val="0"/>
        <c:delete val="1"/>
      </c:legendEntry>
    </c:legend>
    <c:plotVisOnly val="1"/>
    <c:dispBlanksAs val="zero"/>
  </c:chart>
  <c:spPr>
    <a:ln>
      <a:noFill/>
    </a:ln>
  </c:sp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u-RU"/>
  <c:chart>
    <c:plotArea>
      <c:layout/>
      <c:areaChart>
        <c:grouping val="stacked"/>
        <c:ser>
          <c:idx val="0"/>
          <c:order val="0"/>
          <c:tx>
            <c:strRef>
              <c:f>Лист9!$C$66</c:f>
              <c:strCache>
                <c:ptCount val="1"/>
                <c:pt idx="0">
                  <c:v>доходы</c:v>
                </c:pt>
              </c:strCache>
            </c:strRef>
          </c:tx>
          <c:spPr>
            <a:noFill/>
          </c:spPr>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Лист9!$C$67:$C$73</c:f>
              <c:numCache>
                <c:formatCode>General</c:formatCode>
                <c:ptCount val="7"/>
                <c:pt idx="0">
                  <c:v>12155</c:v>
                </c:pt>
                <c:pt idx="1">
                  <c:v>15074.6</c:v>
                </c:pt>
                <c:pt idx="2">
                  <c:v>13902.1</c:v>
                </c:pt>
                <c:pt idx="3">
                  <c:v>19384.5</c:v>
                </c:pt>
                <c:pt idx="4">
                  <c:v>18342.7</c:v>
                </c:pt>
                <c:pt idx="5">
                  <c:v>12192.7</c:v>
                </c:pt>
                <c:pt idx="6">
                  <c:v>11508.1</c:v>
                </c:pt>
              </c:numCache>
            </c:numRef>
          </c:val>
          <c:extLst xmlns:c16r2="http://schemas.microsoft.com/office/drawing/2015/06/chart">
            <c:ext xmlns:c16="http://schemas.microsoft.com/office/drawing/2014/chart" uri="{C3380CC4-5D6E-409C-BE32-E72D297353CC}">
              <c16:uniqueId val="{00000000-FF1E-471E-96FE-ED855DDCC2C9}"/>
            </c:ext>
          </c:extLst>
        </c:ser>
        <c:ser>
          <c:idx val="1"/>
          <c:order val="1"/>
          <c:tx>
            <c:strRef>
              <c:f>Лист9!$E$66</c:f>
              <c:strCache>
                <c:ptCount val="1"/>
                <c:pt idx="0">
                  <c:v>Дефицит/профицит</c:v>
                </c:pt>
              </c:strCache>
            </c:strRef>
          </c:tx>
          <c:spPr>
            <a:blipFill>
              <a:blip xmlns:r="http://schemas.openxmlformats.org/officeDocument/2006/relationships" r:embed="rId1"/>
              <a:tile tx="0" ty="0" sx="100000" sy="100000" flip="none" algn="tl"/>
            </a:blipFill>
          </c:spPr>
          <c:dLbls>
            <c:spPr>
              <a:noFill/>
              <a:ln>
                <a:noFill/>
              </a:ln>
              <a:effectLst/>
            </c:spPr>
            <c:txPr>
              <a:bodyPr/>
              <a:lstStyle/>
              <a:p>
                <a:pPr>
                  <a:defRPr b="1" i="0" baseline="0"/>
                </a:pPr>
                <a:endParaRPr lang="ru-RU"/>
              </a:p>
            </c:txPr>
            <c:showVal val="1"/>
            <c:extLst xmlns:c16r2="http://schemas.microsoft.com/office/drawing/2015/06/chart">
              <c:ext xmlns:c15="http://schemas.microsoft.com/office/drawing/2012/chart" uri="{CE6537A1-D6FC-4f65-9D91-7224C49458BB}">
                <c15:showLeaderLines val="0"/>
              </c:ext>
            </c:extLst>
          </c:dLbls>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Лист9!$E$67:$E$73</c:f>
              <c:numCache>
                <c:formatCode>General</c:formatCode>
                <c:ptCount val="7"/>
                <c:pt idx="0">
                  <c:v>944.5</c:v>
                </c:pt>
                <c:pt idx="1">
                  <c:v>-3476.6000000000004</c:v>
                </c:pt>
                <c:pt idx="2">
                  <c:v>-1924.3999999999996</c:v>
                </c:pt>
                <c:pt idx="3">
                  <c:v>-3521.8999999999996</c:v>
                </c:pt>
                <c:pt idx="4">
                  <c:v>1494</c:v>
                </c:pt>
                <c:pt idx="5">
                  <c:v>-776.80000000000109</c:v>
                </c:pt>
                <c:pt idx="6">
                  <c:v>-718.70000000000073</c:v>
                </c:pt>
              </c:numCache>
            </c:numRef>
          </c:val>
          <c:extLst xmlns:c16r2="http://schemas.microsoft.com/office/drawing/2015/06/chart">
            <c:ext xmlns:c16="http://schemas.microsoft.com/office/drawing/2014/chart" uri="{C3380CC4-5D6E-409C-BE32-E72D297353CC}">
              <c16:uniqueId val="{00000001-FF1E-471E-96FE-ED855DDCC2C9}"/>
            </c:ext>
          </c:extLst>
        </c:ser>
        <c:axId val="202270208"/>
        <c:axId val="202271744"/>
      </c:areaChart>
      <c:lineChart>
        <c:grouping val="standard"/>
        <c:ser>
          <c:idx val="2"/>
          <c:order val="2"/>
          <c:tx>
            <c:strRef>
              <c:f>Лист9!$C$66</c:f>
              <c:strCache>
                <c:ptCount val="1"/>
                <c:pt idx="0">
                  <c:v>доходы</c:v>
                </c:pt>
              </c:strCache>
            </c:strRef>
          </c:tx>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Лист9!$C$67:$C$73</c:f>
              <c:numCache>
                <c:formatCode>General</c:formatCode>
                <c:ptCount val="7"/>
                <c:pt idx="0">
                  <c:v>12155</c:v>
                </c:pt>
                <c:pt idx="1">
                  <c:v>15074.6</c:v>
                </c:pt>
                <c:pt idx="2">
                  <c:v>13902.1</c:v>
                </c:pt>
                <c:pt idx="3">
                  <c:v>19384.5</c:v>
                </c:pt>
                <c:pt idx="4">
                  <c:v>18342.7</c:v>
                </c:pt>
                <c:pt idx="5">
                  <c:v>12192.7</c:v>
                </c:pt>
                <c:pt idx="6">
                  <c:v>11508.1</c:v>
                </c:pt>
              </c:numCache>
            </c:numRef>
          </c:val>
          <c:extLst xmlns:c16r2="http://schemas.microsoft.com/office/drawing/2015/06/chart">
            <c:ext xmlns:c16="http://schemas.microsoft.com/office/drawing/2014/chart" uri="{C3380CC4-5D6E-409C-BE32-E72D297353CC}">
              <c16:uniqueId val="{00000002-FF1E-471E-96FE-ED855DDCC2C9}"/>
            </c:ext>
          </c:extLst>
        </c:ser>
        <c:ser>
          <c:idx val="3"/>
          <c:order val="3"/>
          <c:tx>
            <c:strRef>
              <c:f>Лист9!$D$66</c:f>
              <c:strCache>
                <c:ptCount val="1"/>
                <c:pt idx="0">
                  <c:v>расходы</c:v>
                </c:pt>
              </c:strCache>
            </c:strRef>
          </c:tx>
          <c:cat>
            <c:strRef>
              <c:f>Лист9!$B$67:$B$73</c:f>
              <c:strCache>
                <c:ptCount val="7"/>
                <c:pt idx="0">
                  <c:v>2010 год</c:v>
                </c:pt>
                <c:pt idx="1">
                  <c:v>2011 год</c:v>
                </c:pt>
                <c:pt idx="2">
                  <c:v>2012 год</c:v>
                </c:pt>
                <c:pt idx="3">
                  <c:v>2013 год</c:v>
                </c:pt>
                <c:pt idx="4">
                  <c:v>2014 год</c:v>
                </c:pt>
                <c:pt idx="5">
                  <c:v>2015 год</c:v>
                </c:pt>
                <c:pt idx="6">
                  <c:v>2016 год</c:v>
                </c:pt>
              </c:strCache>
            </c:strRef>
          </c:cat>
          <c:val>
            <c:numRef>
              <c:f>Лист9!$D$67:$D$73</c:f>
              <c:numCache>
                <c:formatCode>General</c:formatCode>
                <c:ptCount val="7"/>
                <c:pt idx="0">
                  <c:v>13099.5</c:v>
                </c:pt>
                <c:pt idx="1">
                  <c:v>11598</c:v>
                </c:pt>
                <c:pt idx="2">
                  <c:v>11977.7</c:v>
                </c:pt>
                <c:pt idx="3">
                  <c:v>15862.6</c:v>
                </c:pt>
                <c:pt idx="4">
                  <c:v>19836.7</c:v>
                </c:pt>
                <c:pt idx="5">
                  <c:v>11415.9</c:v>
                </c:pt>
                <c:pt idx="6">
                  <c:v>10789.4</c:v>
                </c:pt>
              </c:numCache>
            </c:numRef>
          </c:val>
          <c:extLst xmlns:c16r2="http://schemas.microsoft.com/office/drawing/2015/06/chart">
            <c:ext xmlns:c16="http://schemas.microsoft.com/office/drawing/2014/chart" uri="{C3380CC4-5D6E-409C-BE32-E72D297353CC}">
              <c16:uniqueId val="{00000003-FF1E-471E-96FE-ED855DDCC2C9}"/>
            </c:ext>
          </c:extLst>
        </c:ser>
        <c:marker val="1"/>
        <c:axId val="202270208"/>
        <c:axId val="202271744"/>
      </c:lineChart>
      <c:catAx>
        <c:axId val="202270208"/>
        <c:scaling>
          <c:orientation val="minMax"/>
        </c:scaling>
        <c:axPos val="b"/>
        <c:numFmt formatCode="General" sourceLinked="0"/>
        <c:tickLblPos val="nextTo"/>
        <c:crossAx val="202271744"/>
        <c:crosses val="autoZero"/>
        <c:auto val="1"/>
        <c:lblAlgn val="ctr"/>
        <c:lblOffset val="100"/>
      </c:catAx>
      <c:valAx>
        <c:axId val="202271744"/>
        <c:scaling>
          <c:orientation val="minMax"/>
        </c:scaling>
        <c:axPos val="l"/>
        <c:majorGridlines/>
        <c:numFmt formatCode="General" sourceLinked="1"/>
        <c:tickLblPos val="nextTo"/>
        <c:crossAx val="202270208"/>
        <c:crosses val="autoZero"/>
        <c:crossBetween val="between"/>
      </c:valAx>
    </c:plotArea>
    <c:legend>
      <c:legendPos val="b"/>
      <c:legendEntry>
        <c:idx val="0"/>
        <c:delete val="1"/>
      </c:legendEntry>
    </c:legend>
    <c:plotVisOnly val="1"/>
    <c:dispBlanksAs val="zero"/>
  </c:chart>
  <c:spPr>
    <a:ln>
      <a:noFill/>
    </a:ln>
  </c:sp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A66B69-C4C3-41AF-8B4F-62D1B3CE4F9B}"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55ADB696-ACEF-4A47-B8F8-2DF207CE3DD7}">
      <dgm:prSet phldrT="[Текст]" custT="1"/>
      <dgm:spPr/>
      <dgm:t>
        <a:bodyPr/>
        <a:lstStyle/>
        <a:p>
          <a:r>
            <a:rPr lang="ru-RU" sz="1000" baseline="0">
              <a:latin typeface="Times New Roman" pitchFamily="18" charset="0"/>
            </a:rPr>
            <a:t>Социально-демографическое</a:t>
          </a:r>
          <a:r>
            <a:rPr lang="ru-RU" sz="900"/>
            <a:t> развитие</a:t>
          </a:r>
        </a:p>
      </dgm:t>
    </dgm:pt>
    <dgm:pt modelId="{FB550D43-0FCD-413E-A73B-D82F40006CFF}" type="parTrans" cxnId="{B6E5877B-B796-4C73-B142-DDAACA32B090}">
      <dgm:prSet/>
      <dgm:spPr/>
      <dgm:t>
        <a:bodyPr/>
        <a:lstStyle/>
        <a:p>
          <a:endParaRPr lang="ru-RU"/>
        </a:p>
      </dgm:t>
    </dgm:pt>
    <dgm:pt modelId="{786A708A-2FCC-4AD2-A7DB-C9C83326F9B0}" type="sibTrans" cxnId="{B6E5877B-B796-4C73-B142-DDAACA32B090}">
      <dgm:prSet/>
      <dgm:spPr/>
      <dgm:t>
        <a:bodyPr/>
        <a:lstStyle/>
        <a:p>
          <a:endParaRPr lang="ru-RU"/>
        </a:p>
      </dgm:t>
    </dgm:pt>
    <dgm:pt modelId="{5050BFDC-633B-4429-97BE-651AF16A4FE5}">
      <dgm:prSet phldrT="[Текст]" custT="1"/>
      <dgm:spPr/>
      <dgm:t>
        <a:bodyPr/>
        <a:lstStyle/>
        <a:p>
          <a:r>
            <a:rPr lang="ru-RU" sz="1000" baseline="0">
              <a:latin typeface="Times New Roman" pitchFamily="18" charset="0"/>
            </a:rPr>
            <a:t>Экономическое развитие</a:t>
          </a:r>
        </a:p>
      </dgm:t>
    </dgm:pt>
    <dgm:pt modelId="{727EACA5-2EFD-4626-9151-91E69435E012}" type="parTrans" cxnId="{704E01A8-7B72-4A3C-B4A2-1BC85AA9B7B3}">
      <dgm:prSet/>
      <dgm:spPr/>
      <dgm:t>
        <a:bodyPr/>
        <a:lstStyle/>
        <a:p>
          <a:endParaRPr lang="ru-RU"/>
        </a:p>
      </dgm:t>
    </dgm:pt>
    <dgm:pt modelId="{2327D5D6-8B08-4F1E-B103-2BDE684E2C88}" type="sibTrans" cxnId="{704E01A8-7B72-4A3C-B4A2-1BC85AA9B7B3}">
      <dgm:prSet/>
      <dgm:spPr/>
      <dgm:t>
        <a:bodyPr/>
        <a:lstStyle/>
        <a:p>
          <a:endParaRPr lang="ru-RU"/>
        </a:p>
      </dgm:t>
    </dgm:pt>
    <dgm:pt modelId="{8C7A206A-7576-465A-9622-3033D52AF6A6}">
      <dgm:prSet phldrT="[Текст]" custT="1"/>
      <dgm:spPr/>
      <dgm:t>
        <a:bodyPr/>
        <a:lstStyle/>
        <a:p>
          <a:r>
            <a:rPr lang="ru-RU" sz="1000" baseline="0">
              <a:latin typeface="Times New Roman" pitchFamily="18" charset="0"/>
            </a:rPr>
            <a:t>Экология</a:t>
          </a:r>
        </a:p>
      </dgm:t>
    </dgm:pt>
    <dgm:pt modelId="{6D3CAB68-9F8C-4FBF-B296-A48AEE0AE749}" type="parTrans" cxnId="{645908FF-CF77-4E33-BD69-FE30A39300CF}">
      <dgm:prSet/>
      <dgm:spPr/>
      <dgm:t>
        <a:bodyPr/>
        <a:lstStyle/>
        <a:p>
          <a:endParaRPr lang="ru-RU"/>
        </a:p>
      </dgm:t>
    </dgm:pt>
    <dgm:pt modelId="{A36D9DE4-83A7-4CED-AF64-F0DA5A6D1DDD}" type="sibTrans" cxnId="{645908FF-CF77-4E33-BD69-FE30A39300CF}">
      <dgm:prSet/>
      <dgm:spPr/>
      <dgm:t>
        <a:bodyPr/>
        <a:lstStyle/>
        <a:p>
          <a:endParaRPr lang="ru-RU"/>
        </a:p>
      </dgm:t>
    </dgm:pt>
    <dgm:pt modelId="{97919737-9406-4E93-95DC-E2CFE367D3D2}" type="pres">
      <dgm:prSet presAssocID="{F1A66B69-C4C3-41AF-8B4F-62D1B3CE4F9B}" presName="cycle" presStyleCnt="0">
        <dgm:presLayoutVars>
          <dgm:dir/>
          <dgm:resizeHandles val="exact"/>
        </dgm:presLayoutVars>
      </dgm:prSet>
      <dgm:spPr/>
      <dgm:t>
        <a:bodyPr/>
        <a:lstStyle/>
        <a:p>
          <a:endParaRPr lang="ru-RU"/>
        </a:p>
      </dgm:t>
    </dgm:pt>
    <dgm:pt modelId="{CF7D46B3-6A06-4D30-8067-103FDB138B69}" type="pres">
      <dgm:prSet presAssocID="{55ADB696-ACEF-4A47-B8F8-2DF207CE3DD7}" presName="node" presStyleLbl="node1" presStyleIdx="0" presStyleCnt="3">
        <dgm:presLayoutVars>
          <dgm:bulletEnabled val="1"/>
        </dgm:presLayoutVars>
      </dgm:prSet>
      <dgm:spPr/>
      <dgm:t>
        <a:bodyPr/>
        <a:lstStyle/>
        <a:p>
          <a:endParaRPr lang="ru-RU"/>
        </a:p>
      </dgm:t>
    </dgm:pt>
    <dgm:pt modelId="{57D168A7-B9A8-49BA-B004-2090D62410B6}" type="pres">
      <dgm:prSet presAssocID="{786A708A-2FCC-4AD2-A7DB-C9C83326F9B0}" presName="sibTrans" presStyleLbl="sibTrans2D1" presStyleIdx="0" presStyleCnt="3"/>
      <dgm:spPr/>
      <dgm:t>
        <a:bodyPr/>
        <a:lstStyle/>
        <a:p>
          <a:endParaRPr lang="ru-RU"/>
        </a:p>
      </dgm:t>
    </dgm:pt>
    <dgm:pt modelId="{EE0F5A03-71D3-451C-A161-3E4060589389}" type="pres">
      <dgm:prSet presAssocID="{786A708A-2FCC-4AD2-A7DB-C9C83326F9B0}" presName="connectorText" presStyleLbl="sibTrans2D1" presStyleIdx="0" presStyleCnt="3"/>
      <dgm:spPr/>
      <dgm:t>
        <a:bodyPr/>
        <a:lstStyle/>
        <a:p>
          <a:endParaRPr lang="ru-RU"/>
        </a:p>
      </dgm:t>
    </dgm:pt>
    <dgm:pt modelId="{CE06DE3D-EF09-4C5C-A8B2-7B4011E67727}" type="pres">
      <dgm:prSet presAssocID="{5050BFDC-633B-4429-97BE-651AF16A4FE5}" presName="node" presStyleLbl="node1" presStyleIdx="1" presStyleCnt="3">
        <dgm:presLayoutVars>
          <dgm:bulletEnabled val="1"/>
        </dgm:presLayoutVars>
      </dgm:prSet>
      <dgm:spPr/>
      <dgm:t>
        <a:bodyPr/>
        <a:lstStyle/>
        <a:p>
          <a:endParaRPr lang="ru-RU"/>
        </a:p>
      </dgm:t>
    </dgm:pt>
    <dgm:pt modelId="{67F5B178-8A82-4266-A37F-5F2C05F42131}" type="pres">
      <dgm:prSet presAssocID="{2327D5D6-8B08-4F1E-B103-2BDE684E2C88}" presName="sibTrans" presStyleLbl="sibTrans2D1" presStyleIdx="1" presStyleCnt="3"/>
      <dgm:spPr/>
      <dgm:t>
        <a:bodyPr/>
        <a:lstStyle/>
        <a:p>
          <a:endParaRPr lang="ru-RU"/>
        </a:p>
      </dgm:t>
    </dgm:pt>
    <dgm:pt modelId="{91CA2FDF-4E81-4C05-8608-310FC1D04A58}" type="pres">
      <dgm:prSet presAssocID="{2327D5D6-8B08-4F1E-B103-2BDE684E2C88}" presName="connectorText" presStyleLbl="sibTrans2D1" presStyleIdx="1" presStyleCnt="3"/>
      <dgm:spPr/>
      <dgm:t>
        <a:bodyPr/>
        <a:lstStyle/>
        <a:p>
          <a:endParaRPr lang="ru-RU"/>
        </a:p>
      </dgm:t>
    </dgm:pt>
    <dgm:pt modelId="{7EC8F3F3-9D77-4E31-8F95-CC8FAF8DD09D}" type="pres">
      <dgm:prSet presAssocID="{8C7A206A-7576-465A-9622-3033D52AF6A6}" presName="node" presStyleLbl="node1" presStyleIdx="2" presStyleCnt="3">
        <dgm:presLayoutVars>
          <dgm:bulletEnabled val="1"/>
        </dgm:presLayoutVars>
      </dgm:prSet>
      <dgm:spPr/>
      <dgm:t>
        <a:bodyPr/>
        <a:lstStyle/>
        <a:p>
          <a:endParaRPr lang="ru-RU"/>
        </a:p>
      </dgm:t>
    </dgm:pt>
    <dgm:pt modelId="{C0488F7C-07B8-4F30-B03F-213E318B72B5}" type="pres">
      <dgm:prSet presAssocID="{A36D9DE4-83A7-4CED-AF64-F0DA5A6D1DDD}" presName="sibTrans" presStyleLbl="sibTrans2D1" presStyleIdx="2" presStyleCnt="3"/>
      <dgm:spPr/>
      <dgm:t>
        <a:bodyPr/>
        <a:lstStyle/>
        <a:p>
          <a:endParaRPr lang="ru-RU"/>
        </a:p>
      </dgm:t>
    </dgm:pt>
    <dgm:pt modelId="{82A964B3-CE0F-4685-B78E-7AB45063BC0F}" type="pres">
      <dgm:prSet presAssocID="{A36D9DE4-83A7-4CED-AF64-F0DA5A6D1DDD}" presName="connectorText" presStyleLbl="sibTrans2D1" presStyleIdx="2" presStyleCnt="3"/>
      <dgm:spPr/>
      <dgm:t>
        <a:bodyPr/>
        <a:lstStyle/>
        <a:p>
          <a:endParaRPr lang="ru-RU"/>
        </a:p>
      </dgm:t>
    </dgm:pt>
  </dgm:ptLst>
  <dgm:cxnLst>
    <dgm:cxn modelId="{649F7857-4BC5-4DF0-BA7F-A39607890DDB}" type="presOf" srcId="{5050BFDC-633B-4429-97BE-651AF16A4FE5}" destId="{CE06DE3D-EF09-4C5C-A8B2-7B4011E67727}" srcOrd="0" destOrd="0" presId="urn:microsoft.com/office/officeart/2005/8/layout/cycle2"/>
    <dgm:cxn modelId="{BC2BE1BD-E852-492D-B426-3D2E6CAC0202}" type="presOf" srcId="{786A708A-2FCC-4AD2-A7DB-C9C83326F9B0}" destId="{EE0F5A03-71D3-451C-A161-3E4060589389}" srcOrd="1" destOrd="0" presId="urn:microsoft.com/office/officeart/2005/8/layout/cycle2"/>
    <dgm:cxn modelId="{8D087EFE-B03B-4AD0-B9BE-AAB71A401B22}" type="presOf" srcId="{786A708A-2FCC-4AD2-A7DB-C9C83326F9B0}" destId="{57D168A7-B9A8-49BA-B004-2090D62410B6}" srcOrd="0" destOrd="0" presId="urn:microsoft.com/office/officeart/2005/8/layout/cycle2"/>
    <dgm:cxn modelId="{B6E5877B-B796-4C73-B142-DDAACA32B090}" srcId="{F1A66B69-C4C3-41AF-8B4F-62D1B3CE4F9B}" destId="{55ADB696-ACEF-4A47-B8F8-2DF207CE3DD7}" srcOrd="0" destOrd="0" parTransId="{FB550D43-0FCD-413E-A73B-D82F40006CFF}" sibTransId="{786A708A-2FCC-4AD2-A7DB-C9C83326F9B0}"/>
    <dgm:cxn modelId="{A0772F56-97F6-44EF-B53B-083AF1B59578}" type="presOf" srcId="{A36D9DE4-83A7-4CED-AF64-F0DA5A6D1DDD}" destId="{C0488F7C-07B8-4F30-B03F-213E318B72B5}" srcOrd="0" destOrd="0" presId="urn:microsoft.com/office/officeart/2005/8/layout/cycle2"/>
    <dgm:cxn modelId="{645908FF-CF77-4E33-BD69-FE30A39300CF}" srcId="{F1A66B69-C4C3-41AF-8B4F-62D1B3CE4F9B}" destId="{8C7A206A-7576-465A-9622-3033D52AF6A6}" srcOrd="2" destOrd="0" parTransId="{6D3CAB68-9F8C-4FBF-B296-A48AEE0AE749}" sibTransId="{A36D9DE4-83A7-4CED-AF64-F0DA5A6D1DDD}"/>
    <dgm:cxn modelId="{704E01A8-7B72-4A3C-B4A2-1BC85AA9B7B3}" srcId="{F1A66B69-C4C3-41AF-8B4F-62D1B3CE4F9B}" destId="{5050BFDC-633B-4429-97BE-651AF16A4FE5}" srcOrd="1" destOrd="0" parTransId="{727EACA5-2EFD-4626-9151-91E69435E012}" sibTransId="{2327D5D6-8B08-4F1E-B103-2BDE684E2C88}"/>
    <dgm:cxn modelId="{7E1EC2AE-2ECA-4FF6-A62B-C04B99219080}" type="presOf" srcId="{8C7A206A-7576-465A-9622-3033D52AF6A6}" destId="{7EC8F3F3-9D77-4E31-8F95-CC8FAF8DD09D}" srcOrd="0" destOrd="0" presId="urn:microsoft.com/office/officeart/2005/8/layout/cycle2"/>
    <dgm:cxn modelId="{EBADB174-918C-42EF-9A97-C3F39B198D93}" type="presOf" srcId="{2327D5D6-8B08-4F1E-B103-2BDE684E2C88}" destId="{67F5B178-8A82-4266-A37F-5F2C05F42131}" srcOrd="0" destOrd="0" presId="urn:microsoft.com/office/officeart/2005/8/layout/cycle2"/>
    <dgm:cxn modelId="{603680BE-A36F-43E6-BD35-351FB58CF336}" type="presOf" srcId="{A36D9DE4-83A7-4CED-AF64-F0DA5A6D1DDD}" destId="{82A964B3-CE0F-4685-B78E-7AB45063BC0F}" srcOrd="1" destOrd="0" presId="urn:microsoft.com/office/officeart/2005/8/layout/cycle2"/>
    <dgm:cxn modelId="{714DB0BC-0B5D-49C1-8571-C09CA3703262}" type="presOf" srcId="{55ADB696-ACEF-4A47-B8F8-2DF207CE3DD7}" destId="{CF7D46B3-6A06-4D30-8067-103FDB138B69}" srcOrd="0" destOrd="0" presId="urn:microsoft.com/office/officeart/2005/8/layout/cycle2"/>
    <dgm:cxn modelId="{A19C6275-FFA7-4AFE-B61E-CAC115C15F12}" type="presOf" srcId="{F1A66B69-C4C3-41AF-8B4F-62D1B3CE4F9B}" destId="{97919737-9406-4E93-95DC-E2CFE367D3D2}" srcOrd="0" destOrd="0" presId="urn:microsoft.com/office/officeart/2005/8/layout/cycle2"/>
    <dgm:cxn modelId="{7DA1B5C6-030D-453C-B68F-DEBF6146A8C1}" type="presOf" srcId="{2327D5D6-8B08-4F1E-B103-2BDE684E2C88}" destId="{91CA2FDF-4E81-4C05-8608-310FC1D04A58}" srcOrd="1" destOrd="0" presId="urn:microsoft.com/office/officeart/2005/8/layout/cycle2"/>
    <dgm:cxn modelId="{60E6A10C-873C-4CC5-9E80-78A45A0BDD08}" type="presParOf" srcId="{97919737-9406-4E93-95DC-E2CFE367D3D2}" destId="{CF7D46B3-6A06-4D30-8067-103FDB138B69}" srcOrd="0" destOrd="0" presId="urn:microsoft.com/office/officeart/2005/8/layout/cycle2"/>
    <dgm:cxn modelId="{D1CC1F66-16B5-4DF5-A7E7-D6934A71581A}" type="presParOf" srcId="{97919737-9406-4E93-95DC-E2CFE367D3D2}" destId="{57D168A7-B9A8-49BA-B004-2090D62410B6}" srcOrd="1" destOrd="0" presId="urn:microsoft.com/office/officeart/2005/8/layout/cycle2"/>
    <dgm:cxn modelId="{22544322-FE48-4F74-BB17-D3BCA8BE42B8}" type="presParOf" srcId="{57D168A7-B9A8-49BA-B004-2090D62410B6}" destId="{EE0F5A03-71D3-451C-A161-3E4060589389}" srcOrd="0" destOrd="0" presId="urn:microsoft.com/office/officeart/2005/8/layout/cycle2"/>
    <dgm:cxn modelId="{BA8A4FD1-E9A9-46F5-A3B3-D1D76C521825}" type="presParOf" srcId="{97919737-9406-4E93-95DC-E2CFE367D3D2}" destId="{CE06DE3D-EF09-4C5C-A8B2-7B4011E67727}" srcOrd="2" destOrd="0" presId="urn:microsoft.com/office/officeart/2005/8/layout/cycle2"/>
    <dgm:cxn modelId="{4FCC1D08-7A9A-4DEC-81AD-22E41FA22983}" type="presParOf" srcId="{97919737-9406-4E93-95DC-E2CFE367D3D2}" destId="{67F5B178-8A82-4266-A37F-5F2C05F42131}" srcOrd="3" destOrd="0" presId="urn:microsoft.com/office/officeart/2005/8/layout/cycle2"/>
    <dgm:cxn modelId="{46FB59DD-8404-4597-9486-7DC6713273BD}" type="presParOf" srcId="{67F5B178-8A82-4266-A37F-5F2C05F42131}" destId="{91CA2FDF-4E81-4C05-8608-310FC1D04A58}" srcOrd="0" destOrd="0" presId="urn:microsoft.com/office/officeart/2005/8/layout/cycle2"/>
    <dgm:cxn modelId="{0CF7A48B-C1F3-43BF-B9C6-E5FEC412003F}" type="presParOf" srcId="{97919737-9406-4E93-95DC-E2CFE367D3D2}" destId="{7EC8F3F3-9D77-4E31-8F95-CC8FAF8DD09D}" srcOrd="4" destOrd="0" presId="urn:microsoft.com/office/officeart/2005/8/layout/cycle2"/>
    <dgm:cxn modelId="{8DE81977-8C01-4478-BCAF-94930D16278C}" type="presParOf" srcId="{97919737-9406-4E93-95DC-E2CFE367D3D2}" destId="{C0488F7C-07B8-4F30-B03F-213E318B72B5}" srcOrd="5" destOrd="0" presId="urn:microsoft.com/office/officeart/2005/8/layout/cycle2"/>
    <dgm:cxn modelId="{F9826B25-2A0A-468A-9759-EDB3A13F614C}" type="presParOf" srcId="{C0488F7C-07B8-4F30-B03F-213E318B72B5}" destId="{82A964B3-CE0F-4685-B78E-7AB45063BC0F}" srcOrd="0" destOrd="0" presId="urn:microsoft.com/office/officeart/2005/8/layout/cycle2"/>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F7D46B3-6A06-4D30-8067-103FDB138B69}">
      <dsp:nvSpPr>
        <dsp:cNvPr id="0" name=""/>
        <dsp:cNvSpPr/>
      </dsp:nvSpPr>
      <dsp:spPr>
        <a:xfrm>
          <a:off x="2048023" y="635"/>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Социально-демографическое</a:t>
          </a:r>
          <a:r>
            <a:rPr lang="ru-RU" sz="900" kern="1200"/>
            <a:t> развитие</a:t>
          </a:r>
        </a:p>
      </dsp:txBody>
      <dsp:txXfrm>
        <a:off x="2048023" y="635"/>
        <a:ext cx="1390352" cy="1390352"/>
      </dsp:txXfrm>
    </dsp:sp>
    <dsp:sp modelId="{57D168A7-B9A8-49BA-B004-2090D62410B6}">
      <dsp:nvSpPr>
        <dsp:cNvPr id="0" name=""/>
        <dsp:cNvSpPr/>
      </dsp:nvSpPr>
      <dsp:spPr>
        <a:xfrm rot="3600000">
          <a:off x="3075077" y="1356507"/>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3600000">
        <a:off x="3075077" y="1356507"/>
        <a:ext cx="370068" cy="469243"/>
      </dsp:txXfrm>
    </dsp:sp>
    <dsp:sp modelId="{CE06DE3D-EF09-4C5C-A8B2-7B4011E67727}">
      <dsp:nvSpPr>
        <dsp:cNvPr id="0" name=""/>
        <dsp:cNvSpPr/>
      </dsp:nvSpPr>
      <dsp:spPr>
        <a:xfrm>
          <a:off x="3092320" y="1809411"/>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Экономическое развитие</a:t>
          </a:r>
        </a:p>
      </dsp:txBody>
      <dsp:txXfrm>
        <a:off x="3092320" y="1809411"/>
        <a:ext cx="1390352" cy="1390352"/>
      </dsp:txXfrm>
    </dsp:sp>
    <dsp:sp modelId="{67F5B178-8A82-4266-A37F-5F2C05F42131}">
      <dsp:nvSpPr>
        <dsp:cNvPr id="0" name=""/>
        <dsp:cNvSpPr/>
      </dsp:nvSpPr>
      <dsp:spPr>
        <a:xfrm rot="10800000">
          <a:off x="2568639" y="2269965"/>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0800000">
        <a:off x="2568639" y="2269965"/>
        <a:ext cx="370068" cy="469243"/>
      </dsp:txXfrm>
    </dsp:sp>
    <dsp:sp modelId="{7EC8F3F3-9D77-4E31-8F95-CC8FAF8DD09D}">
      <dsp:nvSpPr>
        <dsp:cNvPr id="0" name=""/>
        <dsp:cNvSpPr/>
      </dsp:nvSpPr>
      <dsp:spPr>
        <a:xfrm>
          <a:off x="1003726" y="1809411"/>
          <a:ext cx="1390352" cy="139035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kern="1200" baseline="0">
              <a:latin typeface="Times New Roman" pitchFamily="18" charset="0"/>
            </a:rPr>
            <a:t>Экология</a:t>
          </a:r>
        </a:p>
      </dsp:txBody>
      <dsp:txXfrm>
        <a:off x="1003726" y="1809411"/>
        <a:ext cx="1390352" cy="1390352"/>
      </dsp:txXfrm>
    </dsp:sp>
    <dsp:sp modelId="{C0488F7C-07B8-4F30-B03F-213E318B72B5}">
      <dsp:nvSpPr>
        <dsp:cNvPr id="0" name=""/>
        <dsp:cNvSpPr/>
      </dsp:nvSpPr>
      <dsp:spPr>
        <a:xfrm rot="18000000">
          <a:off x="2030780" y="1374648"/>
          <a:ext cx="370068" cy="46924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endParaRPr lang="ru-RU" sz="2000" kern="1200"/>
        </a:p>
      </dsp:txBody>
      <dsp:txXfrm rot="18000000">
        <a:off x="2030780" y="1374648"/>
        <a:ext cx="370068" cy="46924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21673-140C-43B9-B825-C0B45EE92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194</Pages>
  <Words>46951</Words>
  <Characters>267626</Characters>
  <Application>Microsoft Office Word</Application>
  <DocSecurity>0</DocSecurity>
  <Lines>2230</Lines>
  <Paragraphs>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Ильнур</dc:creator>
  <cp:lastModifiedBy>Ахмарова</cp:lastModifiedBy>
  <cp:revision>3</cp:revision>
  <cp:lastPrinted>2018-03-23T04:12:00Z</cp:lastPrinted>
  <dcterms:created xsi:type="dcterms:W3CDTF">2018-03-23T04:24:00Z</dcterms:created>
  <dcterms:modified xsi:type="dcterms:W3CDTF">2018-03-23T11:22:00Z</dcterms:modified>
</cp:coreProperties>
</file>