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Pr="00821C9B" w:rsidRDefault="00AE03EC" w:rsidP="00821C9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21C9B" w:rsidRDefault="00BD0C61" w:rsidP="00821C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ДУМА</w:t>
      </w:r>
    </w:p>
    <w:p w:rsidR="00BD0C61" w:rsidRPr="00821C9B" w:rsidRDefault="00BD0C61" w:rsidP="00821C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F6F99"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АРДЫМСКОГО МУНИЦИПАЛЬНОГО ОКРУГА</w:t>
      </w:r>
    </w:p>
    <w:p w:rsidR="00BD0C61" w:rsidRPr="00821C9B" w:rsidRDefault="00BD0C61" w:rsidP="00821C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</w:t>
      </w:r>
    </w:p>
    <w:p w:rsidR="008C7981" w:rsidRPr="00821C9B" w:rsidRDefault="008C7981" w:rsidP="00821C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981" w:rsidRPr="00821C9B" w:rsidRDefault="005E5862" w:rsidP="00821C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ВОСЕМНАДЦАТОЕ</w:t>
      </w:r>
      <w:r w:rsidR="008C7981"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ЗАСЕДАНИЕ</w:t>
      </w:r>
    </w:p>
    <w:p w:rsidR="00BD0C61" w:rsidRPr="00821C9B" w:rsidRDefault="00BD0C61" w:rsidP="00821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0C61" w:rsidRPr="00821C9B" w:rsidRDefault="00BD0C61" w:rsidP="00821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7981" w:rsidRPr="00821C9B" w:rsidRDefault="008C7981" w:rsidP="00821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</w:t>
      </w:r>
    </w:p>
    <w:p w:rsidR="008C7981" w:rsidRPr="00821C9B" w:rsidRDefault="008C7981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821C9B" w:rsidTr="003D3463">
        <w:tc>
          <w:tcPr>
            <w:tcW w:w="3341" w:type="dxa"/>
          </w:tcPr>
          <w:p w:rsidR="008C7981" w:rsidRPr="00821C9B" w:rsidRDefault="005E5862" w:rsidP="00821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30.09</w:t>
            </w:r>
            <w:r w:rsidR="008C7981" w:rsidRPr="0082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8C7981" w:rsidRPr="00821C9B" w:rsidRDefault="008C7981" w:rsidP="00821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8C7981" w:rsidRPr="00821C9B" w:rsidRDefault="008C7981" w:rsidP="00821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821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</w:p>
          <w:p w:rsidR="008C7981" w:rsidRPr="00821C9B" w:rsidRDefault="008C7981" w:rsidP="00821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C7981" w:rsidRPr="00821C9B" w:rsidRDefault="008C7981" w:rsidP="00821C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10993" w:rsidRPr="00821C9B" w:rsidRDefault="008C7981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21C9B" w:rsidRPr="00821C9B" w:rsidRDefault="00821C9B" w:rsidP="0082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Pr="00821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1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утверждении Положения </w:t>
      </w:r>
    </w:p>
    <w:p w:rsidR="00821C9B" w:rsidRPr="00821C9B" w:rsidRDefault="00821C9B" w:rsidP="0082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взаимодействии Думы Бардымского</w:t>
      </w:r>
    </w:p>
    <w:p w:rsidR="00821C9B" w:rsidRPr="00821C9B" w:rsidRDefault="00821C9B" w:rsidP="0082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округа с профсоюзными и</w:t>
      </w:r>
    </w:p>
    <w:p w:rsidR="00821C9B" w:rsidRPr="00821C9B" w:rsidRDefault="00821C9B" w:rsidP="0082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иными общественными объединениями</w:t>
      </w:r>
    </w:p>
    <w:p w:rsidR="00821C9B" w:rsidRDefault="00821C9B" w:rsidP="00821C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26"/>
      <w:bookmarkEnd w:id="0"/>
    </w:p>
    <w:p w:rsidR="00821C9B" w:rsidRPr="00821C9B" w:rsidRDefault="00821C9B" w:rsidP="00821C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821C9B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821C9B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19.05.1995  № 82-ФЗ «Об общественных объединениях», </w:t>
      </w:r>
      <w:hyperlink r:id="rId11" w:history="1">
        <w:r w:rsidRPr="00821C9B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 № 10-ФЗ «О профессиональных союзах, их правах и гарантиях деятельности», </w:t>
      </w:r>
      <w:hyperlink r:id="rId12" w:history="1">
        <w:r w:rsidRPr="00821C9B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       № 131-ФЗ «Об общих принципах организации местного самоуправления в Российской Федерации», Уставом Бардымского муниципального округа, Дума Бардымского муниципального округа </w:t>
      </w:r>
    </w:p>
    <w:p w:rsidR="00821C9B" w:rsidRPr="00821C9B" w:rsidRDefault="00821C9B" w:rsidP="00821C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Утвердить прилагаемое Положение о взаимодействии Думы Бардымского муниципального округа с профсоюзными и иными общественными объединениями.</w:t>
      </w:r>
    </w:p>
    <w:bookmarkEnd w:id="1"/>
    <w:p w:rsidR="00821C9B" w:rsidRPr="00821C9B" w:rsidRDefault="00821C9B" w:rsidP="00821C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821C9B" w:rsidRDefault="00821C9B" w:rsidP="00821C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Настоящее решение вступает в силу с момента опубликования.</w:t>
      </w:r>
    </w:p>
    <w:p w:rsidR="00821C9B" w:rsidRDefault="00821C9B" w:rsidP="00821C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821C9B" w:rsidRPr="00821C9B" w:rsidRDefault="00821C9B" w:rsidP="00821C9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Думы </w:t>
      </w:r>
    </w:p>
    <w:p w:rsidR="00821C9B" w:rsidRP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 муниципального округа</w:t>
      </w: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И.Р. Вахитов</w:t>
      </w:r>
    </w:p>
    <w:p w:rsidR="00821C9B" w:rsidRP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1C9B" w:rsidRP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округа –</w:t>
      </w:r>
    </w:p>
    <w:p w:rsidR="00821C9B" w:rsidRP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Бардымского</w:t>
      </w: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Х.Г. Алапанов</w:t>
      </w: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30.09.2021</w:t>
      </w: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821C9B" w:rsidRPr="00821C9B" w:rsidRDefault="00821C9B" w:rsidP="0082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</w:t>
      </w:r>
    </w:p>
    <w:p w:rsidR="00821C9B" w:rsidRPr="00821C9B" w:rsidRDefault="00821C9B" w:rsidP="0082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Бардымского муниципального округа</w:t>
      </w:r>
    </w:p>
    <w:p w:rsidR="00821C9B" w:rsidRPr="00821C9B" w:rsidRDefault="00821C9B" w:rsidP="00821C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от 30.09.2021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319</w:t>
      </w: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1C9B" w:rsidRPr="00821C9B" w:rsidRDefault="00821C9B" w:rsidP="0082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pStyle w:val="1"/>
        <w:rPr>
          <w:color w:val="000000" w:themeColor="text1"/>
          <w:sz w:val="28"/>
          <w:szCs w:val="28"/>
        </w:rPr>
      </w:pPr>
      <w:r w:rsidRPr="00821C9B">
        <w:rPr>
          <w:color w:val="000000" w:themeColor="text1"/>
          <w:sz w:val="28"/>
          <w:szCs w:val="28"/>
        </w:rPr>
        <w:t>Положение</w:t>
      </w:r>
      <w:r w:rsidRPr="00821C9B">
        <w:rPr>
          <w:color w:val="000000" w:themeColor="text1"/>
          <w:sz w:val="28"/>
          <w:szCs w:val="28"/>
        </w:rPr>
        <w:br/>
        <w:t>о взаимодействии Думы Бардымского муниципального округа с профсоюзными и иными общественными объединениями</w:t>
      </w:r>
    </w:p>
    <w:p w:rsidR="00821C9B" w:rsidRPr="00821C9B" w:rsidRDefault="00821C9B" w:rsidP="00821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pStyle w:val="1"/>
        <w:rPr>
          <w:b w:val="0"/>
          <w:color w:val="000000" w:themeColor="text1"/>
          <w:sz w:val="28"/>
          <w:szCs w:val="28"/>
        </w:rPr>
      </w:pPr>
      <w:bookmarkStart w:id="3" w:name="sub_1001"/>
      <w:r w:rsidRPr="00821C9B">
        <w:rPr>
          <w:b w:val="0"/>
          <w:color w:val="000000" w:themeColor="text1"/>
          <w:sz w:val="28"/>
          <w:szCs w:val="28"/>
        </w:rPr>
        <w:t>1. Общие положения</w:t>
      </w:r>
    </w:p>
    <w:bookmarkEnd w:id="3"/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4" w:name="sub_110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1.1. Настоящее Положение разработано в соответствии с </w:t>
      </w:r>
      <w:hyperlink r:id="rId13" w:history="1">
        <w:r w:rsidRPr="00821C9B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4" w:history="1">
        <w:r w:rsidRPr="00821C9B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5" w:history="1">
        <w:r w:rsidRPr="00821C9B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19.05.1995 № 82-ФЗ «Об общественных объединениях», </w:t>
      </w:r>
      <w:hyperlink r:id="rId16" w:history="1">
        <w:r w:rsidRPr="00821C9B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№ 10-ФЗ «О профессиональных союзах, их правах и гарантиях деятельности», другими федеральными законами, </w:t>
      </w:r>
      <w:hyperlink r:id="rId17" w:history="1">
        <w:r w:rsidRPr="00821C9B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Бардымского муниципального округа и иными муниципальными правовыми актами в целях правовой регламентации взаимодействия Думы Бардымского муниципального округа (далее - Дума) с профсоюзными и иными общественными объединениями</w:t>
      </w:r>
      <w:bookmarkEnd w:id="4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1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затронутые настоящим положением вопросы  регулируются действующим законодательством. В настоящем Положении используются термины и определения, установленные федеральным законодательством, законодательством Пермского края и нормативными правовыми актами Думы.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pStyle w:val="1"/>
        <w:rPr>
          <w:b w:val="0"/>
          <w:color w:val="000000" w:themeColor="text1"/>
          <w:sz w:val="28"/>
          <w:szCs w:val="28"/>
        </w:rPr>
      </w:pPr>
      <w:bookmarkStart w:id="5" w:name="sub_1002"/>
      <w:r w:rsidRPr="00821C9B">
        <w:rPr>
          <w:b w:val="0"/>
          <w:color w:val="000000" w:themeColor="text1"/>
          <w:sz w:val="28"/>
          <w:szCs w:val="28"/>
        </w:rPr>
        <w:t>2. Цели, задачи и принципы взаимодействия Думы Бардымского муниципального округа с профсоюзными и иными общественными объединениями</w:t>
      </w:r>
    </w:p>
    <w:bookmarkEnd w:id="5"/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10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2.1. Взаимодействие Думы с профсоюзными и иными общественными объединениями осуществляется в целях учета мнения представителей профсоюзных и иных общественных объединений при осуществлении Думой своих полномочий.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20"/>
      <w:bookmarkEnd w:id="6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2.2. Задачами взаимодействия Думы с профсоюзными и иными общественными объединениями являются:</w:t>
      </w:r>
    </w:p>
    <w:bookmarkEnd w:id="7"/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развитие диалоговых механизмов Думы с профсоюзными и иными общественными объединениями;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приобщение профсоюзных и иных общественных объединений к парламентской деятельности в городском округе;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активизация инициатив профсоюзных и иных общественных объединений в процессе правового регулирования общественных отношений по вопросам местного значения городского округа.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30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2.3. Взаимодействие Думы с профсоюзными и иными общественными объединениями строится на основе принципов законности, объективности, учета общественного мнения, взаимного согласия Думы и профсоюзных и иных общественных объединений при выработке совместных решений, добровольности, гласности, независимости и самостоятельности.</w:t>
      </w:r>
    </w:p>
    <w:bookmarkEnd w:id="8"/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</w:pPr>
    </w:p>
    <w:p w:rsidR="00821C9B" w:rsidRPr="00821C9B" w:rsidRDefault="00821C9B" w:rsidP="00821C9B">
      <w:pPr>
        <w:pStyle w:val="1"/>
        <w:rPr>
          <w:b w:val="0"/>
          <w:color w:val="000000" w:themeColor="text1"/>
          <w:sz w:val="28"/>
          <w:szCs w:val="28"/>
        </w:rPr>
      </w:pPr>
      <w:bookmarkStart w:id="9" w:name="sub_1003"/>
      <w:r w:rsidRPr="00821C9B">
        <w:rPr>
          <w:b w:val="0"/>
          <w:color w:val="000000" w:themeColor="text1"/>
          <w:sz w:val="28"/>
          <w:szCs w:val="28"/>
        </w:rPr>
        <w:t>3. Направления и формы взаимодействия Думы Бардымского муниципального округа с профсоюзными и иными общественными объединениями</w:t>
      </w:r>
      <w:bookmarkEnd w:id="9"/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310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10"/>
      <w:r w:rsidRPr="00821C9B">
        <w:rPr>
          <w:rFonts w:ascii="Times New Roman" w:hAnsi="Times New Roman" w:cs="Times New Roman"/>
          <w:color w:val="000000" w:themeColor="text1"/>
          <w:spacing w:val="-7"/>
          <w:w w:val="105"/>
          <w:sz w:val="28"/>
          <w:szCs w:val="28"/>
        </w:rPr>
        <w:t>3.1.</w:t>
      </w:r>
      <w:r w:rsidRPr="00821C9B">
        <w:rPr>
          <w:rFonts w:ascii="Times New Roman" w:eastAsia="Arial" w:hAnsi="Times New Roman" w:cs="Times New Roman"/>
          <w:color w:val="000000" w:themeColor="text1"/>
          <w:spacing w:val="-7"/>
          <w:w w:val="105"/>
          <w:sz w:val="28"/>
          <w:szCs w:val="28"/>
          <w:lang w:bidi="ru-RU"/>
        </w:rPr>
        <w:t xml:space="preserve"> </w:t>
      </w: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Направлениями взаимодействия Думы с профсоюзными и иными общественными объединениями являются:</w:t>
      </w:r>
    </w:p>
    <w:p w:rsidR="00821C9B" w:rsidRPr="00821C9B" w:rsidRDefault="00821C9B" w:rsidP="00821C9B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участие представителей профсоюзных и иных общественных объединений в работе Думы, ее коллегиальных совещательных и консультативных органов;</w:t>
      </w:r>
    </w:p>
    <w:p w:rsidR="00821C9B" w:rsidRPr="00821C9B" w:rsidRDefault="00821C9B" w:rsidP="00821C9B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соглашений о сотрудничестве по общественно значимым вопросам</w:t>
      </w:r>
      <w:r w:rsidRPr="00821C9B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>;</w:t>
      </w:r>
    </w:p>
    <w:p w:rsidR="00821C9B" w:rsidRPr="00821C9B" w:rsidRDefault="00821C9B" w:rsidP="00821C9B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участие представителей Думы в конференциях, круглых столах, акциях и иных мероприятиях, проводимых профсоюзными и иными общественными объединениями;</w:t>
      </w:r>
    </w:p>
    <w:p w:rsidR="00821C9B" w:rsidRPr="00821C9B" w:rsidRDefault="00821C9B" w:rsidP="00821C9B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осуществление </w:t>
      </w:r>
      <w:r w:rsidRPr="00821C9B">
        <w:rPr>
          <w:rFonts w:ascii="Times New Roman" w:hAnsi="Times New Roman" w:cs="Times New Roman"/>
          <w:color w:val="000000" w:themeColor="text1"/>
          <w:spacing w:val="-6"/>
          <w:w w:val="105"/>
          <w:sz w:val="28"/>
          <w:szCs w:val="28"/>
        </w:rPr>
        <w:t xml:space="preserve">информационного </w:t>
      </w:r>
      <w:r w:rsidRPr="00821C9B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обмена сведениями, </w:t>
      </w:r>
      <w:r w:rsidRPr="00821C9B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 xml:space="preserve">представляющими </w:t>
      </w:r>
      <w:r w:rsidRPr="00821C9B">
        <w:rPr>
          <w:rFonts w:ascii="Times New Roman" w:hAnsi="Times New Roman" w:cs="Times New Roman"/>
          <w:color w:val="000000" w:themeColor="text1"/>
          <w:spacing w:val="-3"/>
          <w:w w:val="105"/>
          <w:sz w:val="28"/>
          <w:szCs w:val="28"/>
        </w:rPr>
        <w:t xml:space="preserve">взаимный </w:t>
      </w:r>
      <w:r w:rsidRPr="00821C9B">
        <w:rPr>
          <w:rFonts w:ascii="Times New Roman" w:hAnsi="Times New Roman" w:cs="Times New Roman"/>
          <w:color w:val="000000" w:themeColor="text1"/>
          <w:spacing w:val="-5"/>
          <w:w w:val="105"/>
          <w:sz w:val="28"/>
          <w:szCs w:val="28"/>
        </w:rPr>
        <w:t>интерес</w:t>
      </w:r>
      <w:r w:rsidRPr="00821C9B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>;</w:t>
      </w:r>
    </w:p>
    <w:p w:rsidR="00821C9B" w:rsidRPr="00821C9B" w:rsidRDefault="00821C9B" w:rsidP="00821C9B">
      <w:pPr>
        <w:pStyle w:val="a7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иные направления в рамках действующего законодательства.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pStyle w:val="1"/>
        <w:rPr>
          <w:b w:val="0"/>
          <w:color w:val="000000" w:themeColor="text1"/>
          <w:sz w:val="28"/>
          <w:szCs w:val="28"/>
        </w:rPr>
      </w:pPr>
      <w:bookmarkStart w:id="11" w:name="sub_1004"/>
      <w:r w:rsidRPr="00821C9B">
        <w:rPr>
          <w:b w:val="0"/>
          <w:color w:val="000000" w:themeColor="text1"/>
          <w:sz w:val="28"/>
          <w:szCs w:val="28"/>
        </w:rPr>
        <w:t>4. Порядок взаимодействия Думы Бардымского муниципального округа с профсоюзными и иными общественными объединениями</w:t>
      </w:r>
    </w:p>
    <w:bookmarkEnd w:id="11"/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410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4.1. Дума направляет профсоюзным и иным общественным объединениям информацию, которая может содержать: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411"/>
      <w:bookmarkEnd w:id="12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 приглашение к участию в работе Думы, ее коллегиальных совещательных и консультативных органов;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412"/>
      <w:bookmarkEnd w:id="13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инициативное предложение о заключении соглашения о сотрудничестве по общественно значимым вопросам;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413"/>
      <w:bookmarkEnd w:id="14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3) привлечение к участию в общественно значимых делах, акциях и других мероприятиях;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414"/>
      <w:bookmarkEnd w:id="15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4) иные сведения.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420"/>
      <w:bookmarkEnd w:id="16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4.2. При взаимодействии с Думой профсоюзные и иные общественные объединения вправе: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421"/>
      <w:bookmarkEnd w:id="17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 участвовать в заседании Думы, в том числе направлять своих представителей для выступления с докладом по вопросам повестки заседания;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422"/>
      <w:bookmarkEnd w:id="18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участвовать в разработке муниципального правового акта;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423"/>
      <w:bookmarkEnd w:id="19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3) представлять и защищать свои права, законные интересы своих членов и участников, а также других граждан в Думе;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424"/>
      <w:bookmarkEnd w:id="20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4) выражать мнение при рассмотрении и принятии Думой проектов нормативных правовых актов, затрагивающих социально-трудовые права работников;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425"/>
      <w:bookmarkEnd w:id="21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5) участвовать в заседании Думы при рассмотрении своих предложений;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426"/>
      <w:bookmarkEnd w:id="22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6) осуществлять взаимодействие с Думой по развитию санаторно-курортного лечения, учреждений отдыха, туризма, массовой физической культуры и спорта, а также по патриотическому воспитанию подрастающего поколения;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427"/>
      <w:bookmarkEnd w:id="23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7) бесплатно и беспрепятственно получать от Думы информацию по социально-трудовым вопросам и обсуждать полученную информацию с приглашением представителей Думы;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428"/>
      <w:bookmarkEnd w:id="24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8) реализовывать иные права, установленные </w:t>
      </w:r>
      <w:bookmarkStart w:id="26" w:name="sub_430"/>
      <w:bookmarkEnd w:id="25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законодательством, заключенными соглашениями;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440"/>
      <w:bookmarkEnd w:id="26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4.3. Профсоюзные и иные общественные объединения направляют в Думу информацию, которая может содержать: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441"/>
      <w:bookmarkEnd w:id="27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 обращение по вопросам местного значения городского округа, в том числе предложение о поощрении представителей профсоюзных и иных общественных объединений;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442"/>
      <w:bookmarkEnd w:id="28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2) заявку о желании принять участие в заседании Думы. </w:t>
      </w:r>
      <w:bookmarkStart w:id="30" w:name="sub_443"/>
      <w:bookmarkEnd w:id="29"/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3) инициативное предложение о заключении соглашения о сотрудничестве по общественно значимым вопросам;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444"/>
      <w:bookmarkEnd w:id="30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4) приглашение к участию в конференциях, круглых столах, акциях и иных мероприятиях, проводимых профсоюзными и иными общественными объединениями;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445"/>
      <w:bookmarkEnd w:id="31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5) иные сведения.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450"/>
      <w:bookmarkEnd w:id="32"/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4.4. Дума в течение 30 дней со дня регистрации информации профсоюзных и иных общественных объединений рассматривает и готовит письменный ответ по существу поставленных вопросов.</w:t>
      </w:r>
    </w:p>
    <w:bookmarkEnd w:id="33"/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pStyle w:val="1"/>
        <w:rPr>
          <w:b w:val="0"/>
          <w:color w:val="000000" w:themeColor="text1"/>
          <w:sz w:val="28"/>
          <w:szCs w:val="28"/>
        </w:rPr>
      </w:pPr>
      <w:bookmarkStart w:id="34" w:name="sub_1005"/>
      <w:r w:rsidRPr="00821C9B">
        <w:rPr>
          <w:b w:val="0"/>
          <w:color w:val="000000" w:themeColor="text1"/>
          <w:sz w:val="28"/>
          <w:szCs w:val="28"/>
        </w:rPr>
        <w:t>5. Ответственность за неисполнение настоящего Положения</w:t>
      </w:r>
    </w:p>
    <w:bookmarkEnd w:id="34"/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21C9B" w:rsidRPr="00821C9B" w:rsidRDefault="00821C9B" w:rsidP="00821C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настоящего Положения граждане, юридические лица, должностные лица несут административную ответственность в соответствии с действующим законодательством Российской Федерации и Пермского края.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821C9B" w:rsidRPr="00821C9B" w:rsidRDefault="00821C9B" w:rsidP="00821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проекту решения Думы Бардымского муниципального округа </w:t>
      </w:r>
    </w:p>
    <w:p w:rsidR="00821C9B" w:rsidRPr="00821C9B" w:rsidRDefault="00821C9B" w:rsidP="00821C9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утверждении Положения о взаимодействии Думы Бардымского муниципального округа с профсоюзными и иными общественными организациями» </w:t>
      </w:r>
    </w:p>
    <w:p w:rsidR="00821C9B" w:rsidRPr="00821C9B" w:rsidRDefault="00821C9B" w:rsidP="00821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Проект решения подготовлен в соответствии с </w:t>
      </w:r>
      <w:hyperlink r:id="rId18" w:history="1">
        <w:r w:rsidRPr="00821C9B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9" w:history="1">
        <w:r w:rsidRPr="00821C9B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19.05.1995 № 82-ФЗ «Об общественных объединениях», </w:t>
      </w:r>
      <w:hyperlink r:id="rId20" w:history="1">
        <w:r w:rsidRPr="00821C9B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№ 10-ФЗ «О профессиональных союзах, их правах и гарантиях деятельности», другими федеральными законами, </w:t>
      </w:r>
      <w:hyperlink r:id="rId21" w:history="1">
        <w:r w:rsidRPr="00821C9B">
          <w:rPr>
            <w:rStyle w:val="af9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Бардымского муниципального округа и иными муниципальными правовыми актами, для регулирования правоотношений между Думой Бардымского муниципального округа и профсоюзными и общественными организациями округа.</w:t>
      </w:r>
    </w:p>
    <w:p w:rsidR="00821C9B" w:rsidRPr="00821C9B" w:rsidRDefault="00821C9B" w:rsidP="00821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C9B" w:rsidRPr="00821C9B" w:rsidRDefault="00821C9B" w:rsidP="00821C9B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C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35C47" w:rsidRPr="00821C9B" w:rsidRDefault="00335C47" w:rsidP="00821C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5C47" w:rsidRPr="00821C9B" w:rsidSect="00304E9D">
      <w:headerReference w:type="default" r:id="rId22"/>
      <w:footnotePr>
        <w:numRestart w:val="eachPage"/>
      </w:footnotePr>
      <w:endnotePr>
        <w:numFmt w:val="decimal"/>
      </w:endnotePr>
      <w:pgSz w:w="11906" w:h="16838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7A" w:rsidRDefault="001B7C7A" w:rsidP="00C80F86">
      <w:pPr>
        <w:spacing w:after="0" w:line="240" w:lineRule="auto"/>
      </w:pPr>
      <w:r>
        <w:separator/>
      </w:r>
    </w:p>
  </w:endnote>
  <w:endnote w:type="continuationSeparator" w:id="1">
    <w:p w:rsidR="001B7C7A" w:rsidRDefault="001B7C7A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7A" w:rsidRDefault="001B7C7A" w:rsidP="00C80F86">
      <w:pPr>
        <w:spacing w:after="0" w:line="240" w:lineRule="auto"/>
      </w:pPr>
      <w:r>
        <w:separator/>
      </w:r>
    </w:p>
  </w:footnote>
  <w:footnote w:type="continuationSeparator" w:id="1">
    <w:p w:rsidR="001B7C7A" w:rsidRDefault="001B7C7A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1B7C7A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1B7C7A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586"/>
    <w:multiLevelType w:val="hybridMultilevel"/>
    <w:tmpl w:val="9BF69520"/>
    <w:lvl w:ilvl="0" w:tplc="7C9855E8">
      <w:start w:val="1"/>
      <w:numFmt w:val="decimal"/>
      <w:lvlText w:val="%1)"/>
      <w:lvlJc w:val="left"/>
      <w:pPr>
        <w:ind w:left="120" w:hanging="173"/>
      </w:pPr>
      <w:rPr>
        <w:rFonts w:ascii="Times New Roman" w:eastAsia="Arial" w:hAnsi="Times New Roman" w:cs="Arial" w:hint="default"/>
        <w:spacing w:val="-7"/>
        <w:w w:val="102"/>
        <w:sz w:val="28"/>
        <w:szCs w:val="28"/>
        <w:lang w:val="ru-RU" w:eastAsia="ru-RU" w:bidi="ru-RU"/>
      </w:rPr>
    </w:lvl>
    <w:lvl w:ilvl="1" w:tplc="683AFD2E">
      <w:numFmt w:val="bullet"/>
      <w:lvlText w:val="•"/>
      <w:lvlJc w:val="left"/>
      <w:pPr>
        <w:ind w:left="1176" w:hanging="173"/>
      </w:pPr>
      <w:rPr>
        <w:rFonts w:hint="default"/>
        <w:lang w:val="ru-RU" w:eastAsia="ru-RU" w:bidi="ru-RU"/>
      </w:rPr>
    </w:lvl>
    <w:lvl w:ilvl="2" w:tplc="544C5668">
      <w:numFmt w:val="bullet"/>
      <w:lvlText w:val="•"/>
      <w:lvlJc w:val="left"/>
      <w:pPr>
        <w:ind w:left="2232" w:hanging="173"/>
      </w:pPr>
      <w:rPr>
        <w:rFonts w:hint="default"/>
        <w:lang w:val="ru-RU" w:eastAsia="ru-RU" w:bidi="ru-RU"/>
      </w:rPr>
    </w:lvl>
    <w:lvl w:ilvl="3" w:tplc="442015FA">
      <w:numFmt w:val="bullet"/>
      <w:lvlText w:val="•"/>
      <w:lvlJc w:val="left"/>
      <w:pPr>
        <w:ind w:left="3288" w:hanging="173"/>
      </w:pPr>
      <w:rPr>
        <w:rFonts w:hint="default"/>
        <w:lang w:val="ru-RU" w:eastAsia="ru-RU" w:bidi="ru-RU"/>
      </w:rPr>
    </w:lvl>
    <w:lvl w:ilvl="4" w:tplc="63369AC2">
      <w:numFmt w:val="bullet"/>
      <w:lvlText w:val="•"/>
      <w:lvlJc w:val="left"/>
      <w:pPr>
        <w:ind w:left="4344" w:hanging="173"/>
      </w:pPr>
      <w:rPr>
        <w:rFonts w:hint="default"/>
        <w:lang w:val="ru-RU" w:eastAsia="ru-RU" w:bidi="ru-RU"/>
      </w:rPr>
    </w:lvl>
    <w:lvl w:ilvl="5" w:tplc="97CAAD22">
      <w:numFmt w:val="bullet"/>
      <w:lvlText w:val="•"/>
      <w:lvlJc w:val="left"/>
      <w:pPr>
        <w:ind w:left="5400" w:hanging="173"/>
      </w:pPr>
      <w:rPr>
        <w:rFonts w:hint="default"/>
        <w:lang w:val="ru-RU" w:eastAsia="ru-RU" w:bidi="ru-RU"/>
      </w:rPr>
    </w:lvl>
    <w:lvl w:ilvl="6" w:tplc="95CE7866">
      <w:numFmt w:val="bullet"/>
      <w:lvlText w:val="•"/>
      <w:lvlJc w:val="left"/>
      <w:pPr>
        <w:ind w:left="6456" w:hanging="173"/>
      </w:pPr>
      <w:rPr>
        <w:rFonts w:hint="default"/>
        <w:lang w:val="ru-RU" w:eastAsia="ru-RU" w:bidi="ru-RU"/>
      </w:rPr>
    </w:lvl>
    <w:lvl w:ilvl="7" w:tplc="5536627A">
      <w:numFmt w:val="bullet"/>
      <w:lvlText w:val="•"/>
      <w:lvlJc w:val="left"/>
      <w:pPr>
        <w:ind w:left="7512" w:hanging="173"/>
      </w:pPr>
      <w:rPr>
        <w:rFonts w:hint="default"/>
        <w:lang w:val="ru-RU" w:eastAsia="ru-RU" w:bidi="ru-RU"/>
      </w:rPr>
    </w:lvl>
    <w:lvl w:ilvl="8" w:tplc="6494D8E6">
      <w:numFmt w:val="bullet"/>
      <w:lvlText w:val="•"/>
      <w:lvlJc w:val="left"/>
      <w:pPr>
        <w:ind w:left="8568" w:hanging="173"/>
      </w:pPr>
      <w:rPr>
        <w:rFonts w:hint="default"/>
        <w:lang w:val="ru-RU" w:eastAsia="ru-RU" w:bidi="ru-RU"/>
      </w:rPr>
    </w:lvl>
  </w:abstractNum>
  <w:abstractNum w:abstractNumId="1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65816"/>
    <w:rsid w:val="00072783"/>
    <w:rsid w:val="00087335"/>
    <w:rsid w:val="00096406"/>
    <w:rsid w:val="000A5B13"/>
    <w:rsid w:val="000D1B5A"/>
    <w:rsid w:val="000D46AD"/>
    <w:rsid w:val="000D5ADC"/>
    <w:rsid w:val="000E6666"/>
    <w:rsid w:val="000F2603"/>
    <w:rsid w:val="0010116E"/>
    <w:rsid w:val="001126A1"/>
    <w:rsid w:val="00120022"/>
    <w:rsid w:val="00121D53"/>
    <w:rsid w:val="00130A84"/>
    <w:rsid w:val="0014491A"/>
    <w:rsid w:val="00145EDC"/>
    <w:rsid w:val="00153B7C"/>
    <w:rsid w:val="00165107"/>
    <w:rsid w:val="00172C55"/>
    <w:rsid w:val="00180B3E"/>
    <w:rsid w:val="001A0977"/>
    <w:rsid w:val="001B7C7A"/>
    <w:rsid w:val="00200099"/>
    <w:rsid w:val="00202E2B"/>
    <w:rsid w:val="00234EDF"/>
    <w:rsid w:val="00262244"/>
    <w:rsid w:val="002667E5"/>
    <w:rsid w:val="0027235E"/>
    <w:rsid w:val="0029433C"/>
    <w:rsid w:val="00294F81"/>
    <w:rsid w:val="002C1C19"/>
    <w:rsid w:val="002E63FA"/>
    <w:rsid w:val="00304E9D"/>
    <w:rsid w:val="0031023C"/>
    <w:rsid w:val="00314C57"/>
    <w:rsid w:val="003214DE"/>
    <w:rsid w:val="00330055"/>
    <w:rsid w:val="00330621"/>
    <w:rsid w:val="00335C47"/>
    <w:rsid w:val="0035580E"/>
    <w:rsid w:val="00355C65"/>
    <w:rsid w:val="00365133"/>
    <w:rsid w:val="00375B1C"/>
    <w:rsid w:val="00377A59"/>
    <w:rsid w:val="003B5D51"/>
    <w:rsid w:val="003D070F"/>
    <w:rsid w:val="003D3463"/>
    <w:rsid w:val="003F6BBC"/>
    <w:rsid w:val="0040317C"/>
    <w:rsid w:val="00410586"/>
    <w:rsid w:val="00422FF6"/>
    <w:rsid w:val="00445AFD"/>
    <w:rsid w:val="00456B3F"/>
    <w:rsid w:val="0046052D"/>
    <w:rsid w:val="00464DB1"/>
    <w:rsid w:val="00485FDD"/>
    <w:rsid w:val="0049642F"/>
    <w:rsid w:val="00496ED7"/>
    <w:rsid w:val="004A5299"/>
    <w:rsid w:val="004F2101"/>
    <w:rsid w:val="00510993"/>
    <w:rsid w:val="005200B8"/>
    <w:rsid w:val="005255CD"/>
    <w:rsid w:val="00541479"/>
    <w:rsid w:val="005713C6"/>
    <w:rsid w:val="005866D7"/>
    <w:rsid w:val="0059705B"/>
    <w:rsid w:val="005A3242"/>
    <w:rsid w:val="005A5E5C"/>
    <w:rsid w:val="005D07EC"/>
    <w:rsid w:val="005D2FD3"/>
    <w:rsid w:val="005D3EDB"/>
    <w:rsid w:val="005D578F"/>
    <w:rsid w:val="005E5862"/>
    <w:rsid w:val="005F6F99"/>
    <w:rsid w:val="005F754B"/>
    <w:rsid w:val="00612F57"/>
    <w:rsid w:val="006449AC"/>
    <w:rsid w:val="00653111"/>
    <w:rsid w:val="006A0FE0"/>
    <w:rsid w:val="006C605D"/>
    <w:rsid w:val="006C674F"/>
    <w:rsid w:val="006E334A"/>
    <w:rsid w:val="006E449D"/>
    <w:rsid w:val="006F3B87"/>
    <w:rsid w:val="007217B3"/>
    <w:rsid w:val="00724DD3"/>
    <w:rsid w:val="007275AC"/>
    <w:rsid w:val="00734997"/>
    <w:rsid w:val="007360E1"/>
    <w:rsid w:val="0078359C"/>
    <w:rsid w:val="007B0753"/>
    <w:rsid w:val="007C16AF"/>
    <w:rsid w:val="007C7D5C"/>
    <w:rsid w:val="007D227D"/>
    <w:rsid w:val="00804293"/>
    <w:rsid w:val="00810C90"/>
    <w:rsid w:val="008150BB"/>
    <w:rsid w:val="00821C9B"/>
    <w:rsid w:val="00833A3F"/>
    <w:rsid w:val="008419B3"/>
    <w:rsid w:val="00846E23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15427"/>
    <w:rsid w:val="009A145F"/>
    <w:rsid w:val="009B4655"/>
    <w:rsid w:val="009C032B"/>
    <w:rsid w:val="00A06DCC"/>
    <w:rsid w:val="00A10CE3"/>
    <w:rsid w:val="00A40B6A"/>
    <w:rsid w:val="00A53E94"/>
    <w:rsid w:val="00A54520"/>
    <w:rsid w:val="00A54643"/>
    <w:rsid w:val="00A8741C"/>
    <w:rsid w:val="00AA0EA8"/>
    <w:rsid w:val="00AB4725"/>
    <w:rsid w:val="00AB724B"/>
    <w:rsid w:val="00AE03EC"/>
    <w:rsid w:val="00AF5F3A"/>
    <w:rsid w:val="00B02D9E"/>
    <w:rsid w:val="00B0544A"/>
    <w:rsid w:val="00B1467F"/>
    <w:rsid w:val="00B40384"/>
    <w:rsid w:val="00B52633"/>
    <w:rsid w:val="00B54F55"/>
    <w:rsid w:val="00B63AD8"/>
    <w:rsid w:val="00B64C21"/>
    <w:rsid w:val="00BA50AB"/>
    <w:rsid w:val="00BB1455"/>
    <w:rsid w:val="00BD0C61"/>
    <w:rsid w:val="00BD2927"/>
    <w:rsid w:val="00C138C8"/>
    <w:rsid w:val="00C178BA"/>
    <w:rsid w:val="00C526AB"/>
    <w:rsid w:val="00C80F86"/>
    <w:rsid w:val="00C944D9"/>
    <w:rsid w:val="00CE1032"/>
    <w:rsid w:val="00D020C0"/>
    <w:rsid w:val="00D12689"/>
    <w:rsid w:val="00D353F4"/>
    <w:rsid w:val="00D526B1"/>
    <w:rsid w:val="00D57993"/>
    <w:rsid w:val="00DC158C"/>
    <w:rsid w:val="00DF44EB"/>
    <w:rsid w:val="00E20E91"/>
    <w:rsid w:val="00E25269"/>
    <w:rsid w:val="00E87EC6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463B2"/>
    <w:rsid w:val="00F83DBF"/>
    <w:rsid w:val="00FA03AD"/>
    <w:rsid w:val="00FB1B94"/>
    <w:rsid w:val="00FE4CD6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1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  <w:style w:type="character" w:customStyle="1" w:styleId="af9">
    <w:name w:val="Гипертекстовая ссылка"/>
    <w:basedOn w:val="a0"/>
    <w:uiPriority w:val="99"/>
    <w:rsid w:val="00821C9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emo.garant.ru/document/redirect/10103000/0" TargetMode="External"/><Relationship Id="rId18" Type="http://schemas.openxmlformats.org/officeDocument/2006/relationships/hyperlink" Target="http://demo.garant.ru/document/redirect/186367/0" TargetMode="External"/><Relationship Id="rId3" Type="http://schemas.openxmlformats.org/officeDocument/2006/relationships/styles" Target="styles.xml"/><Relationship Id="rId21" Type="http://schemas.openxmlformats.org/officeDocument/2006/relationships/hyperlink" Target="http://demo.garant.ru/document/redirect/43063170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/redirect/186367/0" TargetMode="External"/><Relationship Id="rId17" Type="http://schemas.openxmlformats.org/officeDocument/2006/relationships/hyperlink" Target="http://demo.garant.ru/document/redirect/4306317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o.garant.ru/document/redirect/10105872/0" TargetMode="External"/><Relationship Id="rId20" Type="http://schemas.openxmlformats.org/officeDocument/2006/relationships/hyperlink" Target="http://demo.garant.ru/document/redirect/10105872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/redirect/10105872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/redirect/10164186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mo.garant.ru/document/redirect/10164186/0" TargetMode="External"/><Relationship Id="rId19" Type="http://schemas.openxmlformats.org/officeDocument/2006/relationships/hyperlink" Target="http://demo.garant.ru/document/redirect/1016418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10103000/0" TargetMode="External"/><Relationship Id="rId14" Type="http://schemas.openxmlformats.org/officeDocument/2006/relationships/hyperlink" Target="http://demo.garant.ru/document/redirect/186367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5AB-BB76-44DA-8EA5-29D3BBF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3</cp:revision>
  <cp:lastPrinted>2021-10-04T09:31:00Z</cp:lastPrinted>
  <dcterms:created xsi:type="dcterms:W3CDTF">2021-10-04T09:33:00Z</dcterms:created>
  <dcterms:modified xsi:type="dcterms:W3CDTF">2021-10-04T09:36:00Z</dcterms:modified>
</cp:coreProperties>
</file>